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7ABC" w:rsidP="00707ABC">
      <w:pPr>
        <w:pStyle w:val="Title"/>
      </w:pPr>
      <w:r>
        <w:fldChar w:fldCharType="begin"/>
      </w:r>
      <w:r>
        <w:instrText xml:space="preserve"> TITLE   \* MERGEFORMAT </w:instrText>
      </w:r>
      <w:r>
        <w:fldChar w:fldCharType="separate"/>
      </w:r>
      <w:r>
        <w:t>MSMWHS210 Undertake first response to non-fire incidents</w:t>
      </w:r>
      <w:r>
        <w:fldChar w:fldCharType="end"/>
      </w:r>
    </w:p>
    <w:p w:rsidR="00707ABC" w:rsidP="00707ABC">
      <w:pPr>
        <w:pStyle w:val="Version"/>
        <w:sectPr w:rsidSect="000A25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2558" w:rsidP="000A2558">
      <w:pPr>
        <w:pStyle w:val="SuperHeading"/>
      </w:pPr>
      <w:r w:rsidRPr="000A2558">
        <w:t>MSMWHS210 Undertake first response to non-fire incidents</w:t>
      </w:r>
    </w:p>
    <w:p w:rsidR="00000000" w:rsidRPr="000A2558" w:rsidP="000A2558">
      <w:pPr>
        <w:pStyle w:val="Heading1"/>
      </w:pPr>
      <w:bookmarkStart w:id="1" w:name="O_939345"/>
      <w:bookmarkEnd w:id="1"/>
      <w:r w:rsidRPr="000A2558">
        <w:t>Modification History</w:t>
      </w:r>
    </w:p>
    <w:p w:rsidR="00000000" w:rsidRPr="000A2558" w:rsidP="00707ABC">
      <w:pPr>
        <w:pStyle w:val="BodyText"/>
      </w:pPr>
      <w:r w:rsidRPr="000A2558">
        <w:t>Release 2.  Addition of information missing from the Assessment Requirements. Equivalent.</w:t>
      </w:r>
    </w:p>
    <w:p w:rsidR="00000000" w:rsidRPr="000A2558" w:rsidP="00707ABC">
      <w:pPr>
        <w:pStyle w:val="BodyText"/>
      </w:pPr>
      <w:r w:rsidRPr="000A2558">
        <w:t>Release 1. Supersedes and is equivalent to MSAPMOHS210B Undertake first response to non-fire incidents</w:t>
      </w:r>
    </w:p>
    <w:p w:rsidR="00000000" w:rsidRPr="000A2558" w:rsidP="000A2558">
      <w:pPr>
        <w:pStyle w:val="Heading1"/>
      </w:pPr>
      <w:bookmarkStart w:id="2" w:name="O_939344"/>
      <w:bookmarkEnd w:id="2"/>
      <w:r w:rsidRPr="000A2558">
        <w:t>Applicati</w:t>
      </w:r>
      <w:r w:rsidRPr="000A2558">
        <w:t>on</w:t>
      </w:r>
    </w:p>
    <w:p w:rsidR="00000000" w:rsidRPr="000A2558" w:rsidP="00707ABC">
      <w:pPr>
        <w:pStyle w:val="BodyText"/>
      </w:pPr>
      <w:r w:rsidRPr="000A2558">
        <w:t xml:space="preserve">This unit of competency covers the skills and knowledge required to recognise and respond to an incident (except for fire/explosion) to provide an appropriate first response. </w:t>
      </w:r>
    </w:p>
    <w:p w:rsidR="00000000" w:rsidRPr="000A2558" w:rsidP="00707ABC">
      <w:pPr>
        <w:pStyle w:val="BodyText"/>
      </w:pPr>
      <w:r w:rsidRPr="000A2558">
        <w:t xml:space="preserve">This unit of competency applies to operators who are required to respond to </w:t>
      </w:r>
      <w:r w:rsidRPr="000A2558">
        <w:t>an incident, such as a leak, spill or other incident. The worker is not expected to deal with the emerging incident, but to provide an initial first response in order to contain the incident and/or secure the immediate area in order to minimise resultant d</w:t>
      </w:r>
      <w:r w:rsidRPr="000A2558">
        <w:t>amages and loss. In this unit it is assumed that the worker is acting according to established workplace procedures.</w:t>
      </w:r>
    </w:p>
    <w:p w:rsidR="00000000" w:rsidRPr="000A2558" w:rsidP="00707ABC">
      <w:pPr>
        <w:pStyle w:val="BodyText"/>
      </w:pPr>
      <w:r w:rsidRPr="000A2558">
        <w:t xml:space="preserve">This unit of competency applies to an individual working alone or as part of a team or group and working in liaison with other shift team </w:t>
      </w:r>
      <w:r w:rsidRPr="000A2558">
        <w:t>members and the control room operator, as appropriate.</w:t>
      </w:r>
    </w:p>
    <w:p w:rsidR="00000000" w:rsidRPr="000A2558" w:rsidP="00707ABC">
      <w:pPr>
        <w:pStyle w:val="BodyText"/>
      </w:pPr>
      <w:r w:rsidRPr="000A2558">
        <w:t>Organisations within the chemical, hydrocarbons and refining industries may find themselves falling under the provisions of various Major Hazard Facilities legislation. In developing this unit conside</w:t>
      </w:r>
      <w:r w:rsidRPr="000A2558">
        <w:t>ration has been given to the requirements of Sections 8 and 9 of the National Standard for the Control of Major Hazard Facilities [NOHSC:1014 (2002)] and the National Code of Practice for the Control of Major Hazard Facilities [NOHSC:2016 (1996)].</w:t>
      </w:r>
    </w:p>
    <w:p w:rsidR="00000000" w:rsidRPr="000A2558" w:rsidP="00707ABC">
      <w:pPr>
        <w:pStyle w:val="BodyText"/>
      </w:pPr>
      <w:r w:rsidRPr="000A2558">
        <w:t>No othe</w:t>
      </w:r>
      <w:r w:rsidRPr="000A2558">
        <w:t>r licensing, legislative or certification requirements apply to this unit at the time of publication.</w:t>
      </w:r>
    </w:p>
    <w:p w:rsidR="00000000" w:rsidRPr="000A2558" w:rsidP="000A2558">
      <w:pPr>
        <w:pStyle w:val="Heading1"/>
      </w:pPr>
      <w:bookmarkStart w:id="3" w:name="O_939343"/>
      <w:bookmarkEnd w:id="3"/>
      <w:r w:rsidRPr="000A2558">
        <w:t>Pre-requisite Unit</w:t>
      </w:r>
    </w:p>
    <w:p w:rsidR="00000000" w:rsidRPr="000A2558" w:rsidP="00707ABC">
      <w:pPr>
        <w:pStyle w:val="BodyText"/>
      </w:pPr>
      <w:r w:rsidRPr="000A2558">
        <w:t>Nil</w:t>
      </w:r>
    </w:p>
    <w:p w:rsidR="00000000" w:rsidRPr="000A2558" w:rsidP="000A2558">
      <w:pPr>
        <w:pStyle w:val="Heading1"/>
      </w:pPr>
      <w:bookmarkStart w:id="4" w:name="O_939342"/>
      <w:bookmarkEnd w:id="4"/>
      <w:r w:rsidRPr="000A2558">
        <w:t>Competency Field</w:t>
      </w:r>
    </w:p>
    <w:p w:rsidR="00000000" w:rsidRPr="000A2558" w:rsidP="00707ABC">
      <w:pPr>
        <w:pStyle w:val="BodyText"/>
      </w:pPr>
      <w:r w:rsidRPr="000A2558">
        <w:t xml:space="preserve">Work health and safety </w:t>
      </w:r>
    </w:p>
    <w:p w:rsidR="00000000" w:rsidRPr="000A2558" w:rsidP="000A2558">
      <w:pPr>
        <w:pStyle w:val="Heading1"/>
      </w:pPr>
      <w:bookmarkStart w:id="5" w:name="O_939341"/>
      <w:bookmarkEnd w:id="5"/>
      <w:r w:rsidRPr="000A2558">
        <w:t>Unit Sector</w:t>
      </w:r>
    </w:p>
    <w:p w:rsidR="00000000" w:rsidRPr="000A2558" w:rsidP="000A2558">
      <w:pPr>
        <w:pStyle w:val="Heading1"/>
      </w:pPr>
      <w:bookmarkStart w:id="6" w:name="O_939340"/>
      <w:bookmarkEnd w:id="6"/>
      <w:r w:rsidRPr="000A2558">
        <w:t>Elements an</w:t>
      </w:r>
      <w:r w:rsidRPr="000A2558">
        <w:t>d Performance Criteria</w:t>
      </w:r>
    </w:p>
    <w:tbl>
      <w:tblPr>
        <w:tblW w:w="0" w:type="auto"/>
        <w:tblLayout w:type="fixed"/>
        <w:tblCellMar>
          <w:left w:w="62" w:type="dxa"/>
          <w:right w:w="62" w:type="dxa"/>
        </w:tblCellMar>
        <w:tblLook w:val="0000"/>
      </w:tblPr>
      <w:tblGrid>
        <w:gridCol w:w="678"/>
        <w:gridCol w:w="1962"/>
        <w:gridCol w:w="770"/>
        <w:gridCol w:w="5610"/>
      </w:tblGrid>
      <w:tr w:rsidTr="000A255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Performance criteria describe the performance needed to demonstrate achievement of the element</w:t>
            </w:r>
          </w:p>
        </w:tc>
      </w:tr>
      <w:tr w:rsidTr="000A255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0A2558">
            <w:pPr>
              <w:pStyle w:val="BodyText"/>
              <w:rPr>
                <w:lang w:val="en-NZ"/>
              </w:rPr>
            </w:pPr>
          </w:p>
        </w:tc>
      </w:tr>
      <w:tr w:rsidTr="000A25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1</w:t>
            </w:r>
          </w:p>
        </w:tc>
        <w:tc>
          <w:tcPr>
            <w:tcW w:w="1962" w:type="dxa"/>
            <w:vMerge w:val="restart"/>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Assess level of severity</w:t>
            </w:r>
          </w:p>
        </w:tc>
        <w:tc>
          <w:tcPr>
            <w:tcW w:w="770"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1.1</w:t>
            </w:r>
          </w:p>
        </w:tc>
        <w:tc>
          <w:tcPr>
            <w:tcW w:w="5610"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Recognise an incident has occurred or is about to occur</w:t>
            </w:r>
          </w:p>
        </w:tc>
      </w:tr>
      <w:tr w:rsidTr="000A25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1.2</w:t>
            </w:r>
          </w:p>
        </w:tc>
        <w:tc>
          <w:tcPr>
            <w:tcW w:w="5610"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Access hazard information as appropriate</w:t>
            </w:r>
          </w:p>
        </w:tc>
      </w:tr>
      <w:tr w:rsidTr="000A25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1.3</w:t>
            </w:r>
          </w:p>
        </w:tc>
        <w:tc>
          <w:tcPr>
            <w:tcW w:w="5610"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Assess frequency, duration, actual and potential outcome</w:t>
            </w:r>
          </w:p>
        </w:tc>
      </w:tr>
      <w:tr w:rsidTr="000A25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1.4</w:t>
            </w:r>
          </w:p>
        </w:tc>
        <w:tc>
          <w:tcPr>
            <w:tcW w:w="5610" w:type="dxa"/>
            <w:tcBorders>
              <w:top w:val="nil"/>
              <w:left w:val="nil"/>
              <w:bottom w:val="nil"/>
              <w:right w:val="nil"/>
            </w:tcBorders>
            <w:tcMar>
              <w:top w:w="0" w:type="dxa"/>
              <w:left w:w="62" w:type="dxa"/>
              <w:bottom w:w="0" w:type="dxa"/>
              <w:right w:w="62" w:type="dxa"/>
            </w:tcMar>
          </w:tcPr>
          <w:p w:rsidR="00000000" w:rsidRPr="000A2558" w:rsidP="000A2558">
            <w:pPr>
              <w:pStyle w:val="BodyText"/>
            </w:pPr>
            <w:r w:rsidRPr="000A2558">
              <w:t>Evaluate and communicate in a timely and appropriate manner the location, nature and extent of the incident</w:t>
            </w:r>
          </w:p>
        </w:tc>
      </w:tr>
    </w:tbl>
    <w:p w:rsidR="00000000" w:rsidRPr="000A2558" w:rsidP="000A2558">
      <w:pPr>
        <w:pStyle w:val="BodyText"/>
      </w:pPr>
    </w:p>
    <w:tbl>
      <w:tblPr>
        <w:tblW w:w="0" w:type="auto"/>
        <w:tblLayout w:type="fixed"/>
        <w:tblCellMar>
          <w:left w:w="62" w:type="dxa"/>
          <w:right w:w="62" w:type="dxa"/>
        </w:tblCellMar>
        <w:tblLook w:val="0000"/>
      </w:tblPr>
      <w:tblGrid>
        <w:gridCol w:w="678"/>
        <w:gridCol w:w="1962"/>
        <w:gridCol w:w="770"/>
        <w:gridCol w:w="5610"/>
      </w:tblGrid>
      <w:tr w:rsidTr="000A25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2</w:t>
            </w:r>
          </w:p>
        </w:tc>
        <w:tc>
          <w:tcPr>
            <w:tcW w:w="1962" w:type="dxa"/>
            <w:vMerge w:val="restart"/>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Undertake routine response to minimise affect of the incident</w:t>
            </w:r>
          </w:p>
        </w:tc>
        <w:tc>
          <w:tcPr>
            <w:tcW w:w="770"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2.1</w:t>
            </w:r>
          </w:p>
        </w:tc>
        <w:tc>
          <w:tcPr>
            <w:tcW w:w="5610"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Select the appropriate response from the incident procedures</w:t>
            </w:r>
          </w:p>
        </w:tc>
      </w:tr>
      <w:tr w:rsidTr="000A25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2.2</w:t>
            </w:r>
          </w:p>
        </w:tc>
        <w:tc>
          <w:tcPr>
            <w:tcW w:w="5610"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Clear and secure the incident area</w:t>
            </w:r>
          </w:p>
        </w:tc>
      </w:tr>
      <w:tr w:rsidTr="000A25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2.3</w:t>
            </w:r>
          </w:p>
        </w:tc>
        <w:tc>
          <w:tcPr>
            <w:tcW w:w="5610"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Select appropriate materials and equipment to contain the incident</w:t>
            </w:r>
          </w:p>
        </w:tc>
      </w:tr>
      <w:tr w:rsidTr="000A25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2.4</w:t>
            </w:r>
          </w:p>
        </w:tc>
        <w:tc>
          <w:tcPr>
            <w:tcW w:w="5610"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Safely locate access and operate incident response equipment</w:t>
            </w:r>
          </w:p>
        </w:tc>
      </w:tr>
      <w:tr w:rsidTr="000A25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2.5</w:t>
            </w:r>
          </w:p>
        </w:tc>
        <w:tc>
          <w:tcPr>
            <w:tcW w:w="5610" w:type="dxa"/>
            <w:tcBorders>
              <w:top w:val="nil"/>
              <w:left w:val="nil"/>
              <w:bottom w:val="nil"/>
              <w:right w:val="nil"/>
            </w:tcBorders>
            <w:tcMar>
              <w:top w:w="0" w:type="dxa"/>
              <w:left w:w="62" w:type="dxa"/>
              <w:bottom w:w="0" w:type="dxa"/>
              <w:right w:w="62" w:type="dxa"/>
            </w:tcMar>
          </w:tcPr>
          <w:p w:rsidR="00000000" w:rsidRPr="000A2558" w:rsidP="000A2558">
            <w:pPr>
              <w:pStyle w:val="BodyText"/>
            </w:pPr>
            <w:r w:rsidRPr="000A2558">
              <w:t>Apply incident containment procedures as appropriate</w:t>
            </w:r>
          </w:p>
        </w:tc>
      </w:tr>
    </w:tbl>
    <w:p w:rsidR="00000000" w:rsidRPr="000A2558" w:rsidP="000A2558">
      <w:pPr>
        <w:pStyle w:val="BodyText"/>
      </w:pPr>
    </w:p>
    <w:tbl>
      <w:tblPr>
        <w:tblW w:w="0" w:type="auto"/>
        <w:tblLayout w:type="fixed"/>
        <w:tblCellMar>
          <w:left w:w="62" w:type="dxa"/>
          <w:right w:w="62" w:type="dxa"/>
        </w:tblCellMar>
        <w:tblLook w:val="0000"/>
      </w:tblPr>
      <w:tblGrid>
        <w:gridCol w:w="678"/>
        <w:gridCol w:w="1962"/>
        <w:gridCol w:w="770"/>
        <w:gridCol w:w="5610"/>
      </w:tblGrid>
      <w:tr w:rsidTr="000A25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3</w:t>
            </w:r>
          </w:p>
        </w:tc>
        <w:tc>
          <w:tcPr>
            <w:tcW w:w="1962" w:type="dxa"/>
            <w:vMerge w:val="restart"/>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Notify responsible authorities</w:t>
            </w:r>
          </w:p>
        </w:tc>
        <w:tc>
          <w:tcPr>
            <w:tcW w:w="770"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3.1</w:t>
            </w:r>
          </w:p>
        </w:tc>
        <w:tc>
          <w:tcPr>
            <w:tcW w:w="5610"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Follow incident reporting procedures</w:t>
            </w:r>
          </w:p>
        </w:tc>
      </w:tr>
      <w:tr w:rsidTr="000A25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3.2</w:t>
            </w:r>
          </w:p>
        </w:tc>
        <w:tc>
          <w:tcPr>
            <w:tcW w:w="5610"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Identify appropriate authorities and notify</w:t>
            </w:r>
          </w:p>
        </w:tc>
      </w:tr>
      <w:tr w:rsidTr="000A25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3.3</w:t>
            </w:r>
          </w:p>
        </w:tc>
        <w:tc>
          <w:tcPr>
            <w:tcW w:w="5610" w:type="dxa"/>
            <w:tcBorders>
              <w:top w:val="nil"/>
              <w:left w:val="nil"/>
              <w:bottom w:val="nil"/>
              <w:right w:val="nil"/>
            </w:tcBorders>
            <w:tcMar>
              <w:top w:w="0" w:type="dxa"/>
              <w:left w:w="62" w:type="dxa"/>
              <w:bottom w:w="0" w:type="dxa"/>
              <w:right w:w="62" w:type="dxa"/>
            </w:tcMar>
          </w:tcPr>
          <w:p w:rsidR="00000000" w:rsidRPr="000A2558" w:rsidP="000A2558">
            <w:pPr>
              <w:pStyle w:val="BodyText"/>
            </w:pPr>
            <w:r w:rsidRPr="000A2558">
              <w:t>Clearly and unambiguously communicate information concerning the incident in a timely manner</w:t>
            </w:r>
          </w:p>
        </w:tc>
      </w:tr>
    </w:tbl>
    <w:p w:rsidR="00000000" w:rsidRPr="000A2558" w:rsidP="000A2558">
      <w:pPr>
        <w:pStyle w:val="BodyText"/>
      </w:pPr>
    </w:p>
    <w:tbl>
      <w:tblPr>
        <w:tblW w:w="0" w:type="auto"/>
        <w:tblLayout w:type="fixed"/>
        <w:tblCellMar>
          <w:left w:w="62" w:type="dxa"/>
          <w:right w:w="62" w:type="dxa"/>
        </w:tblCellMar>
        <w:tblLook w:val="0000"/>
      </w:tblPr>
      <w:tblGrid>
        <w:gridCol w:w="678"/>
        <w:gridCol w:w="1962"/>
        <w:gridCol w:w="770"/>
        <w:gridCol w:w="5610"/>
      </w:tblGrid>
      <w:tr w:rsidTr="000A25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4</w:t>
            </w:r>
          </w:p>
        </w:tc>
        <w:tc>
          <w:tcPr>
            <w:tcW w:w="1962" w:type="dxa"/>
            <w:vMerge w:val="restart"/>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Undertake safe evacuation</w:t>
            </w:r>
          </w:p>
        </w:tc>
        <w:tc>
          <w:tcPr>
            <w:tcW w:w="770"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4.1</w:t>
            </w:r>
          </w:p>
        </w:tc>
        <w:tc>
          <w:tcPr>
            <w:tcW w:w="5610"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Evacuate the area in a safe and controlled manner when first response has failed to control the incident or has proven inappropri</w:t>
            </w:r>
            <w:r w:rsidRPr="000A2558">
              <w:t>ate</w:t>
            </w:r>
          </w:p>
        </w:tc>
      </w:tr>
      <w:tr w:rsidTr="000A255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4.2</w:t>
            </w:r>
          </w:p>
        </w:tc>
        <w:tc>
          <w:tcPr>
            <w:tcW w:w="5610" w:type="dxa"/>
            <w:tcBorders>
              <w:top w:val="nil"/>
              <w:left w:val="nil"/>
              <w:bottom w:val="nil"/>
              <w:right w:val="nil"/>
            </w:tcBorders>
            <w:tcMar>
              <w:top w:w="0" w:type="dxa"/>
              <w:left w:w="62" w:type="dxa"/>
              <w:bottom w:w="0" w:type="dxa"/>
              <w:right w:w="62" w:type="dxa"/>
            </w:tcMar>
          </w:tcPr>
          <w:p w:rsidR="00000000" w:rsidRPr="000A2558" w:rsidP="000A2558">
            <w:pPr>
              <w:pStyle w:val="BodyText"/>
            </w:pPr>
            <w:r w:rsidRPr="000A2558">
              <w:t xml:space="preserve">Secure the immediate area of the incident to ensure no further loss occurs to people, equipment, materials, </w:t>
            </w:r>
            <w:r w:rsidRPr="000A2558">
              <w:t>process and environment</w:t>
            </w:r>
          </w:p>
        </w:tc>
      </w:tr>
    </w:tbl>
    <w:p w:rsidR="00000000" w:rsidRPr="000A2558" w:rsidP="000A2558">
      <w:pPr>
        <w:pStyle w:val="BodyText"/>
      </w:pPr>
    </w:p>
    <w:p w:rsidR="00000000" w:rsidRPr="000A2558" w:rsidP="000A2558">
      <w:pPr>
        <w:pStyle w:val="AllowPageBreak"/>
      </w:pPr>
    </w:p>
    <w:p w:rsidR="00000000" w:rsidRPr="000A2558" w:rsidP="000A2558">
      <w:pPr>
        <w:pStyle w:val="Heading1"/>
      </w:pPr>
      <w:bookmarkStart w:id="7" w:name="O_939339"/>
      <w:bookmarkEnd w:id="7"/>
      <w:r w:rsidRPr="000A2558">
        <w:t>Foundation Skills</w:t>
      </w:r>
    </w:p>
    <w:p w:rsidR="00000000" w:rsidRPr="000A2558" w:rsidP="00707ABC">
      <w:pPr>
        <w:pStyle w:val="BodyText"/>
      </w:pPr>
      <w:r w:rsidRPr="000A2558">
        <w:t>This section describes those language, literacy, numeracy and employment skills that are essential to performance.</w:t>
      </w:r>
    </w:p>
    <w:p w:rsidR="00000000" w:rsidRPr="000A2558" w:rsidP="00707ABC">
      <w:pPr>
        <w:pStyle w:val="BodyText"/>
      </w:pPr>
      <w:r w:rsidRPr="000A2558">
        <w:t>Foundation skills essential to performance are explicit in the performance criteria of this unit of competency.</w:t>
      </w:r>
    </w:p>
    <w:p w:rsidR="00000000" w:rsidRPr="000A2558" w:rsidP="000A2558">
      <w:pPr>
        <w:pStyle w:val="Heading1"/>
      </w:pPr>
      <w:bookmarkStart w:id="8" w:name="O_939338"/>
      <w:bookmarkEnd w:id="8"/>
      <w:r w:rsidRPr="000A2558">
        <w:t>Range of Co</w:t>
      </w:r>
      <w:r w:rsidRPr="000A2558">
        <w:t>nditions</w:t>
      </w:r>
    </w:p>
    <w:tbl>
      <w:tblPr>
        <w:tblW w:w="0" w:type="auto"/>
        <w:tblCellMar>
          <w:left w:w="62" w:type="dxa"/>
          <w:right w:w="62" w:type="dxa"/>
        </w:tblCellMar>
        <w:tblLook w:val="0000"/>
      </w:tblPr>
      <w:tblGrid>
        <w:gridCol w:w="2163"/>
        <w:gridCol w:w="7033"/>
      </w:tblGrid>
      <w:tr w:rsidTr="00707AB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t>This field allows for different work environments and conditions that may affect performance. Essential operating conditions that may be present (depending on the work situation, needs of the candidate, accessibility of the item, and local industr</w:t>
            </w:r>
            <w:r w:rsidRPr="000A2558">
              <w:t>y and regional contexts) are included.</w:t>
            </w:r>
          </w:p>
        </w:tc>
      </w:tr>
      <w:tr w:rsidTr="00707A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0A2558" w:rsidP="000A2558">
            <w:pPr>
              <w:pStyle w:val="BodyText"/>
            </w:pPr>
            <w:r w:rsidRPr="000A2558">
              <w:t>The latest version of all legislation, regulations, industry codes of practice and Australian/international standards, or the version specified by the local regulatory authority, must be used, a</w:t>
            </w:r>
            <w:r w:rsidRPr="000A2558">
              <w:t>nd include one or more of the following:</w:t>
            </w:r>
          </w:p>
          <w:p w:rsidR="00000000" w:rsidRPr="000A2558" w:rsidP="000A2558">
            <w:pPr>
              <w:pStyle w:val="ListBullet"/>
            </w:pPr>
            <w:r w:rsidRPr="000A2558">
              <w:t>legislative requirements, including work health and safety (WHS)</w:t>
            </w:r>
          </w:p>
          <w:p w:rsidR="00000000" w:rsidRPr="000A2558" w:rsidP="000A2558">
            <w:pPr>
              <w:pStyle w:val="ListBullet"/>
            </w:pPr>
            <w:r w:rsidRPr="000A2558">
              <w:t>industry codes of practice and guidelines</w:t>
            </w:r>
          </w:p>
          <w:p w:rsidR="00000000" w:rsidRPr="000A2558" w:rsidP="000A2558">
            <w:pPr>
              <w:pStyle w:val="ListBullet"/>
            </w:pPr>
            <w:r w:rsidRPr="000A2558">
              <w:t xml:space="preserve">environmental regulations and guidelines </w:t>
            </w:r>
          </w:p>
          <w:p w:rsidR="00000000" w:rsidRPr="000A2558" w:rsidP="000A2558">
            <w:pPr>
              <w:pStyle w:val="ListBullet"/>
            </w:pPr>
            <w:r w:rsidRPr="000A2558">
              <w:t>Australian and other standards</w:t>
            </w:r>
          </w:p>
          <w:p w:rsidR="00000000" w:rsidRPr="000A2558" w:rsidP="000A2558">
            <w:pPr>
              <w:pStyle w:val="ListBullet"/>
            </w:pPr>
            <w:r w:rsidRPr="000A2558">
              <w:t>licence and certification requirements</w:t>
            </w:r>
          </w:p>
          <w:p w:rsidR="00000000" w:rsidRPr="000A2558" w:rsidP="000A2558">
            <w:pPr>
              <w:pStyle w:val="ListBullet"/>
            </w:pPr>
            <w:r w:rsidRPr="000A2558">
              <w:t>National Standard for the Control of Major Hazard Facilities [NOHSC:1014 (2002)] (where applicable)</w:t>
            </w:r>
          </w:p>
          <w:p w:rsidR="00000000" w:rsidRPr="000A2558" w:rsidP="000A2558">
            <w:pPr>
              <w:pStyle w:val="ListBullet"/>
            </w:pPr>
            <w:r w:rsidRPr="000A2558">
              <w:t>National Code of Practice for the Control of Major Hazard Facilities [NOHSC:2016 (1996)] (where applicable)</w:t>
            </w:r>
          </w:p>
          <w:p w:rsidR="00000000" w:rsidP="000A2558">
            <w:pPr>
              <w:pStyle w:val="BodyText"/>
              <w:rPr>
                <w:lang w:val="en-NZ"/>
              </w:rPr>
            </w:pPr>
          </w:p>
        </w:tc>
      </w:tr>
      <w:tr w:rsidTr="00707A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rPr>
                <w:rStyle w:val="SpecialBold"/>
              </w:rPr>
              <w:t>Procedu</w:t>
            </w:r>
            <w:r w:rsidRPr="000A2558">
              <w:rPr>
                <w:rStyle w:val="SpecialBold"/>
              </w:rPr>
              <w:t>res</w:t>
            </w:r>
          </w:p>
        </w:tc>
        <w:tc>
          <w:tcPr>
            <w:tcW w:w="0" w:type="auto"/>
            <w:tcBorders>
              <w:top w:val="nil"/>
              <w:left w:val="nil"/>
              <w:bottom w:val="nil"/>
              <w:right w:val="nil"/>
            </w:tcBorders>
            <w:tcMar>
              <w:top w:w="0" w:type="dxa"/>
              <w:left w:w="62" w:type="dxa"/>
              <w:bottom w:w="0" w:type="dxa"/>
              <w:right w:w="62" w:type="dxa"/>
            </w:tcMar>
          </w:tcPr>
          <w:p w:rsidR="00000000" w:rsidRPr="000A2558" w:rsidP="000A2558">
            <w:pPr>
              <w:pStyle w:val="BodyText"/>
            </w:pPr>
            <w:r w:rsidRPr="000A2558">
              <w:t>All operations must be performed in accordance with relevant procedures.</w:t>
            </w:r>
          </w:p>
          <w:p w:rsidR="00000000" w:rsidRPr="000A2558" w:rsidP="000A2558">
            <w:pPr>
              <w:pStyle w:val="BodyText"/>
            </w:pPr>
            <w:r w:rsidRPr="000A2558">
              <w:t>Procedures are written, verbal, visual, computer-based or in some other form, and include one or more of the following:</w:t>
            </w:r>
          </w:p>
          <w:p w:rsidR="00000000" w:rsidRPr="000A2558" w:rsidP="000A2558">
            <w:pPr>
              <w:pStyle w:val="ListBullet"/>
            </w:pPr>
            <w:r w:rsidRPr="000A2558">
              <w:t>emergency procedures</w:t>
            </w:r>
          </w:p>
          <w:p w:rsidR="00000000" w:rsidRPr="000A2558" w:rsidP="000A2558">
            <w:pPr>
              <w:pStyle w:val="ListBullet"/>
            </w:pPr>
            <w:r w:rsidRPr="000A2558">
              <w:t>work instructions</w:t>
            </w:r>
          </w:p>
          <w:p w:rsidR="00000000" w:rsidRPr="000A2558" w:rsidP="000A2558">
            <w:pPr>
              <w:pStyle w:val="ListBullet"/>
            </w:pPr>
            <w:r w:rsidRPr="000A2558">
              <w:t xml:space="preserve">standard operating </w:t>
            </w:r>
            <w:r w:rsidRPr="000A2558">
              <w:t>procedures (SOPs)</w:t>
            </w:r>
          </w:p>
          <w:p w:rsidR="00000000" w:rsidRPr="000A2558" w:rsidP="000A2558">
            <w:pPr>
              <w:pStyle w:val="ListBullet"/>
            </w:pPr>
            <w:r w:rsidRPr="000A2558">
              <w:t>safe work method statements (SWMS)</w:t>
            </w:r>
          </w:p>
          <w:p w:rsidR="00000000" w:rsidRPr="000A2558" w:rsidP="000A2558">
            <w:pPr>
              <w:pStyle w:val="ListBullet"/>
            </w:pPr>
            <w:r w:rsidRPr="000A2558">
              <w:t>temporary instructions</w:t>
            </w:r>
          </w:p>
          <w:p w:rsidR="00000000" w:rsidRPr="000A2558" w:rsidP="000A2558">
            <w:pPr>
              <w:pStyle w:val="ListBullet"/>
            </w:pPr>
            <w:r w:rsidRPr="000A2558">
              <w:t>any similar instructions provided for the smooth running of the plant</w:t>
            </w:r>
          </w:p>
          <w:p w:rsidR="00000000" w:rsidP="000A2558">
            <w:pPr>
              <w:pStyle w:val="BodyText"/>
              <w:rPr>
                <w:lang w:val="en-NZ"/>
              </w:rPr>
            </w:pPr>
          </w:p>
        </w:tc>
      </w:tr>
      <w:tr w:rsidTr="00707A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rPr>
                <w:rStyle w:val="SpecialBold"/>
              </w:rPr>
              <w:t xml:space="preserve">Hazards and incidents </w:t>
            </w:r>
          </w:p>
        </w:tc>
        <w:tc>
          <w:tcPr>
            <w:tcW w:w="0" w:type="auto"/>
            <w:tcBorders>
              <w:top w:val="nil"/>
              <w:left w:val="nil"/>
              <w:bottom w:val="nil"/>
              <w:right w:val="nil"/>
            </w:tcBorders>
            <w:tcMar>
              <w:top w:w="0" w:type="dxa"/>
              <w:left w:w="62" w:type="dxa"/>
              <w:bottom w:w="0" w:type="dxa"/>
              <w:right w:w="62" w:type="dxa"/>
            </w:tcMar>
          </w:tcPr>
          <w:p w:rsidR="00000000" w:rsidRPr="000A2558" w:rsidP="000A2558">
            <w:pPr>
              <w:pStyle w:val="BodyText"/>
            </w:pPr>
            <w:r w:rsidRPr="000A2558">
              <w:t>Hazards and incidents include one or more of the following:</w:t>
            </w:r>
          </w:p>
          <w:p w:rsidR="00000000" w:rsidRPr="000A2558" w:rsidP="000A2558">
            <w:pPr>
              <w:pStyle w:val="ListBullet"/>
            </w:pPr>
            <w:r w:rsidRPr="000A2558">
              <w:t>smoke, darkness and heat</w:t>
            </w:r>
          </w:p>
          <w:p w:rsidR="00000000" w:rsidRPr="000A2558" w:rsidP="000A2558">
            <w:pPr>
              <w:pStyle w:val="ListBullet"/>
            </w:pPr>
            <w:r w:rsidRPr="000A2558">
              <w:t>heat, smoke, dust or other atmospheric hazards</w:t>
            </w:r>
          </w:p>
          <w:p w:rsidR="00000000" w:rsidRPr="000A2558" w:rsidP="000A2558">
            <w:pPr>
              <w:pStyle w:val="ListBullet"/>
            </w:pPr>
            <w:r w:rsidRPr="000A2558">
              <w:t>electricity</w:t>
            </w:r>
          </w:p>
          <w:p w:rsidR="00000000" w:rsidRPr="000A2558" w:rsidP="000A2558">
            <w:pPr>
              <w:pStyle w:val="ListBullet"/>
            </w:pPr>
            <w:r w:rsidRPr="000A2558">
              <w:t>gas</w:t>
            </w:r>
          </w:p>
          <w:p w:rsidR="00000000" w:rsidRPr="000A2558" w:rsidP="000A2558">
            <w:pPr>
              <w:pStyle w:val="ListBullet"/>
            </w:pPr>
            <w:r w:rsidRPr="000A2558">
              <w:t xml:space="preserve">gases and liquids under pressure </w:t>
            </w:r>
          </w:p>
          <w:p w:rsidR="00000000" w:rsidRPr="000A2558" w:rsidP="000A2558">
            <w:pPr>
              <w:pStyle w:val="ListBullet"/>
            </w:pPr>
            <w:r w:rsidRPr="000A2558">
              <w:t>structural hazards</w:t>
            </w:r>
          </w:p>
          <w:p w:rsidR="00000000" w:rsidRPr="000A2558" w:rsidP="000A2558">
            <w:pPr>
              <w:pStyle w:val="ListBullet"/>
            </w:pPr>
            <w:r w:rsidRPr="000A2558">
              <w:t>structural collapse</w:t>
            </w:r>
          </w:p>
          <w:p w:rsidR="00000000" w:rsidRPr="000A2558" w:rsidP="000A2558">
            <w:pPr>
              <w:pStyle w:val="ListBullet"/>
            </w:pPr>
            <w:r w:rsidRPr="000A2558">
              <w:t>equipment failures</w:t>
            </w:r>
          </w:p>
          <w:p w:rsidR="00000000" w:rsidRPr="000A2558" w:rsidP="000A2558">
            <w:pPr>
              <w:pStyle w:val="ListBullet"/>
            </w:pPr>
            <w:r w:rsidRPr="000A2558">
              <w:t>industrial (machinery, equipment and product)</w:t>
            </w:r>
          </w:p>
          <w:p w:rsidR="00000000" w:rsidRPr="000A2558" w:rsidP="000A2558">
            <w:pPr>
              <w:pStyle w:val="ListBullet"/>
            </w:pPr>
            <w:r w:rsidRPr="000A2558">
              <w:t>equipment or product mass</w:t>
            </w:r>
          </w:p>
          <w:p w:rsidR="00000000" w:rsidRPr="000A2558" w:rsidP="000A2558">
            <w:pPr>
              <w:pStyle w:val="ListBullet"/>
            </w:pPr>
            <w:r w:rsidRPr="000A2558">
              <w:t xml:space="preserve">noise, rotational equipment </w:t>
            </w:r>
            <w:r w:rsidRPr="000A2558">
              <w:t>or vibration</w:t>
            </w:r>
          </w:p>
          <w:p w:rsidR="00000000" w:rsidRPr="000A2558" w:rsidP="000A2558">
            <w:pPr>
              <w:pStyle w:val="ListBullet"/>
            </w:pPr>
            <w:r w:rsidRPr="000A2558">
              <w:t xml:space="preserve">limited head spaces or overhangs </w:t>
            </w:r>
          </w:p>
          <w:p w:rsidR="00000000" w:rsidRPr="000A2558" w:rsidP="000A2558">
            <w:pPr>
              <w:pStyle w:val="ListBullet"/>
            </w:pPr>
            <w:r w:rsidRPr="000A2558">
              <w:t>working at heights, in restricted or confined spaces, or in environments subjected to heat, noise, dusts or vapours</w:t>
            </w:r>
          </w:p>
          <w:p w:rsidR="00000000" w:rsidRPr="000A2558" w:rsidP="000A2558">
            <w:pPr>
              <w:pStyle w:val="ListBullet"/>
            </w:pPr>
            <w:r w:rsidRPr="000A2558">
              <w:t>flammability and explosivity</w:t>
            </w:r>
          </w:p>
          <w:p w:rsidR="00000000" w:rsidRPr="000A2558" w:rsidP="000A2558">
            <w:pPr>
              <w:pStyle w:val="ListBullet"/>
            </w:pPr>
            <w:r w:rsidRPr="000A2558">
              <w:t>hazardous products and materials</w:t>
            </w:r>
          </w:p>
          <w:p w:rsidR="00000000" w:rsidRPr="000A2558" w:rsidP="000A2558">
            <w:pPr>
              <w:pStyle w:val="ListBullet"/>
            </w:pPr>
            <w:r w:rsidRPr="000A2558">
              <w:t>unauthorised personnel</w:t>
            </w:r>
          </w:p>
          <w:p w:rsidR="00000000" w:rsidRPr="000A2558" w:rsidP="000A2558">
            <w:pPr>
              <w:pStyle w:val="ListBullet"/>
            </w:pPr>
            <w:r w:rsidRPr="000A2558">
              <w:t>sharp edges, protrusions or obstructions</w:t>
            </w:r>
          </w:p>
          <w:p w:rsidR="00000000" w:rsidRPr="000A2558" w:rsidP="000A2558">
            <w:pPr>
              <w:pStyle w:val="ListBullet"/>
            </w:pPr>
            <w:r w:rsidRPr="000A2558">
              <w:t>slippery surfaces, spills or leaks</w:t>
            </w:r>
          </w:p>
          <w:p w:rsidR="00000000" w:rsidRPr="000A2558" w:rsidP="000A2558">
            <w:pPr>
              <w:pStyle w:val="ListBullet"/>
            </w:pPr>
            <w:r w:rsidRPr="000A2558">
              <w:t>limited head spaces or overhangs</w:t>
            </w:r>
          </w:p>
          <w:p w:rsidR="00000000" w:rsidRPr="000A2558" w:rsidP="000A2558">
            <w:pPr>
              <w:pStyle w:val="ListBullet"/>
            </w:pPr>
            <w:r w:rsidRPr="000A2558">
              <w:t>extreme weather</w:t>
            </w:r>
          </w:p>
          <w:p w:rsidR="00000000" w:rsidRPr="000A2558" w:rsidP="000A2558">
            <w:pPr>
              <w:pStyle w:val="ListBullet"/>
            </w:pPr>
            <w:r w:rsidRPr="000A2558">
              <w:t>other hazards that might arise</w:t>
            </w:r>
          </w:p>
          <w:p w:rsidR="00000000" w:rsidP="000A2558">
            <w:pPr>
              <w:pStyle w:val="BodyText"/>
              <w:rPr>
                <w:lang w:val="en-NZ"/>
              </w:rPr>
            </w:pPr>
          </w:p>
        </w:tc>
      </w:tr>
      <w:tr w:rsidTr="00707A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0A2558" w:rsidP="000A2558">
            <w:pPr>
              <w:pStyle w:val="BodyText"/>
            </w:pPr>
            <w:r w:rsidRPr="000A2558">
              <w:t>Tools and equipment include one or more of the following:</w:t>
            </w:r>
          </w:p>
          <w:p w:rsidR="00000000" w:rsidRPr="000A2558" w:rsidP="000A2558">
            <w:pPr>
              <w:pStyle w:val="ListBullet"/>
            </w:pPr>
            <w:r w:rsidRPr="000A2558">
              <w:t>personal protective</w:t>
            </w:r>
            <w:r w:rsidRPr="000A2558">
              <w:t xml:space="preserve"> equipment (PPE) </w:t>
            </w:r>
          </w:p>
          <w:p w:rsidR="00000000" w:rsidRPr="000A2558" w:rsidP="000A2558">
            <w:pPr>
              <w:pStyle w:val="ListBullet"/>
            </w:pPr>
            <w:r w:rsidRPr="000A2558">
              <w:t>incident response equipment, such as spill kits and vapour dispersion</w:t>
            </w:r>
          </w:p>
          <w:p w:rsidR="00000000" w:rsidRPr="000A2558" w:rsidP="000A2558">
            <w:pPr>
              <w:pStyle w:val="ListBullet"/>
            </w:pPr>
            <w:r w:rsidRPr="000A2558">
              <w:t>evacuation equipment</w:t>
            </w:r>
          </w:p>
          <w:p w:rsidR="00000000" w:rsidRPr="000A2558" w:rsidP="000A2558">
            <w:pPr>
              <w:pStyle w:val="ListBullet"/>
            </w:pPr>
            <w:r w:rsidRPr="000A2558">
              <w:t>survival equipment</w:t>
            </w:r>
          </w:p>
          <w:p w:rsidR="00000000" w:rsidRPr="000A2558" w:rsidP="000A2558">
            <w:pPr>
              <w:pStyle w:val="ListBullet"/>
            </w:pPr>
            <w:r w:rsidRPr="000A2558">
              <w:t>breathing apparatus</w:t>
            </w:r>
          </w:p>
          <w:p w:rsidR="00000000" w:rsidRPr="000A2558" w:rsidP="000A2558">
            <w:pPr>
              <w:pStyle w:val="ListBullet"/>
            </w:pPr>
            <w:r w:rsidRPr="000A2558">
              <w:t>smoke or self rescue respirators</w:t>
            </w:r>
          </w:p>
          <w:p w:rsidR="00000000" w:rsidRPr="000A2558" w:rsidP="000A2558">
            <w:pPr>
              <w:pStyle w:val="ListBullet"/>
            </w:pPr>
            <w:r w:rsidRPr="000A2558">
              <w:t>atmosphere/gas testing equipment</w:t>
            </w:r>
          </w:p>
          <w:p w:rsidR="00000000" w:rsidRPr="000A2558" w:rsidP="000A2558">
            <w:pPr>
              <w:pStyle w:val="ListBullet"/>
            </w:pPr>
            <w:r w:rsidRPr="000A2558">
              <w:t>mobile and portable equipment</w:t>
            </w:r>
          </w:p>
          <w:p w:rsidR="00000000" w:rsidRPr="000A2558" w:rsidP="000A2558">
            <w:pPr>
              <w:pStyle w:val="ListBullet"/>
            </w:pPr>
            <w:r w:rsidRPr="000A2558">
              <w:t>first aid e</w:t>
            </w:r>
            <w:r w:rsidRPr="000A2558">
              <w:t>quipment</w:t>
            </w:r>
          </w:p>
          <w:p w:rsidR="00000000" w:rsidRPr="000A2558" w:rsidP="000A2558">
            <w:pPr>
              <w:pStyle w:val="ListBullet"/>
            </w:pPr>
            <w:r w:rsidRPr="000A2558">
              <w:t>pipeline repair clamps</w:t>
            </w:r>
          </w:p>
          <w:p w:rsidR="00000000" w:rsidRPr="000A2558" w:rsidP="000A2558">
            <w:pPr>
              <w:pStyle w:val="ListBullet"/>
            </w:pPr>
            <w:r w:rsidRPr="000A2558">
              <w:t>lamb air movers</w:t>
            </w:r>
          </w:p>
          <w:p w:rsidR="00000000" w:rsidRPr="000A2558" w:rsidP="000A2558">
            <w:pPr>
              <w:pStyle w:val="ListBullet"/>
            </w:pPr>
            <w:r w:rsidRPr="000A2558">
              <w:t>barricades and signage</w:t>
            </w:r>
          </w:p>
          <w:p w:rsidR="00000000" w:rsidRPr="000A2558" w:rsidP="000A2558">
            <w:pPr>
              <w:pStyle w:val="ListBullet"/>
            </w:pPr>
            <w:r w:rsidRPr="000A2558">
              <w:t>communications equipment, such as two-way radios, mobile and satellite phones and pagers</w:t>
            </w:r>
          </w:p>
          <w:p w:rsidR="00000000" w:rsidP="000A2558">
            <w:pPr>
              <w:pStyle w:val="BodyText"/>
              <w:rPr>
                <w:lang w:val="en-NZ"/>
              </w:rPr>
            </w:pPr>
          </w:p>
        </w:tc>
      </w:tr>
      <w:tr w:rsidTr="00707A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2558">
            <w:pPr>
              <w:pStyle w:val="BodyText"/>
              <w:rPr>
                <w:lang w:val="en-NZ"/>
              </w:rPr>
            </w:pPr>
            <w:r w:rsidRPr="000A2558">
              <w:rPr>
                <w:rStyle w:val="SpecialBold"/>
              </w:rPr>
              <w:t>Responsible authorities</w:t>
            </w:r>
          </w:p>
        </w:tc>
        <w:tc>
          <w:tcPr>
            <w:tcW w:w="0" w:type="auto"/>
            <w:tcBorders>
              <w:top w:val="nil"/>
              <w:left w:val="nil"/>
              <w:bottom w:val="nil"/>
              <w:right w:val="nil"/>
            </w:tcBorders>
            <w:tcMar>
              <w:top w:w="0" w:type="dxa"/>
              <w:left w:w="62" w:type="dxa"/>
              <w:bottom w:w="0" w:type="dxa"/>
              <w:right w:w="62" w:type="dxa"/>
            </w:tcMar>
          </w:tcPr>
          <w:p w:rsidR="00000000" w:rsidRPr="000A2558" w:rsidP="000A2558">
            <w:pPr>
              <w:pStyle w:val="BodyText"/>
            </w:pPr>
            <w:r w:rsidRPr="000A2558">
              <w:t>Responsible authorities include one or more of the following:</w:t>
            </w:r>
          </w:p>
          <w:p w:rsidR="00000000" w:rsidRPr="000A2558" w:rsidP="000A2558">
            <w:pPr>
              <w:pStyle w:val="ListBullet"/>
            </w:pPr>
            <w:r w:rsidRPr="000A2558">
              <w:t>interna</w:t>
            </w:r>
            <w:r w:rsidRPr="000A2558">
              <w:t>l personnel:</w:t>
            </w:r>
          </w:p>
          <w:p w:rsidR="00000000" w:rsidRPr="000A2558" w:rsidP="000A2558">
            <w:pPr>
              <w:pStyle w:val="ListBullet2"/>
            </w:pPr>
            <w:r w:rsidRPr="000A2558">
              <w:t>employer</w:t>
            </w:r>
          </w:p>
          <w:p w:rsidR="00000000" w:rsidRPr="000A2558" w:rsidP="000A2558">
            <w:pPr>
              <w:pStyle w:val="ListBullet2"/>
            </w:pPr>
            <w:r w:rsidRPr="000A2558">
              <w:t>supervisor</w:t>
            </w:r>
          </w:p>
          <w:p w:rsidR="00000000" w:rsidRPr="000A2558" w:rsidP="000A2558">
            <w:pPr>
              <w:pStyle w:val="ListBullet2"/>
            </w:pPr>
            <w:r w:rsidRPr="000A2558">
              <w:t>employees elected as incident team leader</w:t>
            </w:r>
          </w:p>
          <w:p w:rsidR="00000000" w:rsidRPr="000A2558" w:rsidP="000A2558">
            <w:pPr>
              <w:pStyle w:val="ListBullet2"/>
            </w:pPr>
            <w:r w:rsidRPr="000A2558">
              <w:t>other personnel with incident team leader responsibilities</w:t>
            </w:r>
          </w:p>
          <w:p w:rsidR="00000000" w:rsidRPr="000A2558" w:rsidP="000A2558">
            <w:pPr>
              <w:pStyle w:val="ListBullet"/>
            </w:pPr>
            <w:r w:rsidRPr="000A2558">
              <w:t>external personnel:</w:t>
            </w:r>
          </w:p>
          <w:p w:rsidR="00000000" w:rsidRPr="000A2558" w:rsidP="000A2558">
            <w:pPr>
              <w:pStyle w:val="ListBullet2"/>
            </w:pPr>
            <w:r w:rsidRPr="000A2558">
              <w:t>police</w:t>
            </w:r>
          </w:p>
          <w:p w:rsidR="00000000" w:rsidRPr="000A2558" w:rsidP="000A2558">
            <w:pPr>
              <w:pStyle w:val="ListBullet2"/>
            </w:pPr>
            <w:r w:rsidRPr="000A2558">
              <w:t>fire brigade</w:t>
            </w:r>
          </w:p>
          <w:p w:rsidR="00000000" w:rsidRPr="000A2558" w:rsidP="000A2558">
            <w:pPr>
              <w:pStyle w:val="ListBullet2"/>
            </w:pPr>
            <w:r w:rsidRPr="000A2558">
              <w:t>ambulance</w:t>
            </w:r>
          </w:p>
          <w:p w:rsidR="00000000" w:rsidRPr="000A2558" w:rsidP="000A2558">
            <w:pPr>
              <w:pStyle w:val="BodyText"/>
            </w:pPr>
          </w:p>
        </w:tc>
      </w:tr>
    </w:tbl>
    <w:p w:rsidR="00000000" w:rsidRPr="000A2558" w:rsidP="000A2558">
      <w:pPr>
        <w:pStyle w:val="BodyText"/>
      </w:pPr>
    </w:p>
    <w:p w:rsidR="00000000" w:rsidRPr="000A2558" w:rsidP="000A2558">
      <w:pPr>
        <w:pStyle w:val="AllowPageBreak"/>
      </w:pPr>
    </w:p>
    <w:p w:rsidR="00000000" w:rsidRPr="000A2558" w:rsidP="000A2558">
      <w:pPr>
        <w:pStyle w:val="Heading1"/>
      </w:pPr>
      <w:bookmarkStart w:id="9" w:name="O_939337"/>
      <w:bookmarkEnd w:id="9"/>
      <w:r w:rsidRPr="000A2558">
        <w:t>Unit Mapping Information</w:t>
      </w:r>
    </w:p>
    <w:p w:rsidR="00000000" w:rsidRPr="000A2558" w:rsidP="00707ABC">
      <w:pPr>
        <w:pStyle w:val="BodyText"/>
      </w:pPr>
      <w:r w:rsidRPr="000A2558">
        <w:t>Release 2.  Addition of information missing from the Assessment Requirements. Equivalent.</w:t>
      </w:r>
    </w:p>
    <w:p w:rsidR="00000000" w:rsidRPr="000A2558" w:rsidP="00707ABC">
      <w:pPr>
        <w:pStyle w:val="BodyText"/>
      </w:pPr>
      <w:r w:rsidRPr="000A2558">
        <w:t>Release 1. Supersedes and is equivalent to MSAPMOHS210B Undertake first response to non-fire incidents</w:t>
      </w:r>
    </w:p>
    <w:p w:rsidR="00000000" w:rsidRPr="000A2558" w:rsidP="000A2558">
      <w:pPr>
        <w:pStyle w:val="Heading1"/>
      </w:pPr>
      <w:bookmarkStart w:id="10" w:name="O_939346"/>
      <w:bookmarkEnd w:id="10"/>
      <w:r w:rsidRPr="000A2558">
        <w:t>Links</w:t>
      </w:r>
    </w:p>
    <w:p w:rsidR="00000000" w:rsidRPr="000A2558" w:rsidP="00707ABC">
      <w:pPr>
        <w:pStyle w:val="BodyText"/>
      </w:pPr>
      <w:r w:rsidRPr="000A2558">
        <w:t>Companion Volume implementation guides a</w:t>
      </w:r>
      <w:r w:rsidRPr="000A2558">
        <w:t xml:space="preserve">re found in VETNet - </w:t>
      </w:r>
      <w:r>
        <w:fldChar w:fldCharType="begin"/>
      </w:r>
      <w:r>
        <w:instrText xml:space="preserve"> HYPERLINK "https://vetnet.gov.au/Pages/TrainingDocs.aspx?q=d1287d36-dff4-4e9f-ad2c-9d6270054027" </w:instrText>
      </w:r>
      <w:r>
        <w:fldChar w:fldCharType="separate"/>
      </w:r>
      <w:r w:rsidRPr="00FE26A9">
        <w:rPr>
          <w:rStyle w:val="Hyperlink"/>
        </w:rPr>
        <w:t>https://vetnet.gov.au/Pages/TrainingDocs.aspx?q=d1287d36-dff4-4e9f-ad2c-9d6270054027</w:t>
      </w:r>
      <w:r>
        <w:fldChar w:fldCharType="end"/>
      </w:r>
    </w:p>
    <w:p w:rsidR="00000000" w:rsidRPr="000A2558" w:rsidP="000A2558"/>
    <w:sectPr w:rsidSect="000A25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5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558" w:rsidRPr="00707ABC" w:rsidP="00707A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5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ABC" w:rsidP="000A25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7ABC" w:rsidP="000A255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07ABC" w:rsidP="000A25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5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A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2558" w:rsidRPr="00707ABC" w:rsidP="00707A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5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ABC" w:rsidRPr="002D2AF8" w:rsidP="000A2558">
    <w:pPr>
      <w:pStyle w:val="Header"/>
      <w:framePr w:wrap="around"/>
    </w:pPr>
    <w:r>
      <w:fldChar w:fldCharType="begin"/>
    </w:r>
    <w:r>
      <w:instrText xml:space="preserve"> TITLE   \* MERGEFORMAT </w:instrText>
    </w:r>
    <w:r>
      <w:fldChar w:fldCharType="separate"/>
    </w:r>
    <w:r>
      <w:t>MSMWHS210 Undertake first response to non-fire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07ABC" w:rsidP="000A25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8828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64BD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F431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5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558"/>
    <w:pPr>
      <w:spacing w:before="360" w:after="60"/>
      <w:outlineLvl w:val="0"/>
    </w:pPr>
    <w:rPr>
      <w:sz w:val="32"/>
    </w:rPr>
  </w:style>
  <w:style w:type="paragraph" w:styleId="Heading2">
    <w:name w:val="heading 2"/>
    <w:basedOn w:val="HeadingBase"/>
    <w:next w:val="BodyText"/>
    <w:link w:val="Heading2Char"/>
    <w:qFormat/>
    <w:rsid w:val="000A2558"/>
    <w:pPr>
      <w:keepLines/>
      <w:spacing w:before="240" w:after="120"/>
      <w:outlineLvl w:val="1"/>
    </w:pPr>
    <w:rPr>
      <w:sz w:val="28"/>
      <w:szCs w:val="40"/>
    </w:rPr>
  </w:style>
  <w:style w:type="paragraph" w:styleId="Heading3">
    <w:name w:val="heading 3"/>
    <w:basedOn w:val="HeadingBase"/>
    <w:next w:val="BodyText"/>
    <w:link w:val="Heading3Char"/>
    <w:qFormat/>
    <w:rsid w:val="000A2558"/>
    <w:pPr>
      <w:spacing w:before="180" w:after="120"/>
      <w:outlineLvl w:val="2"/>
    </w:pPr>
    <w:rPr>
      <w:spacing w:val="-10"/>
      <w:kern w:val="32"/>
    </w:rPr>
  </w:style>
  <w:style w:type="paragraph" w:styleId="Heading4">
    <w:name w:val="heading 4"/>
    <w:basedOn w:val="HeadingBase"/>
    <w:next w:val="BodyText"/>
    <w:link w:val="Heading4Char"/>
    <w:qFormat/>
    <w:rsid w:val="000A2558"/>
    <w:pPr>
      <w:spacing w:before="160" w:after="120"/>
      <w:outlineLvl w:val="3"/>
    </w:pPr>
    <w:rPr>
      <w:sz w:val="22"/>
    </w:rPr>
  </w:style>
  <w:style w:type="paragraph" w:styleId="Heading5">
    <w:name w:val="heading 5"/>
    <w:basedOn w:val="HeadingBase"/>
    <w:next w:val="Normal"/>
    <w:link w:val="Heading5Char"/>
    <w:qFormat/>
    <w:rsid w:val="000A2558"/>
    <w:pPr>
      <w:spacing w:before="80"/>
      <w:outlineLvl w:val="4"/>
    </w:pPr>
    <w:rPr>
      <w:color w:val="918585"/>
      <w:sz w:val="20"/>
    </w:rPr>
  </w:style>
  <w:style w:type="paragraph" w:styleId="Heading6">
    <w:name w:val="heading 6"/>
    <w:basedOn w:val="HeadingBase"/>
    <w:next w:val="Normal"/>
    <w:link w:val="Heading6Char"/>
    <w:qFormat/>
    <w:rsid w:val="000A2558"/>
    <w:pPr>
      <w:spacing w:before="60"/>
      <w:outlineLvl w:val="5"/>
    </w:pPr>
    <w:rPr>
      <w:color w:val="918585"/>
      <w:sz w:val="20"/>
    </w:rPr>
  </w:style>
  <w:style w:type="paragraph" w:styleId="Heading7">
    <w:name w:val="heading 7"/>
    <w:basedOn w:val="Normal"/>
    <w:next w:val="Normal"/>
    <w:link w:val="Heading7Char"/>
    <w:qFormat/>
    <w:rsid w:val="000A2558"/>
    <w:pPr>
      <w:ind w:left="720"/>
      <w:outlineLvl w:val="6"/>
    </w:pPr>
    <w:rPr>
      <w:i/>
    </w:rPr>
  </w:style>
  <w:style w:type="paragraph" w:styleId="Heading8">
    <w:name w:val="heading 8"/>
    <w:basedOn w:val="Normal"/>
    <w:next w:val="Normal"/>
    <w:link w:val="Heading8Char"/>
    <w:qFormat/>
    <w:rsid w:val="000A2558"/>
    <w:pPr>
      <w:ind w:left="720"/>
      <w:outlineLvl w:val="7"/>
    </w:pPr>
    <w:rPr>
      <w:i/>
    </w:rPr>
  </w:style>
  <w:style w:type="paragraph" w:styleId="Heading9">
    <w:name w:val="heading 9"/>
    <w:basedOn w:val="Normal"/>
    <w:next w:val="Normal"/>
    <w:link w:val="Heading9Char"/>
    <w:qFormat/>
    <w:rsid w:val="000A2558"/>
    <w:pPr>
      <w:ind w:left="720"/>
      <w:outlineLvl w:val="8"/>
    </w:pPr>
    <w:rPr>
      <w:i/>
    </w:rPr>
  </w:style>
  <w:style w:type="character" w:default="1" w:styleId="DefaultParagraphFont">
    <w:name w:val="Default Paragraph Font"/>
    <w:uiPriority w:val="1"/>
    <w:unhideWhenUsed/>
    <w:rsid w:val="000A25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558"/>
  </w:style>
  <w:style w:type="character" w:customStyle="1" w:styleId="Heading1Char">
    <w:name w:val="Heading 1 Char"/>
    <w:basedOn w:val="DefaultParagraphFont"/>
    <w:link w:val="Heading1"/>
    <w:rsid w:val="000A2558"/>
    <w:rPr>
      <w:rFonts w:ascii="Times New Roman" w:eastAsia="Times New Roman" w:hAnsi="Times New Roman" w:cs="Times New Roman"/>
      <w:b/>
      <w:sz w:val="32"/>
      <w:szCs w:val="20"/>
      <w:lang w:eastAsia="en-US"/>
    </w:rPr>
  </w:style>
  <w:style w:type="paragraph" w:styleId="BodyText">
    <w:name w:val="Body Text"/>
    <w:basedOn w:val="Normal"/>
    <w:link w:val="BodyTextChar"/>
    <w:rsid w:val="000A25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2558"/>
    <w:rPr>
      <w:rFonts w:ascii="Times New Roman" w:eastAsia="Times New Roman" w:hAnsi="Times New Roman" w:cs="Times New Roman"/>
      <w:sz w:val="24"/>
      <w:lang w:eastAsia="en-US"/>
    </w:rPr>
  </w:style>
  <w:style w:type="paragraph" w:styleId="ListBullet">
    <w:name w:val="List Bullet"/>
    <w:basedOn w:val="List"/>
    <w:rsid w:val="000A2558"/>
    <w:pPr>
      <w:numPr>
        <w:numId w:val="12"/>
      </w:numPr>
      <w:tabs>
        <w:tab w:val="clear" w:pos="340"/>
      </w:tabs>
      <w:spacing w:before="40" w:after="40"/>
    </w:pPr>
  </w:style>
  <w:style w:type="character" w:customStyle="1" w:styleId="SpecialBold">
    <w:name w:val="Special Bold"/>
    <w:basedOn w:val="DefaultParagraphFont"/>
    <w:rsid w:val="000A2558"/>
    <w:rPr>
      <w:b/>
      <w:spacing w:val="0"/>
    </w:rPr>
  </w:style>
  <w:style w:type="paragraph" w:styleId="ListBullet2">
    <w:name w:val="List Bullet 2"/>
    <w:basedOn w:val="List2"/>
    <w:rsid w:val="000A2558"/>
    <w:pPr>
      <w:numPr>
        <w:numId w:val="13"/>
      </w:numPr>
      <w:tabs>
        <w:tab w:val="clear" w:pos="680"/>
      </w:tabs>
    </w:pPr>
  </w:style>
  <w:style w:type="paragraph" w:customStyle="1" w:styleId="SuperHeading">
    <w:name w:val="SuperHeading"/>
    <w:basedOn w:val="Normal"/>
    <w:rsid w:val="000A2558"/>
    <w:pPr>
      <w:spacing w:before="240" w:after="120"/>
      <w:outlineLvl w:val="0"/>
    </w:pPr>
    <w:rPr>
      <w:rFonts w:ascii="Times New Roman" w:hAnsi="Times New Roman"/>
      <w:b/>
      <w:sz w:val="32"/>
    </w:rPr>
  </w:style>
  <w:style w:type="paragraph" w:customStyle="1" w:styleId="AllowPageBreak">
    <w:name w:val="AllowPageBreak"/>
    <w:rsid w:val="000A25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25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5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5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5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5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5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5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558"/>
    <w:rPr>
      <w:rFonts w:ascii="Courier New" w:eastAsia="Times New Roman" w:hAnsi="Courier New" w:cs="Times New Roman"/>
      <w:i/>
      <w:szCs w:val="20"/>
      <w:lang w:eastAsia="en-US"/>
    </w:rPr>
  </w:style>
  <w:style w:type="paragraph" w:customStyle="1" w:styleId="HeadingBase">
    <w:name w:val="Heading Base"/>
    <w:rsid w:val="000A25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558"/>
    <w:pPr>
      <w:tabs>
        <w:tab w:val="right" w:leader="dot" w:pos="9072"/>
      </w:tabs>
      <w:ind w:left="567"/>
    </w:pPr>
    <w:rPr>
      <w:szCs w:val="22"/>
    </w:rPr>
  </w:style>
  <w:style w:type="paragraph" w:customStyle="1" w:styleId="TOCBase">
    <w:name w:val="TOC Base"/>
    <w:rsid w:val="000A25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558"/>
    <w:pPr>
      <w:tabs>
        <w:tab w:val="right" w:leader="dot" w:pos="9072"/>
      </w:tabs>
      <w:spacing w:before="40" w:after="40"/>
      <w:ind w:left="284"/>
    </w:pPr>
    <w:rPr>
      <w:rFonts w:ascii="Times New Roman" w:hAnsi="Times New Roman"/>
    </w:rPr>
  </w:style>
  <w:style w:type="paragraph" w:styleId="TOC1">
    <w:name w:val="toc 1"/>
    <w:basedOn w:val="TOCBase"/>
    <w:next w:val="Normal"/>
    <w:rsid w:val="000A25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25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558"/>
    <w:rPr>
      <w:rFonts w:ascii="Times New Roman" w:eastAsia="Times New Roman" w:hAnsi="Times New Roman" w:cs="Times New Roman"/>
      <w:sz w:val="16"/>
      <w:lang w:eastAsia="en-US"/>
    </w:rPr>
  </w:style>
  <w:style w:type="paragraph" w:styleId="Title">
    <w:name w:val="Title"/>
    <w:basedOn w:val="HeadingBase"/>
    <w:link w:val="TitleChar"/>
    <w:qFormat/>
    <w:rsid w:val="000A2558"/>
    <w:pPr>
      <w:spacing w:before="5040"/>
      <w:jc w:val="center"/>
    </w:pPr>
    <w:rPr>
      <w:sz w:val="48"/>
      <w:szCs w:val="72"/>
      <w:lang w:val="en-US"/>
    </w:rPr>
  </w:style>
  <w:style w:type="character" w:customStyle="1" w:styleId="TitleChar">
    <w:name w:val="Title Char"/>
    <w:basedOn w:val="DefaultParagraphFont"/>
    <w:link w:val="Title"/>
    <w:rsid w:val="000A25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558"/>
    <w:pPr>
      <w:tabs>
        <w:tab w:val="left" w:pos="3600"/>
        <w:tab w:val="left" w:pos="3958"/>
      </w:tabs>
    </w:pPr>
  </w:style>
  <w:style w:type="paragraph" w:styleId="List">
    <w:name w:val="List"/>
    <w:basedOn w:val="BodyText"/>
    <w:next w:val="BodyText"/>
    <w:rsid w:val="000A2558"/>
    <w:pPr>
      <w:tabs>
        <w:tab w:val="left" w:pos="340"/>
      </w:tabs>
      <w:spacing w:before="60" w:after="60"/>
      <w:ind w:left="340" w:hanging="340"/>
    </w:pPr>
  </w:style>
  <w:style w:type="paragraph" w:customStyle="1" w:styleId="Note">
    <w:name w:val="Note"/>
    <w:basedOn w:val="BodyText"/>
    <w:rsid w:val="000A25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558"/>
    <w:pPr>
      <w:framePr w:wrap="auto" w:hAnchor="text" w:y="6049"/>
    </w:pPr>
    <w:rPr>
      <w:color w:val="000000"/>
      <w:sz w:val="40"/>
    </w:rPr>
  </w:style>
  <w:style w:type="paragraph" w:customStyle="1" w:styleId="TOCTitle">
    <w:name w:val="TOCTitle"/>
    <w:basedOn w:val="Heading1"/>
    <w:rsid w:val="000A2558"/>
    <w:pPr>
      <w:spacing w:after="240"/>
      <w:jc w:val="center"/>
      <w:outlineLvl w:val="9"/>
    </w:pPr>
    <w:rPr>
      <w:caps/>
    </w:rPr>
  </w:style>
  <w:style w:type="paragraph" w:customStyle="1" w:styleId="Version">
    <w:name w:val="Version"/>
    <w:rsid w:val="000A25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558"/>
    <w:pPr>
      <w:keepNext w:val="0"/>
      <w:tabs>
        <w:tab w:val="right" w:pos="4176"/>
      </w:tabs>
      <w:ind w:left="198" w:hanging="198"/>
    </w:pPr>
    <w:rPr>
      <w:rFonts w:ascii="Garamond" w:hAnsi="Garamond"/>
    </w:rPr>
  </w:style>
  <w:style w:type="paragraph" w:styleId="IndexHeading">
    <w:name w:val="index heading"/>
    <w:basedOn w:val="Normal"/>
    <w:next w:val="Index1"/>
    <w:semiHidden/>
    <w:rsid w:val="000A2558"/>
    <w:pPr>
      <w:spacing w:before="120" w:after="120"/>
    </w:pPr>
    <w:rPr>
      <w:rFonts w:ascii="Arial" w:hAnsi="Arial"/>
      <w:b/>
      <w:color w:val="918585"/>
      <w:sz w:val="24"/>
    </w:rPr>
  </w:style>
  <w:style w:type="paragraph" w:styleId="Header">
    <w:name w:val="header"/>
    <w:basedOn w:val="Normal"/>
    <w:link w:val="HeaderChar"/>
    <w:rsid w:val="000A25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558"/>
    <w:rPr>
      <w:rFonts w:ascii="Times New Roman" w:eastAsia="Times New Roman" w:hAnsi="Times New Roman" w:cs="Times New Roman"/>
      <w:sz w:val="16"/>
      <w:szCs w:val="20"/>
      <w:lang w:val="en-GB" w:eastAsia="en-US"/>
    </w:rPr>
  </w:style>
  <w:style w:type="paragraph" w:customStyle="1" w:styleId="Chapter">
    <w:name w:val="Chapter"/>
    <w:basedOn w:val="Normal"/>
    <w:rsid w:val="000A2558"/>
    <w:pPr>
      <w:spacing w:before="240"/>
    </w:pPr>
    <w:rPr>
      <w:rFonts w:ascii="Times New Roman" w:hAnsi="Times New Roman"/>
      <w:smallCaps/>
      <w:spacing w:val="80"/>
      <w:sz w:val="28"/>
    </w:rPr>
  </w:style>
  <w:style w:type="paragraph" w:customStyle="1" w:styleId="InChapter">
    <w:name w:val="InChapter"/>
    <w:basedOn w:val="Heading3"/>
    <w:rsid w:val="000A2558"/>
    <w:pPr>
      <w:spacing w:after="240"/>
      <w:outlineLvl w:val="9"/>
    </w:pPr>
    <w:rPr>
      <w:noProof/>
    </w:rPr>
  </w:style>
  <w:style w:type="paragraph" w:styleId="Index2">
    <w:name w:val="index 2"/>
    <w:basedOn w:val="Normal"/>
    <w:next w:val="Normal"/>
    <w:semiHidden/>
    <w:rsid w:val="000A2558"/>
    <w:pPr>
      <w:tabs>
        <w:tab w:val="right" w:pos="4176"/>
      </w:tabs>
      <w:ind w:left="568" w:hanging="284"/>
    </w:pPr>
    <w:rPr>
      <w:rFonts w:ascii="Garamond" w:hAnsi="Garamond"/>
    </w:rPr>
  </w:style>
  <w:style w:type="paragraph" w:customStyle="1" w:styleId="Byline">
    <w:name w:val="Byline"/>
    <w:rsid w:val="000A25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558"/>
    <w:pPr>
      <w:tabs>
        <w:tab w:val="clear" w:pos="3600"/>
        <w:tab w:val="clear" w:pos="3958"/>
      </w:tabs>
      <w:jc w:val="right"/>
    </w:pPr>
  </w:style>
  <w:style w:type="character" w:styleId="Emphasis">
    <w:name w:val="Emphasis"/>
    <w:basedOn w:val="DefaultParagraphFont"/>
    <w:qFormat/>
    <w:rsid w:val="000A2558"/>
    <w:rPr>
      <w:i/>
    </w:rPr>
  </w:style>
  <w:style w:type="paragraph" w:styleId="Caption">
    <w:name w:val="caption"/>
    <w:basedOn w:val="BodyText"/>
    <w:next w:val="Normal"/>
    <w:qFormat/>
    <w:rsid w:val="000A2558"/>
    <w:pPr>
      <w:framePr w:w="2268" w:hSpace="181" w:vSpace="181" w:wrap="around" w:vAnchor="text" w:hAnchor="page" w:x="1135" w:y="285" w:anchorLock="1"/>
    </w:pPr>
    <w:rPr>
      <w:i/>
    </w:rPr>
  </w:style>
  <w:style w:type="paragraph" w:customStyle="1" w:styleId="MiniTOCTitle">
    <w:name w:val="MiniTOCTitle"/>
    <w:basedOn w:val="Heading4"/>
    <w:rsid w:val="000A2558"/>
    <w:pPr>
      <w:spacing w:before="240"/>
      <w:outlineLvl w:val="9"/>
    </w:pPr>
    <w:rPr>
      <w:noProof/>
      <w:sz w:val="24"/>
    </w:rPr>
  </w:style>
  <w:style w:type="paragraph" w:customStyle="1" w:styleId="MiniTOCItem">
    <w:name w:val="MiniTOCItem"/>
    <w:basedOn w:val="ListBullet"/>
    <w:rsid w:val="000A2558"/>
    <w:pPr>
      <w:numPr>
        <w:numId w:val="0"/>
      </w:numPr>
      <w:tabs>
        <w:tab w:val="right" w:leader="dot" w:pos="6521"/>
      </w:tabs>
      <w:spacing w:before="0" w:after="0"/>
    </w:pPr>
  </w:style>
  <w:style w:type="paragraph" w:customStyle="1" w:styleId="TOFTitle">
    <w:name w:val="TOFTitle"/>
    <w:basedOn w:val="TOCTitle"/>
    <w:rsid w:val="000A2558"/>
  </w:style>
  <w:style w:type="paragraph" w:styleId="TableofFigures">
    <w:name w:val="table of figures"/>
    <w:basedOn w:val="Normal"/>
    <w:next w:val="Normal"/>
    <w:semiHidden/>
    <w:rsid w:val="000A2558"/>
    <w:pPr>
      <w:tabs>
        <w:tab w:val="right" w:leader="dot" w:pos="9072"/>
      </w:tabs>
      <w:ind w:left="970" w:hanging="403"/>
    </w:pPr>
    <w:rPr>
      <w:rFonts w:ascii="Times New Roman" w:hAnsi="Times New Roman"/>
      <w:b/>
    </w:rPr>
  </w:style>
  <w:style w:type="paragraph" w:styleId="ListNumber">
    <w:name w:val="List Number"/>
    <w:basedOn w:val="List"/>
    <w:rsid w:val="000A2558"/>
    <w:pPr>
      <w:numPr>
        <w:numId w:val="15"/>
      </w:numPr>
      <w:tabs>
        <w:tab w:val="clear" w:pos="340"/>
      </w:tabs>
    </w:pPr>
  </w:style>
  <w:style w:type="character" w:customStyle="1" w:styleId="WingdingSymbols">
    <w:name w:val="Wingding Symbols"/>
    <w:rsid w:val="000A2558"/>
    <w:rPr>
      <w:rFonts w:ascii="Wingdings" w:hAnsi="Wingdings"/>
    </w:rPr>
  </w:style>
  <w:style w:type="paragraph" w:customStyle="1" w:styleId="TableHeading">
    <w:name w:val="Table Heading"/>
    <w:basedOn w:val="HeadingBase"/>
    <w:rsid w:val="000A2558"/>
    <w:pPr>
      <w:keepLines/>
      <w:pBdr>
        <w:bottom w:val="single" w:sz="6" w:space="1" w:color="918585"/>
      </w:pBdr>
      <w:spacing w:before="240"/>
    </w:pPr>
  </w:style>
  <w:style w:type="character" w:customStyle="1" w:styleId="HotSpot">
    <w:name w:val="HotSpot"/>
    <w:rsid w:val="000A2558"/>
    <w:rPr>
      <w:color w:val="0033CC"/>
      <w:u w:val="none"/>
    </w:rPr>
  </w:style>
  <w:style w:type="paragraph" w:customStyle="1" w:styleId="BodyTextRight">
    <w:name w:val="Body Text Right"/>
    <w:basedOn w:val="BodyText"/>
    <w:rsid w:val="000A2558"/>
    <w:pPr>
      <w:spacing w:before="0" w:after="0"/>
      <w:jc w:val="right"/>
    </w:pPr>
  </w:style>
  <w:style w:type="paragraph" w:styleId="Index3">
    <w:name w:val="index 3"/>
    <w:basedOn w:val="ListNumber2"/>
    <w:next w:val="Normal"/>
    <w:semiHidden/>
    <w:rsid w:val="000A2558"/>
    <w:pPr>
      <w:numPr>
        <w:numId w:val="0"/>
      </w:numPr>
      <w:tabs>
        <w:tab w:val="right" w:leader="dot" w:pos="4176"/>
      </w:tabs>
    </w:pPr>
  </w:style>
  <w:style w:type="paragraph" w:styleId="ListNumber2">
    <w:name w:val="List Number 2"/>
    <w:basedOn w:val="List2"/>
    <w:rsid w:val="000A2558"/>
    <w:pPr>
      <w:numPr>
        <w:numId w:val="10"/>
      </w:numPr>
      <w:tabs>
        <w:tab w:val="clear" w:pos="1060"/>
      </w:tabs>
    </w:pPr>
  </w:style>
  <w:style w:type="paragraph" w:customStyle="1" w:styleId="MarginNote">
    <w:name w:val="Margin Note"/>
    <w:basedOn w:val="BodyText"/>
    <w:rsid w:val="000A25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5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5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558"/>
    <w:rPr>
      <w:sz w:val="32"/>
    </w:rPr>
  </w:style>
  <w:style w:type="paragraph" w:customStyle="1" w:styleId="HeadingProcedure">
    <w:name w:val="Heading Procedure"/>
    <w:basedOn w:val="HeadingBase"/>
    <w:next w:val="Normal"/>
    <w:rsid w:val="000A2558"/>
    <w:pPr>
      <w:tabs>
        <w:tab w:val="left" w:pos="0"/>
      </w:tabs>
      <w:spacing w:before="120" w:after="60"/>
    </w:pPr>
    <w:rPr>
      <w:i/>
      <w:color w:val="918585"/>
      <w:sz w:val="22"/>
    </w:rPr>
  </w:style>
  <w:style w:type="paragraph" w:customStyle="1" w:styleId="TableBodyText">
    <w:name w:val="Table Body Text"/>
    <w:basedOn w:val="BodyText"/>
    <w:rsid w:val="000A2558"/>
    <w:pPr>
      <w:spacing w:before="60" w:after="60"/>
    </w:pPr>
  </w:style>
  <w:style w:type="paragraph" w:styleId="ListContinue">
    <w:name w:val="List Continue"/>
    <w:basedOn w:val="List"/>
    <w:rsid w:val="000A2558"/>
    <w:pPr>
      <w:ind w:firstLine="0"/>
    </w:pPr>
  </w:style>
  <w:style w:type="paragraph" w:customStyle="1" w:styleId="ListNote">
    <w:name w:val="List Note"/>
    <w:basedOn w:val="List"/>
    <w:rsid w:val="000A2558"/>
    <w:pPr>
      <w:pBdr>
        <w:top w:val="single" w:sz="6" w:space="2" w:color="918585"/>
        <w:bottom w:val="single" w:sz="6" w:space="2" w:color="918585"/>
      </w:pBdr>
      <w:tabs>
        <w:tab w:val="left" w:pos="1021"/>
      </w:tabs>
      <w:ind w:firstLine="0"/>
    </w:pPr>
  </w:style>
  <w:style w:type="paragraph" w:customStyle="1" w:styleId="Warning">
    <w:name w:val="Warning"/>
    <w:basedOn w:val="BodyText"/>
    <w:rsid w:val="000A2558"/>
    <w:pPr>
      <w:shd w:val="clear" w:color="auto" w:fill="D9D9D9"/>
      <w:tabs>
        <w:tab w:val="left" w:pos="992"/>
      </w:tabs>
      <w:ind w:left="119" w:right="119"/>
    </w:pPr>
    <w:rPr>
      <w:sz w:val="20"/>
    </w:rPr>
  </w:style>
  <w:style w:type="paragraph" w:customStyle="1" w:styleId="MarginIcons">
    <w:name w:val="Margin Icons"/>
    <w:basedOn w:val="BodyText"/>
    <w:rsid w:val="000A25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558"/>
    <w:rPr>
      <w:rFonts w:ascii="Courier New" w:hAnsi="Courier New"/>
    </w:rPr>
  </w:style>
  <w:style w:type="paragraph" w:customStyle="1" w:styleId="NoteBullet">
    <w:name w:val="Note Bullet"/>
    <w:basedOn w:val="Note"/>
    <w:rsid w:val="000A2558"/>
    <w:pPr>
      <w:tabs>
        <w:tab w:val="clear" w:pos="680"/>
      </w:tabs>
      <w:spacing w:before="60" w:after="60"/>
    </w:pPr>
  </w:style>
  <w:style w:type="paragraph" w:customStyle="1" w:styleId="SubHeading2">
    <w:name w:val="SubHeading2"/>
    <w:basedOn w:val="HeadingBase"/>
    <w:rsid w:val="000A2558"/>
    <w:pPr>
      <w:spacing w:before="240" w:after="60"/>
    </w:pPr>
    <w:rPr>
      <w:sz w:val="20"/>
    </w:rPr>
  </w:style>
  <w:style w:type="paragraph" w:customStyle="1" w:styleId="SubHeading1">
    <w:name w:val="SubHeading1"/>
    <w:basedOn w:val="HeadingBase"/>
    <w:rsid w:val="000A2558"/>
    <w:pPr>
      <w:spacing w:before="240" w:after="60"/>
    </w:pPr>
    <w:rPr>
      <w:color w:val="918585"/>
      <w:sz w:val="22"/>
    </w:rPr>
  </w:style>
  <w:style w:type="paragraph" w:customStyle="1" w:styleId="SideHeading">
    <w:name w:val="Side Heading"/>
    <w:basedOn w:val="HeadingBase"/>
    <w:rsid w:val="000A25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558"/>
    <w:pPr>
      <w:tabs>
        <w:tab w:val="num" w:pos="360"/>
      </w:tabs>
    </w:pPr>
  </w:style>
  <w:style w:type="paragraph" w:styleId="PlainText">
    <w:name w:val="Plain Text"/>
    <w:basedOn w:val="Normal"/>
    <w:link w:val="PlainTextChar"/>
    <w:rsid w:val="000A2558"/>
    <w:rPr>
      <w:sz w:val="20"/>
    </w:rPr>
  </w:style>
  <w:style w:type="character" w:customStyle="1" w:styleId="PlainTextChar">
    <w:name w:val="Plain Text Char"/>
    <w:basedOn w:val="DefaultParagraphFont"/>
    <w:link w:val="PlainText"/>
    <w:rsid w:val="000A2558"/>
    <w:rPr>
      <w:rFonts w:ascii="Courier New" w:eastAsia="Times New Roman" w:hAnsi="Courier New" w:cs="Times New Roman"/>
      <w:sz w:val="20"/>
      <w:szCs w:val="20"/>
      <w:lang w:eastAsia="en-US"/>
    </w:rPr>
  </w:style>
  <w:style w:type="character" w:customStyle="1" w:styleId="MenuOption">
    <w:name w:val="Menu Option"/>
    <w:basedOn w:val="DefaultParagraphFont"/>
    <w:rsid w:val="000A2558"/>
    <w:rPr>
      <w:b/>
      <w:smallCaps/>
    </w:rPr>
  </w:style>
  <w:style w:type="paragraph" w:customStyle="1" w:styleId="TableListNumber">
    <w:name w:val="Table List Number"/>
    <w:basedOn w:val="ListNumber"/>
    <w:rsid w:val="000A2558"/>
    <w:pPr>
      <w:numPr>
        <w:numId w:val="0"/>
      </w:numPr>
    </w:pPr>
  </w:style>
  <w:style w:type="paragraph" w:styleId="TOC4">
    <w:name w:val="toc 4"/>
    <w:basedOn w:val="TOCBase"/>
    <w:next w:val="Normal"/>
    <w:semiHidden/>
    <w:rsid w:val="000A2558"/>
    <w:pPr>
      <w:tabs>
        <w:tab w:val="right" w:leader="dot" w:pos="9071"/>
      </w:tabs>
      <w:ind w:left="1701"/>
    </w:pPr>
  </w:style>
  <w:style w:type="paragraph" w:customStyle="1" w:styleId="ListAlpha">
    <w:name w:val="List Alpha"/>
    <w:basedOn w:val="List"/>
    <w:rsid w:val="000A2558"/>
    <w:pPr>
      <w:numPr>
        <w:numId w:val="9"/>
      </w:numPr>
    </w:pPr>
  </w:style>
  <w:style w:type="paragraph" w:customStyle="1" w:styleId="ListAlpha2">
    <w:name w:val="List Alpha 2"/>
    <w:basedOn w:val="List2"/>
    <w:rsid w:val="000A2558"/>
    <w:pPr>
      <w:numPr>
        <w:numId w:val="8"/>
      </w:numPr>
    </w:pPr>
  </w:style>
  <w:style w:type="paragraph" w:styleId="List2">
    <w:name w:val="List 2"/>
    <w:basedOn w:val="BodyText"/>
    <w:rsid w:val="000A2558"/>
    <w:pPr>
      <w:tabs>
        <w:tab w:val="left" w:pos="680"/>
      </w:tabs>
      <w:spacing w:before="60" w:after="60"/>
      <w:ind w:left="680" w:hanging="340"/>
    </w:pPr>
  </w:style>
  <w:style w:type="paragraph" w:styleId="List3">
    <w:name w:val="List 3"/>
    <w:basedOn w:val="BodyText"/>
    <w:rsid w:val="000A2558"/>
    <w:pPr>
      <w:tabs>
        <w:tab w:val="left" w:pos="1021"/>
      </w:tabs>
      <w:spacing w:before="60" w:after="60"/>
      <w:ind w:left="1020" w:hanging="340"/>
    </w:pPr>
  </w:style>
  <w:style w:type="paragraph" w:styleId="List4">
    <w:name w:val="List 4"/>
    <w:basedOn w:val="BodyText"/>
    <w:rsid w:val="000A2558"/>
    <w:pPr>
      <w:tabs>
        <w:tab w:val="left" w:pos="1361"/>
      </w:tabs>
      <w:spacing w:before="60" w:after="60"/>
      <w:ind w:left="1361" w:hanging="340"/>
    </w:pPr>
  </w:style>
  <w:style w:type="paragraph" w:styleId="List5">
    <w:name w:val="List 5"/>
    <w:basedOn w:val="BodyText"/>
    <w:rsid w:val="000A2558"/>
    <w:pPr>
      <w:tabs>
        <w:tab w:val="left" w:pos="1701"/>
      </w:tabs>
      <w:spacing w:before="60" w:after="60"/>
      <w:ind w:left="1701" w:hanging="340"/>
    </w:pPr>
  </w:style>
  <w:style w:type="paragraph" w:styleId="ListBullet3">
    <w:name w:val="List Bullet 3"/>
    <w:basedOn w:val="List3"/>
    <w:rsid w:val="000A2558"/>
    <w:pPr>
      <w:numPr>
        <w:numId w:val="14"/>
      </w:numPr>
      <w:tabs>
        <w:tab w:val="clear" w:pos="1021"/>
      </w:tabs>
      <w:ind w:left="1037" w:hanging="357"/>
    </w:pPr>
  </w:style>
  <w:style w:type="paragraph" w:styleId="ListBullet4">
    <w:name w:val="List Bullet 4"/>
    <w:basedOn w:val="List4"/>
    <w:rsid w:val="000A2558"/>
    <w:pPr>
      <w:numPr>
        <w:numId w:val="3"/>
      </w:numPr>
      <w:tabs>
        <w:tab w:val="clear" w:pos="1361"/>
      </w:tabs>
    </w:pPr>
  </w:style>
  <w:style w:type="paragraph" w:styleId="ListBullet5">
    <w:name w:val="List Bullet 5"/>
    <w:basedOn w:val="List5"/>
    <w:rsid w:val="000A2558"/>
    <w:pPr>
      <w:numPr>
        <w:numId w:val="4"/>
      </w:numPr>
    </w:pPr>
  </w:style>
  <w:style w:type="paragraph" w:styleId="ListContinue2">
    <w:name w:val="List Continue 2"/>
    <w:basedOn w:val="List2"/>
    <w:rsid w:val="000A2558"/>
    <w:pPr>
      <w:ind w:firstLine="0"/>
    </w:pPr>
  </w:style>
  <w:style w:type="paragraph" w:styleId="ListContinue3">
    <w:name w:val="List Continue 3"/>
    <w:basedOn w:val="List3"/>
    <w:rsid w:val="000A2558"/>
    <w:pPr>
      <w:ind w:left="1021" w:firstLine="0"/>
    </w:pPr>
  </w:style>
  <w:style w:type="paragraph" w:styleId="ListContinue4">
    <w:name w:val="List Continue 4"/>
    <w:basedOn w:val="List4"/>
    <w:rsid w:val="000A2558"/>
    <w:pPr>
      <w:ind w:firstLine="0"/>
    </w:pPr>
  </w:style>
  <w:style w:type="paragraph" w:styleId="ListContinue5">
    <w:name w:val="List Continue 5"/>
    <w:basedOn w:val="List5"/>
    <w:rsid w:val="000A2558"/>
    <w:pPr>
      <w:ind w:firstLine="0"/>
    </w:pPr>
  </w:style>
  <w:style w:type="paragraph" w:styleId="ListNumber3">
    <w:name w:val="List Number 3"/>
    <w:basedOn w:val="List3"/>
    <w:rsid w:val="000A2558"/>
    <w:pPr>
      <w:numPr>
        <w:numId w:val="5"/>
      </w:numPr>
    </w:pPr>
  </w:style>
  <w:style w:type="paragraph" w:styleId="ListNumber4">
    <w:name w:val="List Number 4"/>
    <w:basedOn w:val="List4"/>
    <w:rsid w:val="000A2558"/>
    <w:pPr>
      <w:numPr>
        <w:numId w:val="6"/>
      </w:numPr>
    </w:pPr>
  </w:style>
  <w:style w:type="paragraph" w:styleId="ListNumber5">
    <w:name w:val="List Number 5"/>
    <w:basedOn w:val="List5"/>
    <w:rsid w:val="000A2558"/>
    <w:pPr>
      <w:numPr>
        <w:numId w:val="7"/>
      </w:numPr>
    </w:pPr>
  </w:style>
  <w:style w:type="paragraph" w:styleId="BlockText">
    <w:name w:val="Block Text"/>
    <w:basedOn w:val="Normal"/>
    <w:rsid w:val="000A2558"/>
    <w:pPr>
      <w:spacing w:after="120"/>
      <w:ind w:left="1440" w:right="1440"/>
    </w:pPr>
  </w:style>
  <w:style w:type="character" w:customStyle="1" w:styleId="Subscript">
    <w:name w:val="Subscript"/>
    <w:basedOn w:val="DefaultParagraphFont"/>
    <w:rsid w:val="000A2558"/>
    <w:rPr>
      <w:sz w:val="16"/>
      <w:vertAlign w:val="subscript"/>
    </w:rPr>
  </w:style>
  <w:style w:type="character" w:customStyle="1" w:styleId="Superscript">
    <w:name w:val="Superscript"/>
    <w:basedOn w:val="DefaultParagraphFont"/>
    <w:rsid w:val="000A2558"/>
    <w:rPr>
      <w:sz w:val="16"/>
      <w:vertAlign w:val="superscript"/>
    </w:rPr>
  </w:style>
  <w:style w:type="character" w:customStyle="1" w:styleId="Symbols">
    <w:name w:val="Symbols"/>
    <w:basedOn w:val="DefaultParagraphFont"/>
    <w:rsid w:val="000A2558"/>
    <w:rPr>
      <w:rFonts w:ascii="Symbol" w:hAnsi="Symbol"/>
    </w:rPr>
  </w:style>
  <w:style w:type="character" w:customStyle="1" w:styleId="MenuOptions">
    <w:name w:val="Menu Options"/>
    <w:basedOn w:val="DefaultParagraphFont"/>
    <w:rsid w:val="000A2558"/>
    <w:rPr>
      <w:rFonts w:ascii="Arial Narrow" w:hAnsi="Arial Narrow"/>
      <w:smallCaps/>
    </w:rPr>
  </w:style>
  <w:style w:type="character" w:customStyle="1" w:styleId="Buttons">
    <w:name w:val="Buttons"/>
    <w:basedOn w:val="DefaultParagraphFont"/>
    <w:rsid w:val="000A2558"/>
    <w:rPr>
      <w:b/>
    </w:rPr>
  </w:style>
  <w:style w:type="character" w:customStyle="1" w:styleId="Underlined">
    <w:name w:val="Underlined"/>
    <w:basedOn w:val="DefaultParagraphFont"/>
    <w:rsid w:val="000A2558"/>
    <w:rPr>
      <w:u w:val="single"/>
    </w:rPr>
  </w:style>
  <w:style w:type="paragraph" w:customStyle="1" w:styleId="TableBodyTextRight">
    <w:name w:val="Table Body Text Right"/>
    <w:basedOn w:val="TableBodyText"/>
    <w:rsid w:val="000A2558"/>
    <w:pPr>
      <w:widowControl w:val="0"/>
      <w:autoSpaceDE w:val="0"/>
      <w:autoSpaceDN w:val="0"/>
      <w:adjustRightInd w:val="0"/>
      <w:jc w:val="right"/>
    </w:pPr>
    <w:rPr>
      <w:rFonts w:cs="Arial"/>
      <w:szCs w:val="18"/>
    </w:rPr>
  </w:style>
  <w:style w:type="paragraph" w:customStyle="1" w:styleId="CopyrightText">
    <w:name w:val="Copyright Text"/>
    <w:basedOn w:val="BodyText"/>
    <w:rsid w:val="000A2558"/>
    <w:rPr>
      <w:sz w:val="18"/>
    </w:rPr>
  </w:style>
  <w:style w:type="paragraph" w:customStyle="1" w:styleId="BodySmallRight">
    <w:name w:val="Body Small Right"/>
    <w:basedOn w:val="BodyTextRight"/>
    <w:rsid w:val="000A2558"/>
    <w:rPr>
      <w:sz w:val="18"/>
      <w:szCs w:val="18"/>
    </w:rPr>
  </w:style>
  <w:style w:type="paragraph" w:customStyle="1" w:styleId="MarginEdition">
    <w:name w:val="Margin Edition"/>
    <w:basedOn w:val="MarginNote"/>
    <w:rsid w:val="000A2558"/>
    <w:pPr>
      <w:spacing w:before="0" w:after="0"/>
    </w:pPr>
    <w:rPr>
      <w:rFonts w:ascii="Times New Roman" w:hAnsi="Times New Roman"/>
      <w:color w:val="999999"/>
    </w:rPr>
  </w:style>
  <w:style w:type="paragraph" w:customStyle="1" w:styleId="Spacer">
    <w:name w:val="Spacer"/>
    <w:basedOn w:val="Normal"/>
    <w:rsid w:val="000A2558"/>
    <w:rPr>
      <w:sz w:val="2"/>
      <w:szCs w:val="2"/>
    </w:rPr>
  </w:style>
  <w:style w:type="character" w:customStyle="1" w:styleId="Small">
    <w:name w:val="Small"/>
    <w:basedOn w:val="DefaultParagraphFont"/>
    <w:rsid w:val="000A2558"/>
    <w:rPr>
      <w:sz w:val="16"/>
    </w:rPr>
  </w:style>
  <w:style w:type="paragraph" w:customStyle="1" w:styleId="WideTable">
    <w:name w:val="Wide Table"/>
    <w:basedOn w:val="Normal"/>
    <w:rsid w:val="000A2558"/>
    <w:pPr>
      <w:ind w:left="-1418"/>
    </w:pPr>
    <w:rPr>
      <w:sz w:val="2"/>
      <w:szCs w:val="2"/>
    </w:rPr>
  </w:style>
  <w:style w:type="character" w:styleId="PageNumber">
    <w:name w:val="page number"/>
    <w:basedOn w:val="DefaultParagraphFont"/>
    <w:rsid w:val="000A2558"/>
  </w:style>
  <w:style w:type="paragraph" w:styleId="Quote">
    <w:name w:val="Quote"/>
    <w:basedOn w:val="Heading1"/>
    <w:link w:val="QuoteChar"/>
    <w:qFormat/>
    <w:rsid w:val="000A2558"/>
    <w:rPr>
      <w:b w:val="0"/>
      <w:sz w:val="72"/>
      <w:szCs w:val="72"/>
      <w:lang w:val="en-NZ"/>
    </w:rPr>
  </w:style>
  <w:style w:type="character" w:customStyle="1" w:styleId="QuoteChar">
    <w:name w:val="Quote Char"/>
    <w:basedOn w:val="DefaultParagraphFont"/>
    <w:link w:val="Quote"/>
    <w:rsid w:val="000A25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558"/>
    <w:pPr>
      <w:pageBreakBefore/>
    </w:pPr>
  </w:style>
  <w:style w:type="paragraph" w:customStyle="1" w:styleId="Border">
    <w:name w:val="Border"/>
    <w:basedOn w:val="Normal"/>
    <w:qFormat/>
    <w:rsid w:val="000A25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558"/>
    <w:rPr>
      <w:b/>
      <w:bCs/>
      <w:i/>
      <w:iCs/>
      <w:color w:val="auto"/>
    </w:rPr>
  </w:style>
  <w:style w:type="paragraph" w:styleId="IntenseQuote">
    <w:name w:val="Intense Quote"/>
    <w:basedOn w:val="Normal"/>
    <w:next w:val="Normal"/>
    <w:link w:val="IntenseQuoteChar"/>
    <w:uiPriority w:val="30"/>
    <w:qFormat/>
    <w:rsid w:val="000A25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5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558"/>
    <w:rPr>
      <w:smallCaps/>
      <w:color w:val="auto"/>
      <w:u w:val="single"/>
    </w:rPr>
  </w:style>
  <w:style w:type="character" w:styleId="IntenseReference">
    <w:name w:val="Intense Reference"/>
    <w:basedOn w:val="DefaultParagraphFont"/>
    <w:uiPriority w:val="32"/>
    <w:qFormat/>
    <w:rsid w:val="000A2558"/>
    <w:rPr>
      <w:b/>
      <w:bCs/>
      <w:smallCaps/>
      <w:color w:val="auto"/>
      <w:spacing w:val="5"/>
      <w:u w:val="single"/>
    </w:rPr>
  </w:style>
  <w:style w:type="paragraph" w:customStyle="1" w:styleId="2ColumnHeading">
    <w:name w:val="2Column Heading"/>
    <w:basedOn w:val="BodyText"/>
    <w:qFormat/>
    <w:rsid w:val="000A2558"/>
    <w:pPr>
      <w:spacing w:after="60"/>
      <w:ind w:left="-2268"/>
    </w:pPr>
    <w:rPr>
      <w:b/>
    </w:rPr>
  </w:style>
  <w:style w:type="paragraph" w:customStyle="1" w:styleId="Heading1TOC">
    <w:name w:val="Heading1 TOC"/>
    <w:basedOn w:val="Normal"/>
    <w:qFormat/>
    <w:rsid w:val="000A2558"/>
    <w:pPr>
      <w:spacing w:before="240" w:after="120"/>
    </w:pPr>
    <w:rPr>
      <w:rFonts w:ascii="Times New Roman" w:hAnsi="Times New Roman"/>
      <w:b/>
      <w:sz w:val="32"/>
    </w:rPr>
  </w:style>
  <w:style w:type="paragraph" w:customStyle="1" w:styleId="Heading2TOC">
    <w:name w:val="Heading2 TOC"/>
    <w:basedOn w:val="Normal"/>
    <w:qFormat/>
    <w:rsid w:val="000A2558"/>
    <w:pPr>
      <w:spacing w:before="240" w:after="60"/>
    </w:pPr>
    <w:rPr>
      <w:rFonts w:ascii="Times New Roman" w:hAnsi="Times New Roman"/>
      <w:b/>
      <w:sz w:val="28"/>
    </w:rPr>
  </w:style>
  <w:style w:type="character" w:customStyle="1" w:styleId="Underline">
    <w:name w:val="Underline"/>
    <w:basedOn w:val="DefaultParagraphFont"/>
    <w:qFormat/>
    <w:rsid w:val="000A2558"/>
    <w:rPr>
      <w:u w:val="single"/>
    </w:rPr>
  </w:style>
  <w:style w:type="character" w:customStyle="1" w:styleId="BoldandItalics">
    <w:name w:val="Bold and Italics"/>
    <w:qFormat/>
    <w:rsid w:val="000A2558"/>
    <w:rPr>
      <w:b/>
      <w:i/>
      <w:u w:val="none"/>
    </w:rPr>
  </w:style>
  <w:style w:type="paragraph" w:styleId="BalloonText">
    <w:name w:val="Balloon Text"/>
    <w:basedOn w:val="Normal"/>
    <w:link w:val="BalloonTextChar"/>
    <w:rsid w:val="000A2558"/>
    <w:rPr>
      <w:rFonts w:ascii="Tahoma" w:hAnsi="Tahoma" w:cs="Tahoma"/>
      <w:sz w:val="16"/>
      <w:szCs w:val="16"/>
    </w:rPr>
  </w:style>
  <w:style w:type="character" w:customStyle="1" w:styleId="BalloonTextChar">
    <w:name w:val="Balloon Text Char"/>
    <w:basedOn w:val="DefaultParagraphFont"/>
    <w:link w:val="BalloonText"/>
    <w:rsid w:val="000A25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5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25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558"/>
    <w:rPr>
      <w:b/>
      <w:color w:val="660033"/>
      <w:spacing w:val="0"/>
    </w:rPr>
  </w:style>
  <w:style w:type="paragraph" w:customStyle="1" w:styleId="Nameditemlist">
    <w:name w:val="Named item list"/>
    <w:basedOn w:val="BodyText"/>
    <w:qFormat/>
    <w:rsid w:val="000A2558"/>
    <w:pPr>
      <w:tabs>
        <w:tab w:val="left" w:pos="2835"/>
      </w:tabs>
      <w:ind w:left="2835" w:hanging="2835"/>
    </w:pPr>
  </w:style>
  <w:style w:type="paragraph" w:customStyle="1" w:styleId="BodyTextnopadding">
    <w:name w:val="Body Text no padding"/>
    <w:basedOn w:val="BodyText"/>
    <w:qFormat/>
    <w:rsid w:val="000A2558"/>
    <w:pPr>
      <w:spacing w:before="0" w:after="0"/>
    </w:pPr>
  </w:style>
  <w:style w:type="paragraph" w:customStyle="1" w:styleId="BodyTextBold">
    <w:name w:val="Body Text Bold"/>
    <w:basedOn w:val="BodyText"/>
    <w:qFormat/>
    <w:rsid w:val="000A2558"/>
    <w:rPr>
      <w:b/>
    </w:rPr>
  </w:style>
  <w:style w:type="character" w:styleId="Hyperlink">
    <w:name w:val="Hyperlink"/>
    <w:basedOn w:val="DefaultParagraphFont"/>
    <w:uiPriority w:val="99"/>
    <w:unhideWhenUsed/>
    <w:rsid w:val="00707A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964</Words>
  <Characters>5989</Characters>
  <Application>Microsoft Office Word</Application>
  <DocSecurity>0</DocSecurity>
  <Lines>239</Lines>
  <Paragraphs>158</Paragraphs>
  <ScaleCrop>false</ScaleCrop>
  <Company>Author-it Software Corporation Ltd.</Company>
  <LinksUpToDate>false</LinksUpToDate>
  <CharactersWithSpaces>6795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MSMWHS210 Undertake first response to non-fire incidents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2024-11-07T12:39:00Z</dcterms:created>
  <dcterms:modified xsi:type="dcterms:W3CDTF">2024-11-07T12:39:00Z</dcterms:modified>
</cp:coreProperties>
</file>