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BCE" w:rsidP="006B1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MSMWHS210 Undertake first response to non-fire incidents</w:t>
      </w:r>
      <w:r>
        <w:fldChar w:fldCharType="end"/>
      </w:r>
    </w:p>
    <w:p w:rsidR="006B1BCE" w:rsidP="006B1BCE">
      <w:pPr>
        <w:pStyle w:val="Version"/>
        <w:sectPr w:rsidSect="00953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3B1C" w:rsidP="00953B1C">
      <w:pPr>
        <w:pStyle w:val="SuperHeading"/>
      </w:pPr>
      <w:r w:rsidRPr="00953B1C">
        <w:t>Assessment Requirements for MSMWHS210 Undertake first response to non-fire incidents</w:t>
      </w:r>
    </w:p>
    <w:p w:rsidR="00000000" w:rsidRPr="00953B1C" w:rsidP="00953B1C">
      <w:pPr>
        <w:pStyle w:val="Heading1"/>
      </w:pPr>
      <w:bookmarkStart w:id="1" w:name="O_939335"/>
      <w:bookmarkEnd w:id="1"/>
      <w:r w:rsidRPr="00953B1C">
        <w:t>Modification History</w:t>
      </w:r>
    </w:p>
    <w:p w:rsidR="00000000" w:rsidRPr="00953B1C" w:rsidP="006B1BCE">
      <w:pPr>
        <w:pStyle w:val="BodyText"/>
      </w:pPr>
      <w:r w:rsidRPr="00953B1C">
        <w:t>Release 2.  Addition of information missing from the Assessment Requirements. Equivalent.</w:t>
      </w:r>
    </w:p>
    <w:p w:rsidR="00000000" w:rsidRPr="00953B1C" w:rsidP="006B1BCE">
      <w:pPr>
        <w:pStyle w:val="BodyText"/>
      </w:pPr>
      <w:r w:rsidRPr="00953B1C">
        <w:t>Release 1. Supersedes and is equivalent to MSAPMOHS210B Undertake first response to non-fire incidents</w:t>
      </w:r>
    </w:p>
    <w:p w:rsidR="00000000" w:rsidRPr="00953B1C" w:rsidP="00953B1C">
      <w:pPr>
        <w:pStyle w:val="Heading1"/>
      </w:pPr>
      <w:bookmarkStart w:id="2" w:name="O_939334"/>
      <w:bookmarkEnd w:id="2"/>
      <w:r w:rsidRPr="00953B1C">
        <w:t>Performance Evidence</w:t>
      </w:r>
    </w:p>
    <w:p w:rsidR="00000000" w:rsidRPr="00953B1C" w:rsidP="006B1BCE">
      <w:pPr>
        <w:pStyle w:val="BodyText"/>
      </w:pPr>
      <w:r w:rsidRPr="00953B1C">
        <w:t>Evidence required to demonstrate competence in this unit must be relevant to and satisfy the requirements of the el</w:t>
      </w:r>
      <w:r w:rsidRPr="00953B1C">
        <w:t>ements and performance criteria and demonstrate the ability to:</w:t>
      </w:r>
    </w:p>
    <w:p w:rsidR="00000000" w:rsidRPr="00953B1C" w:rsidP="00953B1C">
      <w:pPr>
        <w:pStyle w:val="ListBullet"/>
      </w:pPr>
      <w:r w:rsidRPr="00953B1C">
        <w:t xml:space="preserve">recognise and assess incident situations </w:t>
      </w:r>
    </w:p>
    <w:p w:rsidR="00000000" w:rsidRPr="00953B1C" w:rsidP="00953B1C">
      <w:pPr>
        <w:pStyle w:val="ListBullet"/>
      </w:pPr>
      <w:r w:rsidRPr="00953B1C">
        <w:t>determine appropriate actions according to procedures and within scope of own responsibilities, including:</w:t>
      </w:r>
    </w:p>
    <w:p w:rsidR="00000000" w:rsidRPr="00953B1C" w:rsidP="00953B1C">
      <w:pPr>
        <w:pStyle w:val="ListBullet2"/>
      </w:pPr>
      <w:r w:rsidRPr="00953B1C">
        <w:t>evacuate (self/others)</w:t>
      </w:r>
    </w:p>
    <w:p w:rsidR="00000000" w:rsidRPr="00953B1C" w:rsidP="00953B1C">
      <w:pPr>
        <w:pStyle w:val="ListBullet2"/>
      </w:pPr>
      <w:r w:rsidRPr="00953B1C">
        <w:t>seek assistance as</w:t>
      </w:r>
      <w:r w:rsidRPr="00953B1C">
        <w:t xml:space="preserve"> appropriate</w:t>
      </w:r>
    </w:p>
    <w:p w:rsidR="00000000" w:rsidRPr="00953B1C" w:rsidP="00953B1C">
      <w:pPr>
        <w:pStyle w:val="ListBullet2"/>
      </w:pPr>
      <w:r w:rsidRPr="00953B1C">
        <w:t xml:space="preserve">apply control measures </w:t>
      </w:r>
    </w:p>
    <w:p w:rsidR="00000000" w:rsidRPr="00953B1C" w:rsidP="00953B1C">
      <w:pPr>
        <w:pStyle w:val="ListBullet2"/>
      </w:pPr>
      <w:r w:rsidRPr="00953B1C">
        <w:t>select and use incident response equipment</w:t>
      </w:r>
    </w:p>
    <w:p w:rsidR="00000000" w:rsidRPr="00953B1C" w:rsidP="00953B1C">
      <w:pPr>
        <w:pStyle w:val="ListBullet2"/>
      </w:pPr>
      <w:r w:rsidRPr="00953B1C">
        <w:t>select and use personal protective equipment (PPE)</w:t>
      </w:r>
    </w:p>
    <w:p w:rsidR="00000000" w:rsidRPr="00953B1C" w:rsidP="00953B1C">
      <w:pPr>
        <w:pStyle w:val="ListBullet2"/>
      </w:pPr>
      <w:r w:rsidRPr="00953B1C">
        <w:t>implement corrective action</w:t>
      </w:r>
    </w:p>
    <w:p w:rsidR="00000000" w:rsidRPr="00953B1C" w:rsidP="00953B1C">
      <w:pPr>
        <w:pStyle w:val="ListBullet2"/>
      </w:pPr>
      <w:r w:rsidRPr="00953B1C">
        <w:t>minimise the effect of an incident situation</w:t>
      </w:r>
    </w:p>
    <w:p w:rsidR="00000000" w:rsidRPr="00953B1C" w:rsidP="00953B1C">
      <w:pPr>
        <w:pStyle w:val="ListBullet"/>
      </w:pPr>
      <w:r w:rsidRPr="00953B1C">
        <w:t>communicate clearly and unambiguously with a range of personnel on incident situations, related problems and safety and emergency procedures.</w:t>
      </w:r>
    </w:p>
    <w:p w:rsidR="00000000" w:rsidRPr="00953B1C" w:rsidP="00953B1C">
      <w:pPr>
        <w:pStyle w:val="AllowPageBreak"/>
      </w:pPr>
    </w:p>
    <w:p w:rsidR="00000000" w:rsidRPr="00953B1C" w:rsidP="00953B1C">
      <w:pPr>
        <w:pStyle w:val="Heading1"/>
      </w:pPr>
      <w:bookmarkStart w:id="3" w:name="O_939333"/>
      <w:bookmarkEnd w:id="3"/>
      <w:r w:rsidRPr="00953B1C">
        <w:t>Knowledge Evidence</w:t>
      </w:r>
    </w:p>
    <w:p w:rsidR="00000000" w:rsidRPr="00953B1C" w:rsidP="006B1BCE">
      <w:pPr>
        <w:pStyle w:val="BodyText"/>
      </w:pPr>
      <w:r w:rsidRPr="00953B1C">
        <w:t>Evidence must be provided that demonstrates knowledge of:</w:t>
      </w:r>
    </w:p>
    <w:p w:rsidR="00000000" w:rsidRPr="00953B1C" w:rsidP="00953B1C">
      <w:pPr>
        <w:pStyle w:val="ListBullet"/>
      </w:pPr>
      <w:r w:rsidRPr="00953B1C">
        <w:t>types and applicati</w:t>
      </w:r>
      <w:r w:rsidRPr="00953B1C">
        <w:t>on of incident response equipment</w:t>
      </w:r>
    </w:p>
    <w:p w:rsidR="00000000" w:rsidRPr="00953B1C" w:rsidP="00953B1C">
      <w:pPr>
        <w:pStyle w:val="ListBullet"/>
      </w:pPr>
      <w:r w:rsidRPr="00953B1C">
        <w:t>principles of operation of the incident response equipment</w:t>
      </w:r>
    </w:p>
    <w:p w:rsidR="00000000" w:rsidRPr="00953B1C" w:rsidP="00953B1C">
      <w:pPr>
        <w:pStyle w:val="ListBullet"/>
      </w:pPr>
      <w:r w:rsidRPr="00953B1C">
        <w:t>types and application of PPE</w:t>
      </w:r>
    </w:p>
    <w:p w:rsidR="00000000" w:rsidRPr="00953B1C" w:rsidP="00953B1C">
      <w:pPr>
        <w:pStyle w:val="ListBullet"/>
      </w:pPr>
      <w:r w:rsidRPr="00953B1C">
        <w:t>roles and responsibilities of internal and external personnel in relation to incident situations</w:t>
      </w:r>
    </w:p>
    <w:p w:rsidR="00000000" w:rsidRPr="00953B1C" w:rsidP="00953B1C">
      <w:pPr>
        <w:pStyle w:val="ListBullet"/>
      </w:pPr>
      <w:r w:rsidRPr="00953B1C">
        <w:t xml:space="preserve">communicating methods appropriate to </w:t>
      </w:r>
      <w:r w:rsidRPr="00953B1C">
        <w:t>role</w:t>
      </w:r>
    </w:p>
    <w:p w:rsidR="00000000" w:rsidRPr="00953B1C" w:rsidP="00953B1C">
      <w:pPr>
        <w:pStyle w:val="ListBullet"/>
      </w:pPr>
      <w:r w:rsidRPr="00953B1C">
        <w:t>appropriate responses to different non-fire situations.</w:t>
      </w:r>
    </w:p>
    <w:p w:rsidR="00000000" w:rsidRPr="00953B1C" w:rsidP="00953B1C">
      <w:pPr>
        <w:pStyle w:val="AllowPageBreak"/>
      </w:pPr>
    </w:p>
    <w:p w:rsidR="00000000" w:rsidRPr="00953B1C" w:rsidP="00953B1C">
      <w:pPr>
        <w:pStyle w:val="Heading1"/>
      </w:pPr>
      <w:bookmarkStart w:id="4" w:name="O_939332"/>
      <w:bookmarkEnd w:id="4"/>
      <w:r w:rsidRPr="00953B1C">
        <w:t>Assessment Conditions</w:t>
      </w:r>
    </w:p>
    <w:p w:rsidR="00000000" w:rsidRPr="00953B1C" w:rsidP="00953B1C">
      <w:pPr>
        <w:pStyle w:val="ListBullet"/>
      </w:pPr>
      <w:r w:rsidRPr="00953B1C">
        <w:t xml:space="preserve">Competency must be achieved before performing this work unsupervised. Therefore this unit </w:t>
      </w:r>
      <w:r w:rsidRPr="00953B1C">
        <w:t>will typically be assessed off the job. Where assessment is undertaken on the job, appropriate supervision and safety precautions must be provided.</w:t>
      </w:r>
    </w:p>
    <w:p w:rsidR="00000000" w:rsidRPr="00953B1C" w:rsidP="00953B1C">
      <w:pPr>
        <w:pStyle w:val="ListBullet"/>
      </w:pPr>
      <w:r w:rsidRPr="00953B1C">
        <w:t>The unit should be assessed holistically and the judgement of competence based on a holistic assessment of t</w:t>
      </w:r>
      <w:r w:rsidRPr="00953B1C">
        <w:t xml:space="preserve">he evidence. </w:t>
      </w:r>
    </w:p>
    <w:p w:rsidR="00000000" w:rsidRPr="00953B1C" w:rsidP="00953B1C">
      <w:pPr>
        <w:pStyle w:val="ListBullet"/>
      </w:pPr>
      <w:r w:rsidRPr="00953B1C">
        <w:t>The collection of performance evidence:</w:t>
      </w:r>
    </w:p>
    <w:p w:rsidR="00000000" w:rsidRPr="00953B1C" w:rsidP="00953B1C">
      <w:pPr>
        <w:pStyle w:val="ListBullet2"/>
      </w:pPr>
      <w:r w:rsidRPr="00953B1C">
        <w:t>should provide evidence of the ability to perform over the range of situations which might be expected to be encountered, including typical disruptions to normal, smooth work conditions</w:t>
      </w:r>
    </w:p>
    <w:p w:rsidR="00000000" w:rsidRPr="00953B1C" w:rsidP="00953B1C">
      <w:pPr>
        <w:pStyle w:val="ListBullet2"/>
      </w:pPr>
      <w:r w:rsidRPr="00953B1C">
        <w:t>must include th</w:t>
      </w:r>
      <w:r w:rsidRPr="00953B1C">
        <w:t>e use of appropriate incident containment  tools, equipment, media and safety gear requiring demonstration of preparation, operation, completion and responding to problems</w:t>
      </w:r>
    </w:p>
    <w:p w:rsidR="00000000" w:rsidRPr="00953B1C" w:rsidP="00953B1C">
      <w:pPr>
        <w:pStyle w:val="ListBullet2"/>
      </w:pPr>
      <w:r w:rsidRPr="00953B1C">
        <w:t>must include responding to an actual spill or other incident in a simulated industri</w:t>
      </w:r>
      <w:r w:rsidRPr="00953B1C">
        <w:t>al situation and so may need to occur in a specialised area.</w:t>
      </w:r>
    </w:p>
    <w:p w:rsidR="00000000" w:rsidRPr="00953B1C" w:rsidP="00953B1C">
      <w:pPr>
        <w:pStyle w:val="ListBullet"/>
      </w:pPr>
      <w:r w:rsidRPr="00953B1C">
        <w:t>Off-the-job assessment must sufficiently reflect realistic operational workplace conditions that cover all aspects of workplace performance, including environment, task skills, task management s</w:t>
      </w:r>
      <w:r w:rsidRPr="00953B1C">
        <w:t xml:space="preserve">kills, contingency management skills and job role environment skills.  </w:t>
      </w:r>
    </w:p>
    <w:p w:rsidR="00000000" w:rsidRPr="00953B1C" w:rsidP="00953B1C">
      <w:pPr>
        <w:pStyle w:val="ListBullet"/>
      </w:pPr>
      <w:r w:rsidRPr="00953B1C">
        <w:t>Knowledge evidence will be collected independently of the above practical assessment and may use workbooks, written assessments, interviews (provided a record is kept) or other methods</w:t>
      </w:r>
      <w:r w:rsidRPr="00953B1C">
        <w:t xml:space="preserve">. </w:t>
      </w:r>
    </w:p>
    <w:p w:rsidR="00000000" w:rsidRPr="00953B1C" w:rsidP="00953B1C">
      <w:pPr>
        <w:pStyle w:val="ListBullet"/>
      </w:pPr>
      <w:r w:rsidRPr="00953B1C">
        <w:t>Assessment processes and techniques must be appropriate to the language, literacy and numeracy requirements of the work being performed and the needs of the candidate.</w:t>
      </w:r>
    </w:p>
    <w:p w:rsidR="00000000" w:rsidRPr="00953B1C" w:rsidP="00953B1C">
      <w:pPr>
        <w:pStyle w:val="ListBullet"/>
      </w:pPr>
      <w:r w:rsidRPr="00953B1C">
        <w:t xml:space="preserve">Conditions for assessment must include access to all tools, equipment, materials and </w:t>
      </w:r>
      <w:r w:rsidRPr="00953B1C">
        <w:t>documentation required, including relevant workplace procedures, product and manufacturing specifications associated with this unit.</w:t>
      </w:r>
    </w:p>
    <w:p w:rsidR="00000000" w:rsidRPr="00953B1C" w:rsidP="00953B1C">
      <w:pPr>
        <w:pStyle w:val="ListBullet"/>
      </w:pPr>
      <w:r w:rsidRPr="00953B1C">
        <w:t>The regulatory framework will be reflected in workplace policies and procedures and is not required to be independently ass</w:t>
      </w:r>
      <w:r w:rsidRPr="00953B1C">
        <w:t>essed.</w:t>
      </w:r>
    </w:p>
    <w:p w:rsidR="00000000" w:rsidRPr="00953B1C" w:rsidP="00953B1C">
      <w:pPr>
        <w:pStyle w:val="ListBullet"/>
      </w:pPr>
      <w:r w:rsidRPr="00953B1C">
        <w:t>Persons seeking verification of competence/retraining must meet the same evidence requirements as above.</w:t>
      </w:r>
    </w:p>
    <w:p w:rsidR="00000000" w:rsidRPr="00953B1C" w:rsidP="00953B1C">
      <w:pPr>
        <w:pStyle w:val="ListBullet"/>
      </w:pPr>
      <w:r w:rsidRPr="00953B1C">
        <w:t>Foundation skills are integral to competent performance of the unit and should not be assessed separately.</w:t>
      </w:r>
    </w:p>
    <w:p w:rsidR="00000000" w:rsidRPr="00953B1C" w:rsidP="00953B1C">
      <w:pPr>
        <w:pStyle w:val="ListBullet"/>
      </w:pPr>
      <w:r w:rsidRPr="00953B1C">
        <w:t xml:space="preserve">As a minimum, assessors must satisfy </w:t>
      </w:r>
      <w:r w:rsidRPr="00953B1C">
        <w:t>the Standards for Registered Training Organisations 2015 assessor requirements.</w:t>
      </w:r>
    </w:p>
    <w:p w:rsidR="00000000" w:rsidRPr="00953B1C" w:rsidP="00953B1C">
      <w:pPr>
        <w:pStyle w:val="AllowPageBreak"/>
      </w:pPr>
    </w:p>
    <w:p w:rsidR="00000000" w:rsidRPr="00953B1C" w:rsidP="00953B1C">
      <w:pPr>
        <w:pStyle w:val="Heading1"/>
      </w:pPr>
      <w:bookmarkStart w:id="5" w:name="O_939347"/>
      <w:bookmarkEnd w:id="5"/>
      <w:r w:rsidRPr="00953B1C">
        <w:t>Links</w:t>
      </w:r>
    </w:p>
    <w:p w:rsidR="00000000" w:rsidRPr="00953B1C" w:rsidP="006B1BCE">
      <w:pPr>
        <w:pStyle w:val="BodyText"/>
      </w:pPr>
      <w:r w:rsidRPr="00953B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3599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53B1C" w:rsidP="00953B1C"/>
    <w:sectPr w:rsidSect="00953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1C" w:rsidRPr="006B1BCE" w:rsidP="006B1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CE" w:rsidP="00953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BCE" w:rsidP="00953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1BCE" w:rsidP="00953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B1C" w:rsidRPr="006B1BCE" w:rsidP="006B1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CE" w:rsidRPr="002D2AF8" w:rsidP="00953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MSMWHS210 Undertake first response to non-fire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B1BCE" w:rsidP="00953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A6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89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F8D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B1C"/>
  </w:style>
  <w:style w:type="character" w:customStyle="1" w:styleId="Heading1Char">
    <w:name w:val="Heading 1 Char"/>
    <w:basedOn w:val="DefaultParagraphFont"/>
    <w:link w:val="Heading1"/>
    <w:rsid w:val="00953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B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B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B1C"/>
    <w:rPr>
      <w:b/>
      <w:spacing w:val="0"/>
    </w:rPr>
  </w:style>
  <w:style w:type="paragraph" w:customStyle="1" w:styleId="SuperTitle">
    <w:name w:val="SuperTitle"/>
    <w:basedOn w:val="Title"/>
    <w:rsid w:val="00953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B1C"/>
    <w:rPr>
      <w:i/>
    </w:rPr>
  </w:style>
  <w:style w:type="paragraph" w:styleId="Caption">
    <w:name w:val="caption"/>
    <w:basedOn w:val="BodyText"/>
    <w:next w:val="Normal"/>
    <w:qFormat/>
    <w:rsid w:val="00953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B1C"/>
  </w:style>
  <w:style w:type="paragraph" w:styleId="TableofFigures">
    <w:name w:val="table of figures"/>
    <w:basedOn w:val="Normal"/>
    <w:next w:val="Normal"/>
    <w:semiHidden/>
    <w:rsid w:val="00953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B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B1C"/>
    <w:rPr>
      <w:rFonts w:ascii="Wingdings" w:hAnsi="Wingdings"/>
    </w:rPr>
  </w:style>
  <w:style w:type="paragraph" w:customStyle="1" w:styleId="TableHeading">
    <w:name w:val="Table Heading"/>
    <w:basedOn w:val="HeadingBase"/>
    <w:rsid w:val="00953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B1C"/>
    <w:rPr>
      <w:color w:val="0033CC"/>
      <w:u w:val="none"/>
    </w:rPr>
  </w:style>
  <w:style w:type="paragraph" w:customStyle="1" w:styleId="BodyTextRight">
    <w:name w:val="Body Text Right"/>
    <w:basedOn w:val="BodyText"/>
    <w:rsid w:val="00953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B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B1C"/>
    <w:rPr>
      <w:sz w:val="32"/>
    </w:rPr>
  </w:style>
  <w:style w:type="paragraph" w:customStyle="1" w:styleId="HeadingProcedure">
    <w:name w:val="Heading Procedure"/>
    <w:basedOn w:val="HeadingBase"/>
    <w:next w:val="Normal"/>
    <w:rsid w:val="00953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B1C"/>
    <w:pPr>
      <w:spacing w:before="60" w:after="60"/>
    </w:pPr>
  </w:style>
  <w:style w:type="paragraph" w:styleId="ListContinue">
    <w:name w:val="List Continue"/>
    <w:basedOn w:val="List"/>
    <w:rsid w:val="00953B1C"/>
    <w:pPr>
      <w:ind w:firstLine="0"/>
    </w:pPr>
  </w:style>
  <w:style w:type="paragraph" w:customStyle="1" w:styleId="ListNote">
    <w:name w:val="List Note"/>
    <w:basedOn w:val="List"/>
    <w:rsid w:val="00953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B1C"/>
    <w:rPr>
      <w:rFonts w:ascii="Courier New" w:hAnsi="Courier New"/>
    </w:rPr>
  </w:style>
  <w:style w:type="paragraph" w:customStyle="1" w:styleId="NoteBullet">
    <w:name w:val="Note Bullet"/>
    <w:basedOn w:val="Note"/>
    <w:rsid w:val="00953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B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B1C"/>
    <w:rPr>
      <w:b/>
      <w:smallCaps/>
    </w:rPr>
  </w:style>
  <w:style w:type="paragraph" w:customStyle="1" w:styleId="TableListNumber">
    <w:name w:val="Table List Number"/>
    <w:basedOn w:val="ListNumber"/>
    <w:rsid w:val="00953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B1C"/>
    <w:pPr>
      <w:numPr>
        <w:numId w:val="9"/>
      </w:numPr>
    </w:pPr>
  </w:style>
  <w:style w:type="paragraph" w:customStyle="1" w:styleId="ListAlpha2">
    <w:name w:val="List Alpha 2"/>
    <w:basedOn w:val="List2"/>
    <w:rsid w:val="00953B1C"/>
    <w:pPr>
      <w:numPr>
        <w:numId w:val="8"/>
      </w:numPr>
    </w:pPr>
  </w:style>
  <w:style w:type="paragraph" w:styleId="List2">
    <w:name w:val="List 2"/>
    <w:basedOn w:val="BodyText"/>
    <w:rsid w:val="00953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B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B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B1C"/>
    <w:pPr>
      <w:numPr>
        <w:numId w:val="4"/>
      </w:numPr>
    </w:pPr>
  </w:style>
  <w:style w:type="paragraph" w:styleId="ListContinue2">
    <w:name w:val="List Continue 2"/>
    <w:basedOn w:val="List2"/>
    <w:rsid w:val="00953B1C"/>
    <w:pPr>
      <w:ind w:firstLine="0"/>
    </w:pPr>
  </w:style>
  <w:style w:type="paragraph" w:styleId="ListContinue3">
    <w:name w:val="List Continue 3"/>
    <w:basedOn w:val="List3"/>
    <w:rsid w:val="00953B1C"/>
    <w:pPr>
      <w:ind w:left="1021" w:firstLine="0"/>
    </w:pPr>
  </w:style>
  <w:style w:type="paragraph" w:styleId="ListContinue4">
    <w:name w:val="List Continue 4"/>
    <w:basedOn w:val="List4"/>
    <w:rsid w:val="00953B1C"/>
    <w:pPr>
      <w:ind w:firstLine="0"/>
    </w:pPr>
  </w:style>
  <w:style w:type="paragraph" w:styleId="ListContinue5">
    <w:name w:val="List Continue 5"/>
    <w:basedOn w:val="List5"/>
    <w:rsid w:val="00953B1C"/>
    <w:pPr>
      <w:ind w:firstLine="0"/>
    </w:pPr>
  </w:style>
  <w:style w:type="paragraph" w:styleId="ListNumber3">
    <w:name w:val="List Number 3"/>
    <w:basedOn w:val="List3"/>
    <w:rsid w:val="00953B1C"/>
    <w:pPr>
      <w:numPr>
        <w:numId w:val="5"/>
      </w:numPr>
    </w:pPr>
  </w:style>
  <w:style w:type="paragraph" w:styleId="ListNumber4">
    <w:name w:val="List Number 4"/>
    <w:basedOn w:val="List4"/>
    <w:rsid w:val="00953B1C"/>
    <w:pPr>
      <w:numPr>
        <w:numId w:val="6"/>
      </w:numPr>
    </w:pPr>
  </w:style>
  <w:style w:type="paragraph" w:styleId="ListNumber5">
    <w:name w:val="List Number 5"/>
    <w:basedOn w:val="List5"/>
    <w:rsid w:val="00953B1C"/>
    <w:pPr>
      <w:numPr>
        <w:numId w:val="7"/>
      </w:numPr>
    </w:pPr>
  </w:style>
  <w:style w:type="paragraph" w:styleId="BlockText">
    <w:name w:val="Block Text"/>
    <w:basedOn w:val="Normal"/>
    <w:rsid w:val="00953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B1C"/>
    <w:rPr>
      <w:sz w:val="16"/>
      <w:vertAlign w:val="superscript"/>
    </w:rPr>
  </w:style>
  <w:style w:type="character" w:customStyle="1" w:styleId="Symbols">
    <w:name w:val="Symbols"/>
    <w:basedOn w:val="DefaultParagraphFont"/>
    <w:rsid w:val="00953B1C"/>
    <w:rPr>
      <w:rFonts w:ascii="Symbol" w:hAnsi="Symbol"/>
    </w:rPr>
  </w:style>
  <w:style w:type="character" w:customStyle="1" w:styleId="MenuOptions">
    <w:name w:val="Menu Options"/>
    <w:basedOn w:val="DefaultParagraphFont"/>
    <w:rsid w:val="00953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B1C"/>
    <w:rPr>
      <w:b/>
    </w:rPr>
  </w:style>
  <w:style w:type="character" w:customStyle="1" w:styleId="Underlined">
    <w:name w:val="Underlined"/>
    <w:basedOn w:val="DefaultParagraphFont"/>
    <w:rsid w:val="00953B1C"/>
    <w:rPr>
      <w:u w:val="single"/>
    </w:rPr>
  </w:style>
  <w:style w:type="paragraph" w:customStyle="1" w:styleId="TableBodyTextRight">
    <w:name w:val="Table Body Text Right"/>
    <w:basedOn w:val="TableBodyText"/>
    <w:rsid w:val="00953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B1C"/>
    <w:rPr>
      <w:sz w:val="18"/>
    </w:rPr>
  </w:style>
  <w:style w:type="paragraph" w:customStyle="1" w:styleId="BodySmallRight">
    <w:name w:val="Body Small Right"/>
    <w:basedOn w:val="BodyTextRight"/>
    <w:rsid w:val="00953B1C"/>
    <w:rPr>
      <w:sz w:val="18"/>
      <w:szCs w:val="18"/>
    </w:rPr>
  </w:style>
  <w:style w:type="paragraph" w:customStyle="1" w:styleId="MarginEdition">
    <w:name w:val="Margin Edition"/>
    <w:basedOn w:val="MarginNote"/>
    <w:rsid w:val="00953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B1C"/>
    <w:rPr>
      <w:sz w:val="2"/>
      <w:szCs w:val="2"/>
    </w:rPr>
  </w:style>
  <w:style w:type="character" w:customStyle="1" w:styleId="Small">
    <w:name w:val="Small"/>
    <w:basedOn w:val="DefaultParagraphFont"/>
    <w:rsid w:val="00953B1C"/>
    <w:rPr>
      <w:sz w:val="16"/>
    </w:rPr>
  </w:style>
  <w:style w:type="paragraph" w:customStyle="1" w:styleId="WideTable">
    <w:name w:val="Wide Table"/>
    <w:basedOn w:val="Normal"/>
    <w:rsid w:val="00953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B1C"/>
  </w:style>
  <w:style w:type="paragraph" w:styleId="Quote">
    <w:name w:val="Quote"/>
    <w:basedOn w:val="Heading1"/>
    <w:link w:val="QuoteChar"/>
    <w:qFormat/>
    <w:rsid w:val="00953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B1C"/>
    <w:pPr>
      <w:pageBreakBefore/>
    </w:pPr>
  </w:style>
  <w:style w:type="paragraph" w:customStyle="1" w:styleId="Border">
    <w:name w:val="Border"/>
    <w:basedOn w:val="Normal"/>
    <w:qFormat/>
    <w:rsid w:val="00953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B1C"/>
    <w:rPr>
      <w:u w:val="single"/>
    </w:rPr>
  </w:style>
  <w:style w:type="character" w:customStyle="1" w:styleId="BoldandItalics">
    <w:name w:val="Bold and Italics"/>
    <w:qFormat/>
    <w:rsid w:val="00953B1C"/>
    <w:rPr>
      <w:b/>
      <w:i/>
      <w:u w:val="none"/>
    </w:rPr>
  </w:style>
  <w:style w:type="paragraph" w:styleId="BalloonText">
    <w:name w:val="Balloon Text"/>
    <w:basedOn w:val="Normal"/>
    <w:link w:val="BalloonTextChar"/>
    <w:rsid w:val="00953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B1C"/>
    <w:pPr>
      <w:spacing w:before="0" w:after="0"/>
    </w:pPr>
  </w:style>
  <w:style w:type="paragraph" w:customStyle="1" w:styleId="BodyTextBold">
    <w:name w:val="Body Text Bold"/>
    <w:basedOn w:val="BodyText"/>
    <w:qFormat/>
    <w:rsid w:val="00953B1C"/>
    <w:rPr>
      <w:b/>
    </w:rPr>
  </w:style>
  <w:style w:type="character" w:styleId="Hyperlink">
    <w:name w:val="Hyperlink"/>
    <w:basedOn w:val="DefaultParagraphFont"/>
    <w:uiPriority w:val="99"/>
    <w:unhideWhenUsed/>
    <w:rsid w:val="006B1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3568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MSMWHS210 Undertake first response to non-fire incidents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