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D6E" w:rsidP="00BE5D6E">
      <w:pPr>
        <w:pStyle w:val="Title"/>
      </w:pPr>
      <w:r>
        <w:fldChar w:fldCharType="begin"/>
      </w:r>
      <w:r>
        <w:instrText xml:space="preserve"> TITLE   \* MERGEFORMAT </w:instrText>
      </w:r>
      <w:r>
        <w:fldChar w:fldCharType="separate"/>
      </w:r>
      <w:r>
        <w:t>MSMTMVER403 Verify Inspectors’ Class reference standards</w:t>
      </w:r>
      <w:r>
        <w:fldChar w:fldCharType="end"/>
      </w:r>
    </w:p>
    <w:p w:rsidR="00BE5D6E" w:rsidP="00BE5D6E">
      <w:pPr>
        <w:pStyle w:val="Version"/>
        <w:sectPr w:rsidSect="00335A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35A52" w:rsidP="00335A52">
      <w:pPr>
        <w:pStyle w:val="SuperHeading"/>
      </w:pPr>
      <w:r w:rsidRPr="00335A52">
        <w:t>MSMTMVER403 Verify Inspectors</w:t>
      </w:r>
      <w:r>
        <w:t>’</w:t>
      </w:r>
      <w:r w:rsidRPr="00335A52">
        <w:t xml:space="preserve"> Class reference standards</w:t>
      </w:r>
    </w:p>
    <w:p w:rsidR="00000000" w:rsidRPr="00335A52" w:rsidP="00335A52">
      <w:pPr>
        <w:pStyle w:val="Heading1"/>
      </w:pPr>
      <w:bookmarkStart w:id="1" w:name="O_939606"/>
      <w:bookmarkEnd w:id="1"/>
      <w:r w:rsidRPr="00335A52">
        <w:t>Modification History</w:t>
      </w:r>
    </w:p>
    <w:p w:rsidR="00000000" w:rsidRPr="00335A52" w:rsidP="00BE5D6E">
      <w:pPr>
        <w:pStyle w:val="BodyText"/>
      </w:pPr>
      <w:r w:rsidRPr="00335A52">
        <w:t>Release 2. Minor adjustments/corrections to all sections, inc. performance and knowledge evidence. Equivalent.</w:t>
      </w:r>
    </w:p>
    <w:p w:rsidR="00000000" w:rsidRPr="00335A52" w:rsidP="00BE5D6E">
      <w:pPr>
        <w:pStyle w:val="BodyText"/>
      </w:pPr>
      <w:r w:rsidRPr="00335A52">
        <w:t>Release 1. Supersedes and is equivalent to MSATMVER403A Verify inspector</w:t>
      </w:r>
      <w:r>
        <w:t>’</w:t>
      </w:r>
      <w:r w:rsidRPr="00335A52">
        <w:t>s class reference standards</w:t>
      </w:r>
    </w:p>
    <w:p w:rsidR="00000000" w:rsidRPr="00335A52" w:rsidP="00335A52">
      <w:pPr>
        <w:pStyle w:val="Heading1"/>
      </w:pPr>
      <w:bookmarkStart w:id="2" w:name="O_939605"/>
      <w:bookmarkEnd w:id="2"/>
      <w:r w:rsidRPr="00335A52">
        <w:t>Application</w:t>
      </w:r>
    </w:p>
    <w:p w:rsidR="00000000" w:rsidRPr="00335A52" w:rsidP="00BE5D6E">
      <w:pPr>
        <w:pStyle w:val="BodyText"/>
      </w:pPr>
      <w:r w:rsidRPr="00335A52">
        <w:t>This unit of competency covers the ability to calibrate reference standards to the Inspectors’ Class level using standard calibration procedures. These procedures specify all associated reference standards, equipment and methods to be</w:t>
      </w:r>
      <w:r w:rsidRPr="00335A52">
        <w:t xml:space="preserve"> used and the required parameters, quantities and ranges to be tested, including the criteria for validation or rejection. Standard calibration procedures are sometimes complex and lengthy and must be performed in a methodical and standard manner. Personne</w:t>
      </w:r>
      <w:r w:rsidRPr="00335A52">
        <w:t>l are not permitted to deviate from explicit instructions in any manner, nor modify the procedure, nor substitute alternative equipment.</w:t>
      </w:r>
    </w:p>
    <w:p w:rsidR="00000000" w:rsidRPr="00335A52" w:rsidP="00BE5D6E">
      <w:pPr>
        <w:pStyle w:val="BodyText"/>
      </w:pPr>
      <w:r w:rsidRPr="00335A52">
        <w:t>This unit of competency is applicable to laboratory and calibration technicians who carry out testing and/or calibrati</w:t>
      </w:r>
      <w:r w:rsidRPr="00335A52">
        <w:t>ons using standard calibration methods in National Association of Testing Authorities (NATA) accredited laboratories. They work under limited supervision and their results are interpreted and checked by the laboratory supervisor, quality officer or designa</w:t>
      </w:r>
      <w:r w:rsidRPr="00335A52">
        <w:t>ted signatory</w:t>
      </w:r>
    </w:p>
    <w:p w:rsidR="00000000" w:rsidRPr="00335A52" w:rsidP="00BE5D6E">
      <w:pPr>
        <w:pStyle w:val="BodyText"/>
      </w:pPr>
      <w:r w:rsidRPr="00335A52">
        <w:t xml:space="preserve">While no specific licensing or certification requirements apply to this unit at the time of publication, all inspection activity is legislated under the </w:t>
      </w:r>
      <w:r w:rsidRPr="00335A52">
        <w:rPr>
          <w:rStyle w:val="Emphasis"/>
        </w:rPr>
        <w:t>National Measurement Act 1960.</w:t>
      </w:r>
    </w:p>
    <w:p w:rsidR="00000000" w:rsidRPr="00335A52" w:rsidP="00335A52">
      <w:pPr>
        <w:pStyle w:val="Heading1"/>
      </w:pPr>
      <w:bookmarkStart w:id="3" w:name="O_939604"/>
      <w:bookmarkEnd w:id="3"/>
      <w:r w:rsidRPr="00335A52">
        <w:t>Pre-requisite Unit</w:t>
      </w:r>
    </w:p>
    <w:p w:rsidR="00000000" w:rsidRPr="00335A52" w:rsidP="00BE5D6E">
      <w:pPr>
        <w:pStyle w:val="BodyText"/>
      </w:pPr>
      <w:r w:rsidRPr="00335A52">
        <w:t>Nil</w:t>
      </w:r>
    </w:p>
    <w:p w:rsidR="00000000" w:rsidRPr="00335A52" w:rsidP="00335A52">
      <w:pPr>
        <w:pStyle w:val="Heading1"/>
      </w:pPr>
      <w:bookmarkStart w:id="4" w:name="O_939603"/>
      <w:bookmarkEnd w:id="4"/>
      <w:r w:rsidRPr="00335A52">
        <w:t>Competency Field</w:t>
      </w:r>
    </w:p>
    <w:p w:rsidR="00000000" w:rsidRPr="00335A52" w:rsidP="00BE5D6E">
      <w:pPr>
        <w:pStyle w:val="BodyText"/>
      </w:pPr>
      <w:r w:rsidRPr="00335A52">
        <w:t>Trade measurement</w:t>
      </w:r>
    </w:p>
    <w:p w:rsidR="00000000" w:rsidRPr="00335A52" w:rsidP="00335A52">
      <w:pPr>
        <w:pStyle w:val="Heading1"/>
      </w:pPr>
      <w:bookmarkStart w:id="5" w:name="O_939602"/>
      <w:bookmarkEnd w:id="5"/>
      <w:r w:rsidRPr="00335A52">
        <w:t>Unit Sector</w:t>
      </w:r>
    </w:p>
    <w:p w:rsidR="00000000" w:rsidRPr="00335A52" w:rsidP="00335A52">
      <w:pPr>
        <w:pStyle w:val="Heading1"/>
      </w:pPr>
      <w:bookmarkStart w:id="6" w:name="O_939601"/>
      <w:bookmarkEnd w:id="6"/>
      <w:r w:rsidRPr="00335A5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35A5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 xml:space="preserve">Elements describe the </w:t>
            </w:r>
            <w:r w:rsidRPr="00335A52">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 xml:space="preserve">Performance criteria describe the performance needed to </w:t>
            </w:r>
            <w:r w:rsidRPr="00335A52">
              <w:t>demonstrate achievement of the element</w:t>
            </w:r>
          </w:p>
        </w:tc>
      </w:tr>
      <w:tr w:rsidTr="00335A5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335A52">
            <w:pPr>
              <w:pStyle w:val="BodyText"/>
              <w:rPr>
                <w:lang w:val="en-NZ"/>
              </w:rPr>
            </w:pP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1</w:t>
            </w:r>
          </w:p>
        </w:tc>
        <w:tc>
          <w:tcPr>
            <w:tcW w:w="1962" w:type="dxa"/>
            <w:vMerge w:val="restart"/>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Receive and schedule Inspectors’ Class reference standards for calibration</w:t>
            </w: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1.1</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Identify the level of verification required by the client</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1.2</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Evaluate and implement appropriate strategies where the standard</w:t>
            </w:r>
            <w:r>
              <w:t>’</w:t>
            </w:r>
            <w:r w:rsidRPr="00335A52">
              <w:t>s suitability for purpose does not meet cli</w:t>
            </w:r>
            <w:r w:rsidRPr="00335A52">
              <w:t>ent expectations</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1.3</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Enter details for the Inspectors’ Class reference standard into the organisation</w:t>
            </w:r>
            <w:r>
              <w:t>’</w:t>
            </w:r>
            <w:r w:rsidRPr="00335A52">
              <w:t>s information management system and apply appropriate tracking mechanisms</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1.4</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 xml:space="preserve">Process </w:t>
            </w:r>
            <w:r>
              <w:t>‘</w:t>
            </w:r>
            <w:r w:rsidRPr="00335A52">
              <w:t>urgent</w:t>
            </w:r>
            <w:r>
              <w:t>’</w:t>
            </w:r>
            <w:r w:rsidRPr="00335A52">
              <w:t xml:space="preserve"> calibration requests in accordance with organisational policy and procedures</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1.5</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Maintain confidentiality of all client and organisation data and information</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1.6</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Ensure that information provided to clients is accurate, relevant and a</w:t>
            </w:r>
            <w:r w:rsidRPr="00335A52">
              <w:t>uthorised for release</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1.7</w:t>
            </w:r>
          </w:p>
        </w:tc>
        <w:tc>
          <w:tcPr>
            <w:tcW w:w="5610" w:type="dxa"/>
            <w:tcBorders>
              <w:top w:val="nil"/>
              <w:left w:val="nil"/>
              <w:bottom w:val="nil"/>
              <w:right w:val="nil"/>
            </w:tcBorders>
            <w:tcMar>
              <w:top w:w="0" w:type="dxa"/>
              <w:left w:w="62" w:type="dxa"/>
              <w:bottom w:w="0" w:type="dxa"/>
              <w:right w:w="62" w:type="dxa"/>
            </w:tcMar>
          </w:tcPr>
          <w:p w:rsidR="00000000" w:rsidRPr="00335A52" w:rsidP="00335A52">
            <w:pPr>
              <w:pStyle w:val="BodyText"/>
            </w:pPr>
            <w:r w:rsidRPr="00335A52">
              <w:t>Deal with customers politely, efficiently and in accordance with organisational policy and procedures</w:t>
            </w:r>
          </w:p>
        </w:tc>
      </w:tr>
    </w:tbl>
    <w:p w:rsidR="00000000" w:rsidRPr="00335A52" w:rsidP="00335A52">
      <w:pPr>
        <w:pStyle w:val="BodyText"/>
      </w:pPr>
    </w:p>
    <w:tbl>
      <w:tblPr>
        <w:tblW w:w="0" w:type="auto"/>
        <w:tblLayout w:type="fixed"/>
        <w:tblCellMar>
          <w:left w:w="62" w:type="dxa"/>
          <w:right w:w="62" w:type="dxa"/>
        </w:tblCellMar>
        <w:tblLook w:val="0000"/>
      </w:tblPr>
      <w:tblGrid>
        <w:gridCol w:w="616"/>
        <w:gridCol w:w="1962"/>
        <w:gridCol w:w="770"/>
        <w:gridCol w:w="5610"/>
      </w:tblGrid>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2</w:t>
            </w:r>
          </w:p>
        </w:tc>
        <w:tc>
          <w:tcPr>
            <w:tcW w:w="1962" w:type="dxa"/>
            <w:vMerge w:val="restart"/>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Prepare for calibration</w:t>
            </w: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2.1</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Identify and access the appropriate procedure for the calibration in accordance wi</w:t>
            </w:r>
            <w:r w:rsidRPr="00335A52">
              <w:t>th organisational policy and procedures</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2.2</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Identify possible sources of measurement error during calibration and implement appropriate control strategies</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2.3</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Condition Inspectors’</w:t>
            </w:r>
            <w:r w:rsidRPr="00335A52">
              <w:t xml:space="preserve"> Class reference standards and high order reference standards in accordance with calibration and organisational procedures, where applicable</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2.4</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Identify hazards and use the specified personal protective equipment, safety equipment and procedures</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2.5</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Evaluate the suitability of high order reference standards and measuring equipment selected for the calibration against the organisation</w:t>
            </w:r>
            <w:r>
              <w:t>’</w:t>
            </w:r>
            <w:r w:rsidRPr="00335A52">
              <w:t>s specification requirements and calibration procedure</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2.6</w:t>
            </w:r>
          </w:p>
        </w:tc>
        <w:tc>
          <w:tcPr>
            <w:tcW w:w="5610" w:type="dxa"/>
            <w:tcBorders>
              <w:top w:val="nil"/>
              <w:left w:val="nil"/>
              <w:bottom w:val="nil"/>
              <w:right w:val="nil"/>
            </w:tcBorders>
            <w:tcMar>
              <w:top w:w="0" w:type="dxa"/>
              <w:left w:w="62" w:type="dxa"/>
              <w:bottom w:w="0" w:type="dxa"/>
              <w:right w:w="62" w:type="dxa"/>
            </w:tcMar>
          </w:tcPr>
          <w:p w:rsidR="00000000" w:rsidRPr="00335A52" w:rsidP="00335A52">
            <w:pPr>
              <w:pStyle w:val="BodyText"/>
            </w:pPr>
            <w:r w:rsidRPr="00335A52">
              <w:t>Document calibration status, report out-of-calibration t</w:t>
            </w:r>
            <w:r w:rsidRPr="00335A52">
              <w:t>est equipment/high order reference standards and quarantine where required</w:t>
            </w:r>
          </w:p>
        </w:tc>
      </w:tr>
    </w:tbl>
    <w:p w:rsidR="00000000" w:rsidRPr="00335A52" w:rsidP="00335A52">
      <w:pPr>
        <w:pStyle w:val="BodyText"/>
      </w:pPr>
    </w:p>
    <w:tbl>
      <w:tblPr>
        <w:tblW w:w="0" w:type="auto"/>
        <w:tblLayout w:type="fixed"/>
        <w:tblCellMar>
          <w:left w:w="62" w:type="dxa"/>
          <w:right w:w="62" w:type="dxa"/>
        </w:tblCellMar>
        <w:tblLook w:val="0000"/>
      </w:tblPr>
      <w:tblGrid>
        <w:gridCol w:w="616"/>
        <w:gridCol w:w="1962"/>
        <w:gridCol w:w="770"/>
        <w:gridCol w:w="5610"/>
      </w:tblGrid>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3</w:t>
            </w:r>
          </w:p>
        </w:tc>
        <w:tc>
          <w:tcPr>
            <w:tcW w:w="1962" w:type="dxa"/>
            <w:vMerge w:val="restart"/>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Perform calibration</w:t>
            </w: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3.1</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Assess the design and appearance of an Inspectors’ Class reference standard against prescribed standards</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3.2</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Perform calibration without variance according to the documented procedure to ensure repeatability of measurement</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val="restart"/>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3.3</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Confirm readings are the result of a valid measurement and record data as required</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3.4</w:t>
            </w:r>
          </w:p>
        </w:tc>
        <w:tc>
          <w:tcPr>
            <w:tcW w:w="5610" w:type="dxa"/>
            <w:tcBorders>
              <w:top w:val="nil"/>
              <w:left w:val="nil"/>
              <w:bottom w:val="nil"/>
              <w:right w:val="nil"/>
            </w:tcBorders>
            <w:tcMar>
              <w:top w:w="0" w:type="dxa"/>
              <w:left w:w="62" w:type="dxa"/>
              <w:bottom w:w="0" w:type="dxa"/>
              <w:right w:w="62" w:type="dxa"/>
            </w:tcMar>
          </w:tcPr>
          <w:p w:rsidR="00000000" w:rsidRPr="00335A52" w:rsidP="00335A52">
            <w:pPr>
              <w:pStyle w:val="BodyText"/>
            </w:pPr>
            <w:r w:rsidRPr="00335A52">
              <w:t>Adjust Inspectors’</w:t>
            </w:r>
            <w:r w:rsidRPr="00335A52">
              <w:t xml:space="preserve"> Class reference standard, if applicable</w:t>
            </w:r>
          </w:p>
        </w:tc>
      </w:tr>
    </w:tbl>
    <w:p w:rsidR="00000000" w:rsidRPr="00335A52" w:rsidP="00335A52">
      <w:pPr>
        <w:pStyle w:val="BodyText"/>
      </w:pPr>
    </w:p>
    <w:tbl>
      <w:tblPr>
        <w:tblW w:w="0" w:type="auto"/>
        <w:tblLayout w:type="fixed"/>
        <w:tblCellMar>
          <w:left w:w="62" w:type="dxa"/>
          <w:right w:w="62" w:type="dxa"/>
        </w:tblCellMar>
        <w:tblLook w:val="0000"/>
      </w:tblPr>
      <w:tblGrid>
        <w:gridCol w:w="616"/>
        <w:gridCol w:w="1962"/>
        <w:gridCol w:w="770"/>
        <w:gridCol w:w="5610"/>
      </w:tblGrid>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4</w:t>
            </w:r>
          </w:p>
        </w:tc>
        <w:tc>
          <w:tcPr>
            <w:tcW w:w="1962" w:type="dxa"/>
            <w:vMerge w:val="restart"/>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Analyse and report calibration results</w:t>
            </w: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4.1</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Estimate and document uncertainty of measurement in accordance with organisational policy and procedures, if required</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4.2</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Identify prescribed performance criteria fo</w:t>
            </w:r>
            <w:r w:rsidRPr="00335A52">
              <w:t>r the Inspectors’ Class reference standard and evaluate against calibration results</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4.3</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Analyse calibration results to confirm they are within the maximum permissible variation and uncertainty for the scope of calibration</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4.4</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Analyse a</w:t>
            </w:r>
            <w:r w:rsidRPr="00335A52">
              <w:t>ny variances from the performance criteria to identify isolated or systemic problems with the Inspectors’ Class reference standards or calibration procedure</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4.5</w:t>
            </w:r>
          </w:p>
        </w:tc>
        <w:tc>
          <w:tcPr>
            <w:tcW w:w="5610" w:type="dxa"/>
            <w:tcBorders>
              <w:top w:val="nil"/>
              <w:left w:val="nil"/>
              <w:bottom w:val="nil"/>
              <w:right w:val="nil"/>
            </w:tcBorders>
            <w:tcMar>
              <w:top w:w="0" w:type="dxa"/>
              <w:left w:w="62" w:type="dxa"/>
              <w:bottom w:w="0" w:type="dxa"/>
              <w:right w:w="62" w:type="dxa"/>
            </w:tcMar>
          </w:tcPr>
          <w:p w:rsidR="00000000" w:rsidRPr="00335A52" w:rsidP="00335A52">
            <w:pPr>
              <w:pStyle w:val="BodyText"/>
            </w:pPr>
            <w:r w:rsidRPr="00335A52">
              <w:t>Record the results of each test/calibration accurately, unambiguously and objectively</w:t>
            </w:r>
          </w:p>
        </w:tc>
      </w:tr>
    </w:tbl>
    <w:p w:rsidR="00000000" w:rsidRPr="00335A52" w:rsidP="00335A52">
      <w:pPr>
        <w:pStyle w:val="BodyText"/>
      </w:pPr>
    </w:p>
    <w:tbl>
      <w:tblPr>
        <w:tblW w:w="0" w:type="auto"/>
        <w:tblLayout w:type="fixed"/>
        <w:tblCellMar>
          <w:left w:w="62" w:type="dxa"/>
          <w:right w:w="62" w:type="dxa"/>
        </w:tblCellMar>
        <w:tblLook w:val="0000"/>
      </w:tblPr>
      <w:tblGrid>
        <w:gridCol w:w="616"/>
        <w:gridCol w:w="1962"/>
        <w:gridCol w:w="770"/>
        <w:gridCol w:w="5610"/>
      </w:tblGrid>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5</w:t>
            </w:r>
          </w:p>
        </w:tc>
        <w:tc>
          <w:tcPr>
            <w:tcW w:w="1962" w:type="dxa"/>
            <w:vMerge w:val="restart"/>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Fi</w:t>
            </w:r>
            <w:r w:rsidRPr="00335A52">
              <w:t>nalise calibration</w:t>
            </w: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5.1</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Attach calibration labels, equipment stickers, quality control tags and tamper resistant seals as required by organisational procedures</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5.2</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Prepare and submit to the laboratory supervisor a final report on the calibration detailing procedure, traceability, results and all other required information</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5.3</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Store test equipment/high order reference standards and calibration records in accordance</w:t>
            </w:r>
            <w:r w:rsidRPr="00335A52">
              <w:t xml:space="preserve"> with organisational policy and procedures</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5.4</w:t>
            </w:r>
          </w:p>
        </w:tc>
        <w:tc>
          <w:tcPr>
            <w:tcW w:w="561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Identify and report unserviceable equipment or high order reference standards to the laboratory supervisor</w:t>
            </w:r>
          </w:p>
        </w:tc>
      </w:tr>
      <w:tr w:rsidTr="00335A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5.5</w:t>
            </w:r>
          </w:p>
        </w:tc>
        <w:tc>
          <w:tcPr>
            <w:tcW w:w="5610" w:type="dxa"/>
            <w:tcBorders>
              <w:top w:val="nil"/>
              <w:left w:val="nil"/>
              <w:bottom w:val="nil"/>
              <w:right w:val="nil"/>
            </w:tcBorders>
            <w:tcMar>
              <w:top w:w="0" w:type="dxa"/>
              <w:left w:w="62" w:type="dxa"/>
              <w:bottom w:w="0" w:type="dxa"/>
              <w:right w:w="62" w:type="dxa"/>
            </w:tcMar>
          </w:tcPr>
          <w:p w:rsidR="00000000" w:rsidRPr="00335A52" w:rsidP="00335A52">
            <w:pPr>
              <w:pStyle w:val="BodyText"/>
            </w:pPr>
            <w:r w:rsidRPr="00335A52">
              <w:t>Clean equipment and high order reference standards in accordance with organisational policy and procedures</w:t>
            </w:r>
          </w:p>
        </w:tc>
      </w:tr>
    </w:tbl>
    <w:p w:rsidR="00000000" w:rsidRPr="00335A52" w:rsidP="00335A52">
      <w:pPr>
        <w:pStyle w:val="BodyText"/>
      </w:pPr>
    </w:p>
    <w:p w:rsidR="00000000" w:rsidRPr="00335A52" w:rsidP="00335A52">
      <w:pPr>
        <w:pStyle w:val="AllowPageBreak"/>
      </w:pPr>
    </w:p>
    <w:p w:rsidR="00000000" w:rsidRPr="00335A52" w:rsidP="00335A52">
      <w:pPr>
        <w:pStyle w:val="Heading1"/>
      </w:pPr>
      <w:bookmarkStart w:id="7" w:name="O_939600"/>
      <w:bookmarkEnd w:id="7"/>
      <w:r w:rsidRPr="00335A52">
        <w:t>Foundation Skills</w:t>
      </w:r>
    </w:p>
    <w:p w:rsidR="00000000" w:rsidRPr="00335A52" w:rsidP="00BE5D6E">
      <w:pPr>
        <w:pStyle w:val="BodyText"/>
      </w:pPr>
      <w:r w:rsidRPr="00335A52">
        <w:t>This section describes those language, literacy, numeracy and employment skills that are essential to performanc</w:t>
      </w:r>
      <w:r w:rsidRPr="00335A52">
        <w:t>e.</w:t>
      </w:r>
    </w:p>
    <w:p w:rsidR="00000000" w:rsidRPr="00335A52" w:rsidP="00BE5D6E">
      <w:pPr>
        <w:pStyle w:val="BodyText"/>
      </w:pPr>
      <w:r w:rsidRPr="00335A52">
        <w:t>Foundation skills essential to performance are explicit in the performance criteria of this unit of competency.</w:t>
      </w:r>
    </w:p>
    <w:p w:rsidR="00000000" w:rsidRPr="00335A52" w:rsidP="00335A52">
      <w:pPr>
        <w:pStyle w:val="Heading1"/>
      </w:pPr>
      <w:bookmarkStart w:id="8" w:name="O_939599"/>
      <w:bookmarkEnd w:id="8"/>
      <w:r w:rsidRPr="00335A52">
        <w:t>Range of Conditions</w:t>
      </w:r>
    </w:p>
    <w:tbl>
      <w:tblPr>
        <w:tblW w:w="0" w:type="auto"/>
        <w:tblLayout w:type="fixed"/>
        <w:tblCellMar>
          <w:left w:w="62" w:type="dxa"/>
          <w:right w:w="62" w:type="dxa"/>
        </w:tblCellMar>
        <w:tblLook w:val="0000"/>
      </w:tblPr>
      <w:tblGrid>
        <w:gridCol w:w="2735"/>
        <w:gridCol w:w="6337"/>
      </w:tblGrid>
      <w:tr w:rsidTr="00335A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t>This field allows for different work environments and conditions that may affect performance. Essential</w:t>
            </w:r>
            <w:r w:rsidRPr="00335A52">
              <w:t xml:space="preserve"> operating conditions that may be present (depending on the work situation, needs of the candidate, accessibility of the item, and local industry and regional contexts) are included.</w:t>
            </w:r>
          </w:p>
        </w:tc>
      </w:tr>
      <w:tr w:rsidTr="00335A52">
        <w:tblPrEx>
          <w:tblW w:w="0" w:type="auto"/>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rPr>
                <w:rStyle w:val="SpecialBold"/>
              </w:rPr>
              <w:t>Inspectors’ Class reference standards include one or more of:</w:t>
            </w:r>
          </w:p>
        </w:tc>
        <w:tc>
          <w:tcPr>
            <w:tcW w:w="6337" w:type="dxa"/>
            <w:tcBorders>
              <w:top w:val="nil"/>
              <w:left w:val="nil"/>
              <w:bottom w:val="nil"/>
              <w:right w:val="nil"/>
            </w:tcBorders>
            <w:tcMar>
              <w:top w:w="0" w:type="dxa"/>
              <w:left w:w="62" w:type="dxa"/>
              <w:bottom w:w="0" w:type="dxa"/>
              <w:right w:w="62" w:type="dxa"/>
            </w:tcMar>
          </w:tcPr>
          <w:p w:rsidR="00000000" w:rsidRPr="00335A52" w:rsidP="00335A52">
            <w:pPr>
              <w:pStyle w:val="ListBullet"/>
            </w:pPr>
            <w:r w:rsidRPr="00335A52">
              <w:t xml:space="preserve">Inspectors’ Classes of reference standards defined in the </w:t>
            </w:r>
            <w:r w:rsidRPr="00335A52">
              <w:rPr>
                <w:rStyle w:val="Emphasis"/>
              </w:rPr>
              <w:t>National Measurement Regulations 1999</w:t>
            </w:r>
            <w:r w:rsidRPr="00335A52">
              <w:t xml:space="preserve">: </w:t>
            </w:r>
          </w:p>
          <w:p w:rsidR="00000000" w:rsidRPr="00335A52" w:rsidP="00335A52">
            <w:pPr>
              <w:pStyle w:val="ListBullet2"/>
            </w:pPr>
            <w:r w:rsidRPr="00335A52">
              <w:t>mass – Inspectors’ Class 1, 2 and 3</w:t>
            </w:r>
          </w:p>
          <w:p w:rsidR="00000000" w:rsidRPr="00335A52" w:rsidP="00335A52">
            <w:pPr>
              <w:pStyle w:val="ListBullet2"/>
            </w:pPr>
            <w:r w:rsidRPr="00335A52">
              <w:t>length – Inspector’s Class 1</w:t>
            </w:r>
          </w:p>
          <w:p w:rsidR="00000000" w:rsidRPr="00335A52" w:rsidP="00335A52">
            <w:pPr>
              <w:pStyle w:val="ListBullet2"/>
            </w:pPr>
            <w:r w:rsidRPr="00335A52">
              <w:t>volume – Inspector’s Class 1</w:t>
            </w:r>
          </w:p>
          <w:p w:rsidR="00000000" w:rsidP="00335A52">
            <w:pPr>
              <w:pStyle w:val="BodyText"/>
              <w:rPr>
                <w:lang w:val="en-NZ"/>
              </w:rPr>
            </w:pPr>
          </w:p>
        </w:tc>
      </w:tr>
      <w:tr w:rsidTr="00335A52">
        <w:tblPrEx>
          <w:tblW w:w="0" w:type="auto"/>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rPr>
                <w:rStyle w:val="SpecialBold"/>
              </w:rPr>
              <w:t>Standard calibrations include one or more of:</w:t>
            </w:r>
            <w:r w:rsidRPr="00335A52">
              <w:t xml:space="preserve"> </w:t>
            </w:r>
          </w:p>
        </w:tc>
        <w:tc>
          <w:tcPr>
            <w:tcW w:w="6337" w:type="dxa"/>
            <w:tcBorders>
              <w:top w:val="nil"/>
              <w:left w:val="nil"/>
              <w:bottom w:val="nil"/>
              <w:right w:val="nil"/>
            </w:tcBorders>
            <w:tcMar>
              <w:top w:w="0" w:type="dxa"/>
              <w:left w:w="62" w:type="dxa"/>
              <w:bottom w:w="0" w:type="dxa"/>
              <w:right w:w="62" w:type="dxa"/>
            </w:tcMar>
          </w:tcPr>
          <w:p w:rsidR="00000000" w:rsidRPr="00335A52" w:rsidP="00335A52">
            <w:pPr>
              <w:pStyle w:val="ListBullet"/>
            </w:pPr>
            <w:r w:rsidRPr="00335A52">
              <w:t>testing and/o</w:t>
            </w:r>
            <w:r w:rsidRPr="00335A52">
              <w:t>r calibrating reference standards using standard methods and procedures</w:t>
            </w:r>
          </w:p>
          <w:p w:rsidR="00000000" w:rsidP="00335A52">
            <w:pPr>
              <w:pStyle w:val="BodyText"/>
              <w:rPr>
                <w:lang w:val="en-NZ"/>
              </w:rPr>
            </w:pPr>
          </w:p>
        </w:tc>
      </w:tr>
      <w:tr w:rsidTr="00335A52">
        <w:tblPrEx>
          <w:tblW w:w="0" w:type="auto"/>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rPr>
                <w:rStyle w:val="SpecialBold"/>
              </w:rPr>
              <w:t>Legislation and standards include:</w:t>
            </w:r>
          </w:p>
        </w:tc>
        <w:tc>
          <w:tcPr>
            <w:tcW w:w="6337" w:type="dxa"/>
            <w:tcBorders>
              <w:top w:val="nil"/>
              <w:left w:val="nil"/>
              <w:bottom w:val="nil"/>
              <w:right w:val="nil"/>
            </w:tcBorders>
            <w:tcMar>
              <w:top w:w="0" w:type="dxa"/>
              <w:left w:w="62" w:type="dxa"/>
              <w:bottom w:w="0" w:type="dxa"/>
              <w:right w:w="62" w:type="dxa"/>
            </w:tcMar>
          </w:tcPr>
          <w:p w:rsidR="00000000" w:rsidRPr="00335A52" w:rsidP="00335A52">
            <w:pPr>
              <w:pStyle w:val="ListBullet"/>
            </w:pPr>
            <w:r w:rsidRPr="00335A52">
              <w:t>national measurement legislation</w:t>
            </w:r>
          </w:p>
          <w:p w:rsidR="00000000" w:rsidRPr="00335A52" w:rsidP="00335A52">
            <w:pPr>
              <w:pStyle w:val="ListBullet"/>
            </w:pPr>
            <w:r w:rsidRPr="00335A52">
              <w:t xml:space="preserve">relevant national/international standards including ISO/IEC 17025 </w:t>
            </w:r>
          </w:p>
          <w:p w:rsidR="00000000" w:rsidRPr="00335A52" w:rsidP="00335A52">
            <w:pPr>
              <w:pStyle w:val="ListBullet"/>
            </w:pPr>
            <w:r w:rsidRPr="00335A52">
              <w:t>applicable Commonwealth, state and territory work/occupational health and safety (WHS/OHS) legislation</w:t>
            </w:r>
          </w:p>
          <w:p w:rsidR="00000000" w:rsidP="00335A52">
            <w:pPr>
              <w:pStyle w:val="BodyText"/>
              <w:rPr>
                <w:lang w:val="en-NZ"/>
              </w:rPr>
            </w:pPr>
          </w:p>
        </w:tc>
      </w:tr>
      <w:tr w:rsidTr="00335A52">
        <w:tblPrEx>
          <w:tblW w:w="0" w:type="auto"/>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rPr>
                <w:rStyle w:val="SpecialBold"/>
              </w:rPr>
              <w:t>Policy and procedures include:</w:t>
            </w:r>
          </w:p>
        </w:tc>
        <w:tc>
          <w:tcPr>
            <w:tcW w:w="6337" w:type="dxa"/>
            <w:tcBorders>
              <w:top w:val="nil"/>
              <w:left w:val="nil"/>
              <w:bottom w:val="nil"/>
              <w:right w:val="nil"/>
            </w:tcBorders>
            <w:tcMar>
              <w:top w:w="0" w:type="dxa"/>
              <w:left w:w="62" w:type="dxa"/>
              <w:bottom w:w="0" w:type="dxa"/>
              <w:right w:w="62" w:type="dxa"/>
            </w:tcMar>
          </w:tcPr>
          <w:p w:rsidR="00000000" w:rsidRPr="00335A52" w:rsidP="00335A52">
            <w:pPr>
              <w:pStyle w:val="ListBullet"/>
            </w:pPr>
            <w:r w:rsidRPr="00335A52">
              <w:t>NMI policies and procedures</w:t>
            </w:r>
          </w:p>
          <w:p w:rsidR="00000000" w:rsidRPr="00335A52" w:rsidP="00335A52">
            <w:pPr>
              <w:pStyle w:val="ListBullet"/>
            </w:pPr>
            <w:r w:rsidRPr="00335A52">
              <w:t xml:space="preserve">NMI monographs </w:t>
            </w:r>
          </w:p>
          <w:p w:rsidR="00000000" w:rsidRPr="00335A52" w:rsidP="00335A52">
            <w:pPr>
              <w:pStyle w:val="ListBullet"/>
            </w:pPr>
            <w:r w:rsidRPr="00335A52">
              <w:t>Verifying authority internal policies and procedures</w:t>
            </w:r>
          </w:p>
          <w:p w:rsidR="00000000" w:rsidP="00335A52">
            <w:pPr>
              <w:pStyle w:val="BodyText"/>
              <w:rPr>
                <w:lang w:val="en-NZ"/>
              </w:rPr>
            </w:pPr>
          </w:p>
        </w:tc>
      </w:tr>
      <w:tr w:rsidTr="00335A52">
        <w:tblPrEx>
          <w:tblW w:w="0" w:type="auto"/>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35A52">
            <w:pPr>
              <w:pStyle w:val="BodyText"/>
              <w:rPr>
                <w:lang w:val="en-NZ"/>
              </w:rPr>
            </w:pPr>
            <w:r w:rsidRPr="00335A52">
              <w:rPr>
                <w:rStyle w:val="SpecialBold"/>
              </w:rPr>
              <w:t>WHS/OHS and environm</w:t>
            </w:r>
            <w:r w:rsidRPr="00335A52">
              <w:rPr>
                <w:rStyle w:val="SpecialBold"/>
              </w:rPr>
              <w:t>ental management requirements include:</w:t>
            </w:r>
          </w:p>
        </w:tc>
        <w:tc>
          <w:tcPr>
            <w:tcW w:w="6337" w:type="dxa"/>
            <w:tcBorders>
              <w:top w:val="nil"/>
              <w:left w:val="nil"/>
              <w:bottom w:val="nil"/>
              <w:right w:val="nil"/>
            </w:tcBorders>
            <w:tcMar>
              <w:top w:w="0" w:type="dxa"/>
              <w:left w:w="62" w:type="dxa"/>
              <w:bottom w:w="0" w:type="dxa"/>
              <w:right w:w="62" w:type="dxa"/>
            </w:tcMar>
          </w:tcPr>
          <w:p w:rsidR="00000000" w:rsidRPr="00335A52" w:rsidP="00335A52">
            <w:pPr>
              <w:pStyle w:val="ListBullet"/>
            </w:pPr>
            <w:r w:rsidRPr="00335A52">
              <w:t>complying with WHS/OHS and environmental management requirements at all times, which may be imposed through state/territory or federal legislation. These requirements must not be compromised at any time</w:t>
            </w:r>
          </w:p>
          <w:p w:rsidR="00000000" w:rsidRPr="00335A52" w:rsidP="00335A52">
            <w:pPr>
              <w:pStyle w:val="ListBullet"/>
            </w:pPr>
            <w:r w:rsidRPr="00335A52">
              <w:t>applying standard precautions relating to the potentially hazardous nature of any materials used</w:t>
            </w:r>
          </w:p>
        </w:tc>
      </w:tr>
    </w:tbl>
    <w:p w:rsidR="00000000" w:rsidRPr="00335A52" w:rsidP="00335A52">
      <w:pPr>
        <w:pStyle w:val="BodyText"/>
      </w:pPr>
    </w:p>
    <w:p w:rsidR="00000000" w:rsidRPr="00335A52" w:rsidP="00335A52">
      <w:pPr>
        <w:pStyle w:val="AllowPageBreak"/>
      </w:pPr>
    </w:p>
    <w:p w:rsidR="00000000" w:rsidRPr="00335A52" w:rsidP="00335A52">
      <w:pPr>
        <w:pStyle w:val="Heading1"/>
      </w:pPr>
      <w:bookmarkStart w:id="9" w:name="O_939598"/>
      <w:bookmarkEnd w:id="9"/>
      <w:r w:rsidRPr="00335A52">
        <w:t>Unit Mapping Information</w:t>
      </w:r>
    </w:p>
    <w:p w:rsidR="00000000" w:rsidRPr="00335A52" w:rsidP="00BE5D6E">
      <w:pPr>
        <w:pStyle w:val="BodyText"/>
      </w:pPr>
      <w:r w:rsidRPr="00335A52">
        <w:t>Release 2. Minor adjustments/corrections to all sections, inc. performance and knowledge evidence. Equivalent.</w:t>
      </w:r>
    </w:p>
    <w:p w:rsidR="00000000" w:rsidRPr="00335A52" w:rsidP="00BE5D6E">
      <w:pPr>
        <w:pStyle w:val="BodyText"/>
      </w:pPr>
      <w:r w:rsidRPr="00335A52">
        <w:t>Rele</w:t>
      </w:r>
      <w:r w:rsidRPr="00335A52">
        <w:t>ase 1. Supersedes and is equivalent to MSATMVER403A Verify inspector</w:t>
      </w:r>
      <w:r>
        <w:t>’</w:t>
      </w:r>
      <w:r w:rsidRPr="00335A52">
        <w:t>s class reference standards</w:t>
      </w:r>
    </w:p>
    <w:p w:rsidR="00000000" w:rsidRPr="00335A52" w:rsidP="00335A52">
      <w:pPr>
        <w:pStyle w:val="Heading1"/>
      </w:pPr>
      <w:bookmarkStart w:id="10" w:name="O_939607"/>
      <w:bookmarkEnd w:id="10"/>
      <w:r w:rsidRPr="00335A52">
        <w:t>Links</w:t>
      </w:r>
    </w:p>
    <w:p w:rsidR="00000000" w:rsidRPr="00335A52" w:rsidP="00BE5D6E">
      <w:pPr>
        <w:pStyle w:val="BodyText"/>
      </w:pPr>
      <w:r w:rsidRPr="00335A5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15BA6">
        <w:rPr>
          <w:rStyle w:val="Hyperlink"/>
        </w:rPr>
        <w:t>https://vetnet.gov.au/Pages/TrainingDocs.aspx?q=d1287d36-dff4-4e9f-ad2c-9d6270054027</w:t>
      </w:r>
      <w:r>
        <w:fldChar w:fldCharType="end"/>
      </w:r>
    </w:p>
    <w:p w:rsidR="00000000" w:rsidRPr="00335A52" w:rsidP="00335A52"/>
    <w:sectPr w:rsidSect="00335A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A52" w:rsidRPr="00BE5D6E" w:rsidP="00BE5D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D6E" w:rsidP="00335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5D6E" w:rsidP="00335A5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5D6E" w:rsidP="00335A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D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5A52" w:rsidRPr="00BE5D6E" w:rsidP="00BE5D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D6E" w:rsidRPr="002D2AF8" w:rsidP="00335A52">
    <w:pPr>
      <w:pStyle w:val="Header"/>
      <w:framePr w:wrap="around"/>
    </w:pPr>
    <w:r>
      <w:fldChar w:fldCharType="begin"/>
    </w:r>
    <w:r>
      <w:instrText xml:space="preserve"> TITLE   \* MERGEFORMAT </w:instrText>
    </w:r>
    <w:r>
      <w:fldChar w:fldCharType="separate"/>
    </w:r>
    <w:r>
      <w:t>MSMTMVER403 Verify Inspectors' Class reference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E5D6E" w:rsidP="00335A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041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983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284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A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A52"/>
    <w:pPr>
      <w:spacing w:before="360" w:after="60"/>
      <w:outlineLvl w:val="0"/>
    </w:pPr>
    <w:rPr>
      <w:sz w:val="32"/>
    </w:rPr>
  </w:style>
  <w:style w:type="paragraph" w:styleId="Heading2">
    <w:name w:val="heading 2"/>
    <w:basedOn w:val="HeadingBase"/>
    <w:next w:val="BodyText"/>
    <w:link w:val="Heading2Char"/>
    <w:qFormat/>
    <w:rsid w:val="00335A52"/>
    <w:pPr>
      <w:keepLines/>
      <w:spacing w:before="240" w:after="120"/>
      <w:outlineLvl w:val="1"/>
    </w:pPr>
    <w:rPr>
      <w:sz w:val="28"/>
      <w:szCs w:val="40"/>
    </w:rPr>
  </w:style>
  <w:style w:type="paragraph" w:styleId="Heading3">
    <w:name w:val="heading 3"/>
    <w:basedOn w:val="HeadingBase"/>
    <w:next w:val="BodyText"/>
    <w:link w:val="Heading3Char"/>
    <w:qFormat/>
    <w:rsid w:val="00335A52"/>
    <w:pPr>
      <w:spacing w:before="180" w:after="120"/>
      <w:outlineLvl w:val="2"/>
    </w:pPr>
    <w:rPr>
      <w:spacing w:val="-10"/>
      <w:kern w:val="32"/>
    </w:rPr>
  </w:style>
  <w:style w:type="paragraph" w:styleId="Heading4">
    <w:name w:val="heading 4"/>
    <w:basedOn w:val="HeadingBase"/>
    <w:next w:val="BodyText"/>
    <w:link w:val="Heading4Char"/>
    <w:qFormat/>
    <w:rsid w:val="00335A52"/>
    <w:pPr>
      <w:spacing w:before="160" w:after="120"/>
      <w:outlineLvl w:val="3"/>
    </w:pPr>
    <w:rPr>
      <w:sz w:val="22"/>
    </w:rPr>
  </w:style>
  <w:style w:type="paragraph" w:styleId="Heading5">
    <w:name w:val="heading 5"/>
    <w:basedOn w:val="HeadingBase"/>
    <w:next w:val="Normal"/>
    <w:link w:val="Heading5Char"/>
    <w:qFormat/>
    <w:rsid w:val="00335A52"/>
    <w:pPr>
      <w:spacing w:before="80"/>
      <w:outlineLvl w:val="4"/>
    </w:pPr>
    <w:rPr>
      <w:color w:val="918585"/>
      <w:sz w:val="20"/>
    </w:rPr>
  </w:style>
  <w:style w:type="paragraph" w:styleId="Heading6">
    <w:name w:val="heading 6"/>
    <w:basedOn w:val="HeadingBase"/>
    <w:next w:val="Normal"/>
    <w:link w:val="Heading6Char"/>
    <w:qFormat/>
    <w:rsid w:val="00335A52"/>
    <w:pPr>
      <w:spacing w:before="60"/>
      <w:outlineLvl w:val="5"/>
    </w:pPr>
    <w:rPr>
      <w:color w:val="918585"/>
      <w:sz w:val="20"/>
    </w:rPr>
  </w:style>
  <w:style w:type="paragraph" w:styleId="Heading7">
    <w:name w:val="heading 7"/>
    <w:basedOn w:val="Normal"/>
    <w:next w:val="Normal"/>
    <w:link w:val="Heading7Char"/>
    <w:qFormat/>
    <w:rsid w:val="00335A52"/>
    <w:pPr>
      <w:ind w:left="720"/>
      <w:outlineLvl w:val="6"/>
    </w:pPr>
    <w:rPr>
      <w:i/>
    </w:rPr>
  </w:style>
  <w:style w:type="paragraph" w:styleId="Heading8">
    <w:name w:val="heading 8"/>
    <w:basedOn w:val="Normal"/>
    <w:next w:val="Normal"/>
    <w:link w:val="Heading8Char"/>
    <w:qFormat/>
    <w:rsid w:val="00335A52"/>
    <w:pPr>
      <w:ind w:left="720"/>
      <w:outlineLvl w:val="7"/>
    </w:pPr>
    <w:rPr>
      <w:i/>
    </w:rPr>
  </w:style>
  <w:style w:type="paragraph" w:styleId="Heading9">
    <w:name w:val="heading 9"/>
    <w:basedOn w:val="Normal"/>
    <w:next w:val="Normal"/>
    <w:link w:val="Heading9Char"/>
    <w:qFormat/>
    <w:rsid w:val="00335A52"/>
    <w:pPr>
      <w:ind w:left="720"/>
      <w:outlineLvl w:val="8"/>
    </w:pPr>
    <w:rPr>
      <w:i/>
    </w:rPr>
  </w:style>
  <w:style w:type="character" w:default="1" w:styleId="DefaultParagraphFont">
    <w:name w:val="Default Paragraph Font"/>
    <w:uiPriority w:val="1"/>
    <w:unhideWhenUsed/>
    <w:rsid w:val="00335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A52"/>
  </w:style>
  <w:style w:type="character" w:customStyle="1" w:styleId="Heading1Char">
    <w:name w:val="Heading 1 Char"/>
    <w:basedOn w:val="DefaultParagraphFont"/>
    <w:link w:val="Heading1"/>
    <w:rsid w:val="00335A52"/>
    <w:rPr>
      <w:rFonts w:ascii="Times New Roman" w:eastAsia="Times New Roman" w:hAnsi="Times New Roman" w:cs="Times New Roman"/>
      <w:b/>
      <w:sz w:val="32"/>
      <w:szCs w:val="20"/>
      <w:lang w:eastAsia="en-US"/>
    </w:rPr>
  </w:style>
  <w:style w:type="paragraph" w:styleId="BodyText">
    <w:name w:val="Body Text"/>
    <w:basedOn w:val="Normal"/>
    <w:link w:val="BodyTextChar"/>
    <w:rsid w:val="00335A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5A52"/>
    <w:rPr>
      <w:rFonts w:ascii="Times New Roman" w:eastAsia="Times New Roman" w:hAnsi="Times New Roman" w:cs="Times New Roman"/>
      <w:sz w:val="24"/>
      <w:lang w:eastAsia="en-US"/>
    </w:rPr>
  </w:style>
  <w:style w:type="paragraph" w:styleId="ListBullet">
    <w:name w:val="List Bullet"/>
    <w:basedOn w:val="List"/>
    <w:rsid w:val="00335A52"/>
    <w:pPr>
      <w:numPr>
        <w:numId w:val="12"/>
      </w:numPr>
      <w:tabs>
        <w:tab w:val="clear" w:pos="340"/>
      </w:tabs>
      <w:spacing w:before="40" w:after="40"/>
    </w:pPr>
  </w:style>
  <w:style w:type="character" w:customStyle="1" w:styleId="SpecialBold">
    <w:name w:val="Special Bold"/>
    <w:basedOn w:val="DefaultParagraphFont"/>
    <w:rsid w:val="00335A52"/>
    <w:rPr>
      <w:b/>
      <w:spacing w:val="0"/>
    </w:rPr>
  </w:style>
  <w:style w:type="paragraph" w:styleId="ListBullet2">
    <w:name w:val="List Bullet 2"/>
    <w:basedOn w:val="List2"/>
    <w:rsid w:val="00335A52"/>
    <w:pPr>
      <w:numPr>
        <w:numId w:val="13"/>
      </w:numPr>
      <w:tabs>
        <w:tab w:val="clear" w:pos="680"/>
      </w:tabs>
    </w:pPr>
  </w:style>
  <w:style w:type="character" w:styleId="Emphasis">
    <w:name w:val="Emphasis"/>
    <w:basedOn w:val="DefaultParagraphFont"/>
    <w:qFormat/>
    <w:rsid w:val="00335A52"/>
    <w:rPr>
      <w:i/>
    </w:rPr>
  </w:style>
  <w:style w:type="paragraph" w:customStyle="1" w:styleId="SuperHeading">
    <w:name w:val="SuperHeading"/>
    <w:basedOn w:val="Normal"/>
    <w:rsid w:val="00335A52"/>
    <w:pPr>
      <w:spacing w:before="240" w:after="120"/>
      <w:outlineLvl w:val="0"/>
    </w:pPr>
    <w:rPr>
      <w:rFonts w:ascii="Times New Roman" w:hAnsi="Times New Roman"/>
      <w:b/>
      <w:sz w:val="32"/>
    </w:rPr>
  </w:style>
  <w:style w:type="paragraph" w:customStyle="1" w:styleId="AllowPageBreak">
    <w:name w:val="AllowPageBreak"/>
    <w:rsid w:val="00335A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5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A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A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A52"/>
    <w:rPr>
      <w:rFonts w:ascii="Courier New" w:eastAsia="Times New Roman" w:hAnsi="Courier New" w:cs="Times New Roman"/>
      <w:i/>
      <w:szCs w:val="20"/>
      <w:lang w:eastAsia="en-US"/>
    </w:rPr>
  </w:style>
  <w:style w:type="paragraph" w:customStyle="1" w:styleId="HeadingBase">
    <w:name w:val="Heading Base"/>
    <w:rsid w:val="00335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A52"/>
    <w:pPr>
      <w:tabs>
        <w:tab w:val="right" w:leader="dot" w:pos="9072"/>
      </w:tabs>
      <w:ind w:left="567"/>
    </w:pPr>
    <w:rPr>
      <w:szCs w:val="22"/>
    </w:rPr>
  </w:style>
  <w:style w:type="paragraph" w:customStyle="1" w:styleId="TOCBase">
    <w:name w:val="TOC Base"/>
    <w:rsid w:val="00335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A52"/>
    <w:pPr>
      <w:tabs>
        <w:tab w:val="right" w:leader="dot" w:pos="9072"/>
      </w:tabs>
      <w:spacing w:before="40" w:after="40"/>
      <w:ind w:left="284"/>
    </w:pPr>
    <w:rPr>
      <w:rFonts w:ascii="Times New Roman" w:hAnsi="Times New Roman"/>
    </w:rPr>
  </w:style>
  <w:style w:type="paragraph" w:styleId="TOC1">
    <w:name w:val="toc 1"/>
    <w:basedOn w:val="TOCBase"/>
    <w:next w:val="Normal"/>
    <w:rsid w:val="00335A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A52"/>
    <w:rPr>
      <w:rFonts w:ascii="Times New Roman" w:eastAsia="Times New Roman" w:hAnsi="Times New Roman" w:cs="Times New Roman"/>
      <w:sz w:val="16"/>
      <w:lang w:eastAsia="en-US"/>
    </w:rPr>
  </w:style>
  <w:style w:type="paragraph" w:styleId="Title">
    <w:name w:val="Title"/>
    <w:basedOn w:val="HeadingBase"/>
    <w:link w:val="TitleChar"/>
    <w:qFormat/>
    <w:rsid w:val="00335A52"/>
    <w:pPr>
      <w:spacing w:before="5040"/>
      <w:jc w:val="center"/>
    </w:pPr>
    <w:rPr>
      <w:sz w:val="48"/>
      <w:szCs w:val="72"/>
      <w:lang w:val="en-US"/>
    </w:rPr>
  </w:style>
  <w:style w:type="character" w:customStyle="1" w:styleId="TitleChar">
    <w:name w:val="Title Char"/>
    <w:basedOn w:val="DefaultParagraphFont"/>
    <w:link w:val="Title"/>
    <w:rsid w:val="00335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A52"/>
    <w:pPr>
      <w:tabs>
        <w:tab w:val="left" w:pos="3600"/>
        <w:tab w:val="left" w:pos="3958"/>
      </w:tabs>
    </w:pPr>
  </w:style>
  <w:style w:type="paragraph" w:styleId="List">
    <w:name w:val="List"/>
    <w:basedOn w:val="BodyText"/>
    <w:next w:val="BodyText"/>
    <w:rsid w:val="00335A52"/>
    <w:pPr>
      <w:tabs>
        <w:tab w:val="left" w:pos="340"/>
      </w:tabs>
      <w:spacing w:before="60" w:after="60"/>
      <w:ind w:left="340" w:hanging="340"/>
    </w:pPr>
  </w:style>
  <w:style w:type="paragraph" w:customStyle="1" w:styleId="Note">
    <w:name w:val="Note"/>
    <w:basedOn w:val="BodyText"/>
    <w:rsid w:val="00335A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A52"/>
    <w:pPr>
      <w:framePr w:wrap="auto" w:hAnchor="text" w:y="6049"/>
    </w:pPr>
    <w:rPr>
      <w:color w:val="000000"/>
      <w:sz w:val="40"/>
    </w:rPr>
  </w:style>
  <w:style w:type="paragraph" w:customStyle="1" w:styleId="TOCTitle">
    <w:name w:val="TOCTitle"/>
    <w:basedOn w:val="Heading1"/>
    <w:rsid w:val="00335A52"/>
    <w:pPr>
      <w:spacing w:after="240"/>
      <w:jc w:val="center"/>
      <w:outlineLvl w:val="9"/>
    </w:pPr>
    <w:rPr>
      <w:caps/>
    </w:rPr>
  </w:style>
  <w:style w:type="paragraph" w:customStyle="1" w:styleId="Version">
    <w:name w:val="Version"/>
    <w:rsid w:val="00335A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A52"/>
    <w:pPr>
      <w:keepNext w:val="0"/>
      <w:tabs>
        <w:tab w:val="right" w:pos="4176"/>
      </w:tabs>
      <w:ind w:left="198" w:hanging="198"/>
    </w:pPr>
    <w:rPr>
      <w:rFonts w:ascii="Garamond" w:hAnsi="Garamond"/>
    </w:rPr>
  </w:style>
  <w:style w:type="paragraph" w:styleId="IndexHeading">
    <w:name w:val="index heading"/>
    <w:basedOn w:val="Normal"/>
    <w:next w:val="Index1"/>
    <w:semiHidden/>
    <w:rsid w:val="00335A52"/>
    <w:pPr>
      <w:spacing w:before="120" w:after="120"/>
    </w:pPr>
    <w:rPr>
      <w:rFonts w:ascii="Arial" w:hAnsi="Arial"/>
      <w:b/>
      <w:color w:val="918585"/>
      <w:sz w:val="24"/>
    </w:rPr>
  </w:style>
  <w:style w:type="paragraph" w:styleId="Header">
    <w:name w:val="header"/>
    <w:basedOn w:val="Normal"/>
    <w:link w:val="HeaderChar"/>
    <w:rsid w:val="00335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A52"/>
    <w:rPr>
      <w:rFonts w:ascii="Times New Roman" w:eastAsia="Times New Roman" w:hAnsi="Times New Roman" w:cs="Times New Roman"/>
      <w:sz w:val="16"/>
      <w:szCs w:val="20"/>
      <w:lang w:val="en-GB" w:eastAsia="en-US"/>
    </w:rPr>
  </w:style>
  <w:style w:type="paragraph" w:customStyle="1" w:styleId="Chapter">
    <w:name w:val="Chapter"/>
    <w:basedOn w:val="Normal"/>
    <w:rsid w:val="00335A52"/>
    <w:pPr>
      <w:spacing w:before="240"/>
    </w:pPr>
    <w:rPr>
      <w:rFonts w:ascii="Times New Roman" w:hAnsi="Times New Roman"/>
      <w:smallCaps/>
      <w:spacing w:val="80"/>
      <w:sz w:val="28"/>
    </w:rPr>
  </w:style>
  <w:style w:type="paragraph" w:customStyle="1" w:styleId="InChapter">
    <w:name w:val="InChapter"/>
    <w:basedOn w:val="Heading3"/>
    <w:rsid w:val="00335A52"/>
    <w:pPr>
      <w:spacing w:after="240"/>
      <w:outlineLvl w:val="9"/>
    </w:pPr>
    <w:rPr>
      <w:noProof/>
    </w:rPr>
  </w:style>
  <w:style w:type="paragraph" w:styleId="Index2">
    <w:name w:val="index 2"/>
    <w:basedOn w:val="Normal"/>
    <w:next w:val="Normal"/>
    <w:semiHidden/>
    <w:rsid w:val="00335A52"/>
    <w:pPr>
      <w:tabs>
        <w:tab w:val="right" w:pos="4176"/>
      </w:tabs>
      <w:ind w:left="568" w:hanging="284"/>
    </w:pPr>
    <w:rPr>
      <w:rFonts w:ascii="Garamond" w:hAnsi="Garamond"/>
    </w:rPr>
  </w:style>
  <w:style w:type="paragraph" w:customStyle="1" w:styleId="Byline">
    <w:name w:val="Byline"/>
    <w:rsid w:val="00335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A52"/>
    <w:pPr>
      <w:tabs>
        <w:tab w:val="clear" w:pos="3600"/>
        <w:tab w:val="clear" w:pos="3958"/>
      </w:tabs>
      <w:jc w:val="right"/>
    </w:pPr>
  </w:style>
  <w:style w:type="paragraph" w:styleId="Caption">
    <w:name w:val="caption"/>
    <w:basedOn w:val="BodyText"/>
    <w:next w:val="Normal"/>
    <w:qFormat/>
    <w:rsid w:val="00335A52"/>
    <w:pPr>
      <w:framePr w:w="2268" w:hSpace="181" w:vSpace="181" w:wrap="around" w:vAnchor="text" w:hAnchor="page" w:x="1135" w:y="285" w:anchorLock="1"/>
    </w:pPr>
    <w:rPr>
      <w:i/>
    </w:rPr>
  </w:style>
  <w:style w:type="paragraph" w:customStyle="1" w:styleId="MiniTOCTitle">
    <w:name w:val="MiniTOCTitle"/>
    <w:basedOn w:val="Heading4"/>
    <w:rsid w:val="00335A52"/>
    <w:pPr>
      <w:spacing w:before="240"/>
      <w:outlineLvl w:val="9"/>
    </w:pPr>
    <w:rPr>
      <w:noProof/>
      <w:sz w:val="24"/>
    </w:rPr>
  </w:style>
  <w:style w:type="paragraph" w:customStyle="1" w:styleId="MiniTOCItem">
    <w:name w:val="MiniTOCItem"/>
    <w:basedOn w:val="ListBullet"/>
    <w:rsid w:val="00335A52"/>
    <w:pPr>
      <w:numPr>
        <w:numId w:val="0"/>
      </w:numPr>
      <w:tabs>
        <w:tab w:val="right" w:leader="dot" w:pos="6521"/>
      </w:tabs>
      <w:spacing w:before="0" w:after="0"/>
    </w:pPr>
  </w:style>
  <w:style w:type="paragraph" w:customStyle="1" w:styleId="TOFTitle">
    <w:name w:val="TOFTitle"/>
    <w:basedOn w:val="TOCTitle"/>
    <w:rsid w:val="00335A52"/>
  </w:style>
  <w:style w:type="paragraph" w:styleId="TableofFigures">
    <w:name w:val="table of figures"/>
    <w:basedOn w:val="Normal"/>
    <w:next w:val="Normal"/>
    <w:semiHidden/>
    <w:rsid w:val="00335A52"/>
    <w:pPr>
      <w:tabs>
        <w:tab w:val="right" w:leader="dot" w:pos="9072"/>
      </w:tabs>
      <w:ind w:left="970" w:hanging="403"/>
    </w:pPr>
    <w:rPr>
      <w:rFonts w:ascii="Times New Roman" w:hAnsi="Times New Roman"/>
      <w:b/>
    </w:rPr>
  </w:style>
  <w:style w:type="paragraph" w:styleId="ListNumber">
    <w:name w:val="List Number"/>
    <w:basedOn w:val="List"/>
    <w:rsid w:val="00335A52"/>
    <w:pPr>
      <w:numPr>
        <w:numId w:val="15"/>
      </w:numPr>
      <w:tabs>
        <w:tab w:val="clear" w:pos="340"/>
      </w:tabs>
    </w:pPr>
  </w:style>
  <w:style w:type="character" w:customStyle="1" w:styleId="WingdingSymbols">
    <w:name w:val="Wingding Symbols"/>
    <w:rsid w:val="00335A52"/>
    <w:rPr>
      <w:rFonts w:ascii="Wingdings" w:hAnsi="Wingdings"/>
    </w:rPr>
  </w:style>
  <w:style w:type="paragraph" w:customStyle="1" w:styleId="TableHeading">
    <w:name w:val="Table Heading"/>
    <w:basedOn w:val="HeadingBase"/>
    <w:rsid w:val="00335A52"/>
    <w:pPr>
      <w:keepLines/>
      <w:pBdr>
        <w:bottom w:val="single" w:sz="6" w:space="1" w:color="918585"/>
      </w:pBdr>
      <w:spacing w:before="240"/>
    </w:pPr>
  </w:style>
  <w:style w:type="character" w:customStyle="1" w:styleId="HotSpot">
    <w:name w:val="HotSpot"/>
    <w:rsid w:val="00335A52"/>
    <w:rPr>
      <w:color w:val="0033CC"/>
      <w:u w:val="none"/>
    </w:rPr>
  </w:style>
  <w:style w:type="paragraph" w:customStyle="1" w:styleId="BodyTextRight">
    <w:name w:val="Body Text Right"/>
    <w:basedOn w:val="BodyText"/>
    <w:rsid w:val="00335A52"/>
    <w:pPr>
      <w:spacing w:before="0" w:after="0"/>
      <w:jc w:val="right"/>
    </w:pPr>
  </w:style>
  <w:style w:type="paragraph" w:styleId="Index3">
    <w:name w:val="index 3"/>
    <w:basedOn w:val="ListNumber2"/>
    <w:next w:val="Normal"/>
    <w:semiHidden/>
    <w:rsid w:val="00335A52"/>
    <w:pPr>
      <w:numPr>
        <w:numId w:val="0"/>
      </w:numPr>
      <w:tabs>
        <w:tab w:val="right" w:leader="dot" w:pos="4176"/>
      </w:tabs>
    </w:pPr>
  </w:style>
  <w:style w:type="paragraph" w:styleId="ListNumber2">
    <w:name w:val="List Number 2"/>
    <w:basedOn w:val="List2"/>
    <w:rsid w:val="00335A52"/>
    <w:pPr>
      <w:numPr>
        <w:numId w:val="10"/>
      </w:numPr>
      <w:tabs>
        <w:tab w:val="clear" w:pos="1060"/>
      </w:tabs>
    </w:pPr>
  </w:style>
  <w:style w:type="paragraph" w:customStyle="1" w:styleId="MarginNote">
    <w:name w:val="Margin Note"/>
    <w:basedOn w:val="BodyText"/>
    <w:rsid w:val="00335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A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A52"/>
    <w:rPr>
      <w:sz w:val="32"/>
    </w:rPr>
  </w:style>
  <w:style w:type="paragraph" w:customStyle="1" w:styleId="HeadingProcedure">
    <w:name w:val="Heading Procedure"/>
    <w:basedOn w:val="HeadingBase"/>
    <w:next w:val="Normal"/>
    <w:rsid w:val="00335A52"/>
    <w:pPr>
      <w:tabs>
        <w:tab w:val="left" w:pos="0"/>
      </w:tabs>
      <w:spacing w:before="120" w:after="60"/>
    </w:pPr>
    <w:rPr>
      <w:i/>
      <w:color w:val="918585"/>
      <w:sz w:val="22"/>
    </w:rPr>
  </w:style>
  <w:style w:type="paragraph" w:customStyle="1" w:styleId="TableBodyText">
    <w:name w:val="Table Body Text"/>
    <w:basedOn w:val="BodyText"/>
    <w:rsid w:val="00335A52"/>
    <w:pPr>
      <w:spacing w:before="60" w:after="60"/>
    </w:pPr>
  </w:style>
  <w:style w:type="paragraph" w:styleId="ListContinue">
    <w:name w:val="List Continue"/>
    <w:basedOn w:val="List"/>
    <w:rsid w:val="00335A52"/>
    <w:pPr>
      <w:ind w:firstLine="0"/>
    </w:pPr>
  </w:style>
  <w:style w:type="paragraph" w:customStyle="1" w:styleId="ListNote">
    <w:name w:val="List Note"/>
    <w:basedOn w:val="List"/>
    <w:rsid w:val="00335A52"/>
    <w:pPr>
      <w:pBdr>
        <w:top w:val="single" w:sz="6" w:space="2" w:color="918585"/>
        <w:bottom w:val="single" w:sz="6" w:space="2" w:color="918585"/>
      </w:pBdr>
      <w:tabs>
        <w:tab w:val="left" w:pos="1021"/>
      </w:tabs>
      <w:ind w:firstLine="0"/>
    </w:pPr>
  </w:style>
  <w:style w:type="paragraph" w:customStyle="1" w:styleId="Warning">
    <w:name w:val="Warning"/>
    <w:basedOn w:val="BodyText"/>
    <w:rsid w:val="00335A52"/>
    <w:pPr>
      <w:shd w:val="clear" w:color="auto" w:fill="D9D9D9"/>
      <w:tabs>
        <w:tab w:val="left" w:pos="992"/>
      </w:tabs>
      <w:ind w:left="119" w:right="119"/>
    </w:pPr>
    <w:rPr>
      <w:sz w:val="20"/>
    </w:rPr>
  </w:style>
  <w:style w:type="paragraph" w:customStyle="1" w:styleId="MarginIcons">
    <w:name w:val="Margin Icons"/>
    <w:basedOn w:val="BodyText"/>
    <w:rsid w:val="00335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A52"/>
    <w:rPr>
      <w:rFonts w:ascii="Courier New" w:hAnsi="Courier New"/>
    </w:rPr>
  </w:style>
  <w:style w:type="paragraph" w:customStyle="1" w:styleId="NoteBullet">
    <w:name w:val="Note Bullet"/>
    <w:basedOn w:val="Note"/>
    <w:rsid w:val="00335A52"/>
    <w:pPr>
      <w:tabs>
        <w:tab w:val="clear" w:pos="680"/>
      </w:tabs>
      <w:spacing w:before="60" w:after="60"/>
    </w:pPr>
  </w:style>
  <w:style w:type="paragraph" w:customStyle="1" w:styleId="SubHeading2">
    <w:name w:val="SubHeading2"/>
    <w:basedOn w:val="HeadingBase"/>
    <w:rsid w:val="00335A52"/>
    <w:pPr>
      <w:spacing w:before="240" w:after="60"/>
    </w:pPr>
    <w:rPr>
      <w:sz w:val="20"/>
    </w:rPr>
  </w:style>
  <w:style w:type="paragraph" w:customStyle="1" w:styleId="SubHeading1">
    <w:name w:val="SubHeading1"/>
    <w:basedOn w:val="HeadingBase"/>
    <w:rsid w:val="00335A52"/>
    <w:pPr>
      <w:spacing w:before="240" w:after="60"/>
    </w:pPr>
    <w:rPr>
      <w:color w:val="918585"/>
      <w:sz w:val="22"/>
    </w:rPr>
  </w:style>
  <w:style w:type="paragraph" w:customStyle="1" w:styleId="SideHeading">
    <w:name w:val="Side Heading"/>
    <w:basedOn w:val="HeadingBase"/>
    <w:rsid w:val="00335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A52"/>
    <w:pPr>
      <w:tabs>
        <w:tab w:val="num" w:pos="360"/>
      </w:tabs>
    </w:pPr>
  </w:style>
  <w:style w:type="paragraph" w:styleId="PlainText">
    <w:name w:val="Plain Text"/>
    <w:basedOn w:val="Normal"/>
    <w:link w:val="PlainTextChar"/>
    <w:rsid w:val="00335A52"/>
    <w:rPr>
      <w:sz w:val="20"/>
    </w:rPr>
  </w:style>
  <w:style w:type="character" w:customStyle="1" w:styleId="PlainTextChar">
    <w:name w:val="Plain Text Char"/>
    <w:basedOn w:val="DefaultParagraphFont"/>
    <w:link w:val="PlainText"/>
    <w:rsid w:val="00335A52"/>
    <w:rPr>
      <w:rFonts w:ascii="Courier New" w:eastAsia="Times New Roman" w:hAnsi="Courier New" w:cs="Times New Roman"/>
      <w:sz w:val="20"/>
      <w:szCs w:val="20"/>
      <w:lang w:eastAsia="en-US"/>
    </w:rPr>
  </w:style>
  <w:style w:type="character" w:customStyle="1" w:styleId="MenuOption">
    <w:name w:val="Menu Option"/>
    <w:basedOn w:val="DefaultParagraphFont"/>
    <w:rsid w:val="00335A52"/>
    <w:rPr>
      <w:b/>
      <w:smallCaps/>
    </w:rPr>
  </w:style>
  <w:style w:type="paragraph" w:customStyle="1" w:styleId="TableListNumber">
    <w:name w:val="Table List Number"/>
    <w:basedOn w:val="ListNumber"/>
    <w:rsid w:val="00335A52"/>
    <w:pPr>
      <w:numPr>
        <w:numId w:val="0"/>
      </w:numPr>
    </w:pPr>
  </w:style>
  <w:style w:type="paragraph" w:styleId="TOC4">
    <w:name w:val="toc 4"/>
    <w:basedOn w:val="TOCBase"/>
    <w:next w:val="Normal"/>
    <w:semiHidden/>
    <w:rsid w:val="00335A52"/>
    <w:pPr>
      <w:tabs>
        <w:tab w:val="right" w:leader="dot" w:pos="9071"/>
      </w:tabs>
      <w:ind w:left="1701"/>
    </w:pPr>
  </w:style>
  <w:style w:type="paragraph" w:customStyle="1" w:styleId="ListAlpha">
    <w:name w:val="List Alpha"/>
    <w:basedOn w:val="List"/>
    <w:rsid w:val="00335A52"/>
    <w:pPr>
      <w:numPr>
        <w:numId w:val="9"/>
      </w:numPr>
    </w:pPr>
  </w:style>
  <w:style w:type="paragraph" w:customStyle="1" w:styleId="ListAlpha2">
    <w:name w:val="List Alpha 2"/>
    <w:basedOn w:val="List2"/>
    <w:rsid w:val="00335A52"/>
    <w:pPr>
      <w:numPr>
        <w:numId w:val="8"/>
      </w:numPr>
    </w:pPr>
  </w:style>
  <w:style w:type="paragraph" w:styleId="List2">
    <w:name w:val="List 2"/>
    <w:basedOn w:val="BodyText"/>
    <w:rsid w:val="00335A52"/>
    <w:pPr>
      <w:tabs>
        <w:tab w:val="left" w:pos="680"/>
      </w:tabs>
      <w:spacing w:before="60" w:after="60"/>
      <w:ind w:left="680" w:hanging="340"/>
    </w:pPr>
  </w:style>
  <w:style w:type="paragraph" w:styleId="List3">
    <w:name w:val="List 3"/>
    <w:basedOn w:val="BodyText"/>
    <w:rsid w:val="00335A52"/>
    <w:pPr>
      <w:tabs>
        <w:tab w:val="left" w:pos="1021"/>
      </w:tabs>
      <w:spacing w:before="60" w:after="60"/>
      <w:ind w:left="1020" w:hanging="340"/>
    </w:pPr>
  </w:style>
  <w:style w:type="paragraph" w:styleId="List4">
    <w:name w:val="List 4"/>
    <w:basedOn w:val="BodyText"/>
    <w:rsid w:val="00335A52"/>
    <w:pPr>
      <w:tabs>
        <w:tab w:val="left" w:pos="1361"/>
      </w:tabs>
      <w:spacing w:before="60" w:after="60"/>
      <w:ind w:left="1361" w:hanging="340"/>
    </w:pPr>
  </w:style>
  <w:style w:type="paragraph" w:styleId="List5">
    <w:name w:val="List 5"/>
    <w:basedOn w:val="BodyText"/>
    <w:rsid w:val="00335A52"/>
    <w:pPr>
      <w:tabs>
        <w:tab w:val="left" w:pos="1701"/>
      </w:tabs>
      <w:spacing w:before="60" w:after="60"/>
      <w:ind w:left="1701" w:hanging="340"/>
    </w:pPr>
  </w:style>
  <w:style w:type="paragraph" w:styleId="ListBullet3">
    <w:name w:val="List Bullet 3"/>
    <w:basedOn w:val="List3"/>
    <w:rsid w:val="00335A52"/>
    <w:pPr>
      <w:numPr>
        <w:numId w:val="14"/>
      </w:numPr>
      <w:tabs>
        <w:tab w:val="clear" w:pos="1021"/>
      </w:tabs>
      <w:ind w:left="1037" w:hanging="357"/>
    </w:pPr>
  </w:style>
  <w:style w:type="paragraph" w:styleId="ListBullet4">
    <w:name w:val="List Bullet 4"/>
    <w:basedOn w:val="List4"/>
    <w:rsid w:val="00335A52"/>
    <w:pPr>
      <w:numPr>
        <w:numId w:val="3"/>
      </w:numPr>
      <w:tabs>
        <w:tab w:val="clear" w:pos="1361"/>
      </w:tabs>
    </w:pPr>
  </w:style>
  <w:style w:type="paragraph" w:styleId="ListBullet5">
    <w:name w:val="List Bullet 5"/>
    <w:basedOn w:val="List5"/>
    <w:rsid w:val="00335A52"/>
    <w:pPr>
      <w:numPr>
        <w:numId w:val="4"/>
      </w:numPr>
    </w:pPr>
  </w:style>
  <w:style w:type="paragraph" w:styleId="ListContinue2">
    <w:name w:val="List Continue 2"/>
    <w:basedOn w:val="List2"/>
    <w:rsid w:val="00335A52"/>
    <w:pPr>
      <w:ind w:firstLine="0"/>
    </w:pPr>
  </w:style>
  <w:style w:type="paragraph" w:styleId="ListContinue3">
    <w:name w:val="List Continue 3"/>
    <w:basedOn w:val="List3"/>
    <w:rsid w:val="00335A52"/>
    <w:pPr>
      <w:ind w:left="1021" w:firstLine="0"/>
    </w:pPr>
  </w:style>
  <w:style w:type="paragraph" w:styleId="ListContinue4">
    <w:name w:val="List Continue 4"/>
    <w:basedOn w:val="List4"/>
    <w:rsid w:val="00335A52"/>
    <w:pPr>
      <w:ind w:firstLine="0"/>
    </w:pPr>
  </w:style>
  <w:style w:type="paragraph" w:styleId="ListContinue5">
    <w:name w:val="List Continue 5"/>
    <w:basedOn w:val="List5"/>
    <w:rsid w:val="00335A52"/>
    <w:pPr>
      <w:ind w:firstLine="0"/>
    </w:pPr>
  </w:style>
  <w:style w:type="paragraph" w:styleId="ListNumber3">
    <w:name w:val="List Number 3"/>
    <w:basedOn w:val="List3"/>
    <w:rsid w:val="00335A52"/>
    <w:pPr>
      <w:numPr>
        <w:numId w:val="5"/>
      </w:numPr>
    </w:pPr>
  </w:style>
  <w:style w:type="paragraph" w:styleId="ListNumber4">
    <w:name w:val="List Number 4"/>
    <w:basedOn w:val="List4"/>
    <w:rsid w:val="00335A52"/>
    <w:pPr>
      <w:numPr>
        <w:numId w:val="6"/>
      </w:numPr>
    </w:pPr>
  </w:style>
  <w:style w:type="paragraph" w:styleId="ListNumber5">
    <w:name w:val="List Number 5"/>
    <w:basedOn w:val="List5"/>
    <w:rsid w:val="00335A52"/>
    <w:pPr>
      <w:numPr>
        <w:numId w:val="7"/>
      </w:numPr>
    </w:pPr>
  </w:style>
  <w:style w:type="paragraph" w:styleId="BlockText">
    <w:name w:val="Block Text"/>
    <w:basedOn w:val="Normal"/>
    <w:rsid w:val="00335A52"/>
    <w:pPr>
      <w:spacing w:after="120"/>
      <w:ind w:left="1440" w:right="1440"/>
    </w:pPr>
  </w:style>
  <w:style w:type="character" w:customStyle="1" w:styleId="Subscript">
    <w:name w:val="Subscript"/>
    <w:basedOn w:val="DefaultParagraphFont"/>
    <w:rsid w:val="00335A52"/>
    <w:rPr>
      <w:sz w:val="16"/>
      <w:vertAlign w:val="subscript"/>
    </w:rPr>
  </w:style>
  <w:style w:type="character" w:customStyle="1" w:styleId="Superscript">
    <w:name w:val="Superscript"/>
    <w:basedOn w:val="DefaultParagraphFont"/>
    <w:rsid w:val="00335A52"/>
    <w:rPr>
      <w:sz w:val="16"/>
      <w:vertAlign w:val="superscript"/>
    </w:rPr>
  </w:style>
  <w:style w:type="character" w:customStyle="1" w:styleId="Symbols">
    <w:name w:val="Symbols"/>
    <w:basedOn w:val="DefaultParagraphFont"/>
    <w:rsid w:val="00335A52"/>
    <w:rPr>
      <w:rFonts w:ascii="Symbol" w:hAnsi="Symbol"/>
    </w:rPr>
  </w:style>
  <w:style w:type="character" w:customStyle="1" w:styleId="MenuOptions">
    <w:name w:val="Menu Options"/>
    <w:basedOn w:val="DefaultParagraphFont"/>
    <w:rsid w:val="00335A52"/>
    <w:rPr>
      <w:rFonts w:ascii="Arial Narrow" w:hAnsi="Arial Narrow"/>
      <w:smallCaps/>
    </w:rPr>
  </w:style>
  <w:style w:type="character" w:customStyle="1" w:styleId="Buttons">
    <w:name w:val="Buttons"/>
    <w:basedOn w:val="DefaultParagraphFont"/>
    <w:rsid w:val="00335A52"/>
    <w:rPr>
      <w:b/>
    </w:rPr>
  </w:style>
  <w:style w:type="character" w:customStyle="1" w:styleId="Underlined">
    <w:name w:val="Underlined"/>
    <w:basedOn w:val="DefaultParagraphFont"/>
    <w:rsid w:val="00335A52"/>
    <w:rPr>
      <w:u w:val="single"/>
    </w:rPr>
  </w:style>
  <w:style w:type="paragraph" w:customStyle="1" w:styleId="TableBodyTextRight">
    <w:name w:val="Table Body Text Right"/>
    <w:basedOn w:val="TableBodyText"/>
    <w:rsid w:val="00335A52"/>
    <w:pPr>
      <w:widowControl w:val="0"/>
      <w:autoSpaceDE w:val="0"/>
      <w:autoSpaceDN w:val="0"/>
      <w:adjustRightInd w:val="0"/>
      <w:jc w:val="right"/>
    </w:pPr>
    <w:rPr>
      <w:rFonts w:cs="Arial"/>
      <w:szCs w:val="18"/>
    </w:rPr>
  </w:style>
  <w:style w:type="paragraph" w:customStyle="1" w:styleId="CopyrightText">
    <w:name w:val="Copyright Text"/>
    <w:basedOn w:val="BodyText"/>
    <w:rsid w:val="00335A52"/>
    <w:rPr>
      <w:sz w:val="18"/>
    </w:rPr>
  </w:style>
  <w:style w:type="paragraph" w:customStyle="1" w:styleId="BodySmallRight">
    <w:name w:val="Body Small Right"/>
    <w:basedOn w:val="BodyTextRight"/>
    <w:rsid w:val="00335A52"/>
    <w:rPr>
      <w:sz w:val="18"/>
      <w:szCs w:val="18"/>
    </w:rPr>
  </w:style>
  <w:style w:type="paragraph" w:customStyle="1" w:styleId="MarginEdition">
    <w:name w:val="Margin Edition"/>
    <w:basedOn w:val="MarginNote"/>
    <w:rsid w:val="00335A52"/>
    <w:pPr>
      <w:spacing w:before="0" w:after="0"/>
    </w:pPr>
    <w:rPr>
      <w:rFonts w:ascii="Times New Roman" w:hAnsi="Times New Roman"/>
      <w:color w:val="999999"/>
    </w:rPr>
  </w:style>
  <w:style w:type="paragraph" w:customStyle="1" w:styleId="Spacer">
    <w:name w:val="Spacer"/>
    <w:basedOn w:val="Normal"/>
    <w:rsid w:val="00335A52"/>
    <w:rPr>
      <w:sz w:val="2"/>
      <w:szCs w:val="2"/>
    </w:rPr>
  </w:style>
  <w:style w:type="character" w:customStyle="1" w:styleId="Small">
    <w:name w:val="Small"/>
    <w:basedOn w:val="DefaultParagraphFont"/>
    <w:rsid w:val="00335A52"/>
    <w:rPr>
      <w:sz w:val="16"/>
    </w:rPr>
  </w:style>
  <w:style w:type="paragraph" w:customStyle="1" w:styleId="WideTable">
    <w:name w:val="Wide Table"/>
    <w:basedOn w:val="Normal"/>
    <w:rsid w:val="00335A52"/>
    <w:pPr>
      <w:ind w:left="-1418"/>
    </w:pPr>
    <w:rPr>
      <w:sz w:val="2"/>
      <w:szCs w:val="2"/>
    </w:rPr>
  </w:style>
  <w:style w:type="character" w:styleId="PageNumber">
    <w:name w:val="page number"/>
    <w:basedOn w:val="DefaultParagraphFont"/>
    <w:rsid w:val="00335A52"/>
  </w:style>
  <w:style w:type="paragraph" w:styleId="Quote">
    <w:name w:val="Quote"/>
    <w:basedOn w:val="Heading1"/>
    <w:link w:val="QuoteChar"/>
    <w:qFormat/>
    <w:rsid w:val="00335A52"/>
    <w:rPr>
      <w:b w:val="0"/>
      <w:sz w:val="72"/>
      <w:szCs w:val="72"/>
      <w:lang w:val="en-NZ"/>
    </w:rPr>
  </w:style>
  <w:style w:type="character" w:customStyle="1" w:styleId="QuoteChar">
    <w:name w:val="Quote Char"/>
    <w:basedOn w:val="DefaultParagraphFont"/>
    <w:link w:val="Quote"/>
    <w:rsid w:val="00335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A52"/>
    <w:pPr>
      <w:pageBreakBefore/>
    </w:pPr>
  </w:style>
  <w:style w:type="paragraph" w:customStyle="1" w:styleId="Border">
    <w:name w:val="Border"/>
    <w:basedOn w:val="Normal"/>
    <w:qFormat/>
    <w:rsid w:val="00335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A52"/>
    <w:rPr>
      <w:b/>
      <w:bCs/>
      <w:i/>
      <w:iCs/>
      <w:color w:val="auto"/>
    </w:rPr>
  </w:style>
  <w:style w:type="paragraph" w:styleId="IntenseQuote">
    <w:name w:val="Intense Quote"/>
    <w:basedOn w:val="Normal"/>
    <w:next w:val="Normal"/>
    <w:link w:val="IntenseQuoteChar"/>
    <w:uiPriority w:val="30"/>
    <w:qFormat/>
    <w:rsid w:val="00335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A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A52"/>
    <w:rPr>
      <w:smallCaps/>
      <w:color w:val="auto"/>
      <w:u w:val="single"/>
    </w:rPr>
  </w:style>
  <w:style w:type="character" w:styleId="IntenseReference">
    <w:name w:val="Intense Reference"/>
    <w:basedOn w:val="DefaultParagraphFont"/>
    <w:uiPriority w:val="32"/>
    <w:qFormat/>
    <w:rsid w:val="00335A52"/>
    <w:rPr>
      <w:b/>
      <w:bCs/>
      <w:smallCaps/>
      <w:color w:val="auto"/>
      <w:spacing w:val="5"/>
      <w:u w:val="single"/>
    </w:rPr>
  </w:style>
  <w:style w:type="paragraph" w:customStyle="1" w:styleId="2ColumnHeading">
    <w:name w:val="2Column Heading"/>
    <w:basedOn w:val="BodyText"/>
    <w:qFormat/>
    <w:rsid w:val="00335A52"/>
    <w:pPr>
      <w:spacing w:after="60"/>
      <w:ind w:left="-2268"/>
    </w:pPr>
    <w:rPr>
      <w:b/>
    </w:rPr>
  </w:style>
  <w:style w:type="paragraph" w:customStyle="1" w:styleId="Heading1TOC">
    <w:name w:val="Heading1 TOC"/>
    <w:basedOn w:val="Normal"/>
    <w:qFormat/>
    <w:rsid w:val="00335A52"/>
    <w:pPr>
      <w:spacing w:before="240" w:after="120"/>
    </w:pPr>
    <w:rPr>
      <w:rFonts w:ascii="Times New Roman" w:hAnsi="Times New Roman"/>
      <w:b/>
      <w:sz w:val="32"/>
    </w:rPr>
  </w:style>
  <w:style w:type="paragraph" w:customStyle="1" w:styleId="Heading2TOC">
    <w:name w:val="Heading2 TOC"/>
    <w:basedOn w:val="Normal"/>
    <w:qFormat/>
    <w:rsid w:val="00335A52"/>
    <w:pPr>
      <w:spacing w:before="240" w:after="60"/>
    </w:pPr>
    <w:rPr>
      <w:rFonts w:ascii="Times New Roman" w:hAnsi="Times New Roman"/>
      <w:b/>
      <w:sz w:val="28"/>
    </w:rPr>
  </w:style>
  <w:style w:type="character" w:customStyle="1" w:styleId="Underline">
    <w:name w:val="Underline"/>
    <w:basedOn w:val="DefaultParagraphFont"/>
    <w:qFormat/>
    <w:rsid w:val="00335A52"/>
    <w:rPr>
      <w:u w:val="single"/>
    </w:rPr>
  </w:style>
  <w:style w:type="character" w:customStyle="1" w:styleId="BoldandItalics">
    <w:name w:val="Bold and Italics"/>
    <w:qFormat/>
    <w:rsid w:val="00335A52"/>
    <w:rPr>
      <w:b/>
      <w:i/>
      <w:u w:val="none"/>
    </w:rPr>
  </w:style>
  <w:style w:type="paragraph" w:styleId="BalloonText">
    <w:name w:val="Balloon Text"/>
    <w:basedOn w:val="Normal"/>
    <w:link w:val="BalloonTextChar"/>
    <w:rsid w:val="00335A52"/>
    <w:rPr>
      <w:rFonts w:ascii="Tahoma" w:hAnsi="Tahoma" w:cs="Tahoma"/>
      <w:sz w:val="16"/>
      <w:szCs w:val="16"/>
    </w:rPr>
  </w:style>
  <w:style w:type="character" w:customStyle="1" w:styleId="BalloonTextChar">
    <w:name w:val="Balloon Text Char"/>
    <w:basedOn w:val="DefaultParagraphFont"/>
    <w:link w:val="BalloonText"/>
    <w:rsid w:val="00335A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A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5A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A52"/>
    <w:rPr>
      <w:b/>
      <w:color w:val="660033"/>
      <w:spacing w:val="0"/>
    </w:rPr>
  </w:style>
  <w:style w:type="paragraph" w:customStyle="1" w:styleId="Nameditemlist">
    <w:name w:val="Named item list"/>
    <w:basedOn w:val="BodyText"/>
    <w:qFormat/>
    <w:rsid w:val="00335A52"/>
    <w:pPr>
      <w:tabs>
        <w:tab w:val="left" w:pos="2835"/>
      </w:tabs>
      <w:ind w:left="2835" w:hanging="2835"/>
    </w:pPr>
  </w:style>
  <w:style w:type="paragraph" w:customStyle="1" w:styleId="BodyTextnopadding">
    <w:name w:val="Body Text no padding"/>
    <w:basedOn w:val="BodyText"/>
    <w:qFormat/>
    <w:rsid w:val="00335A52"/>
    <w:pPr>
      <w:spacing w:before="0" w:after="0"/>
    </w:pPr>
  </w:style>
  <w:style w:type="paragraph" w:customStyle="1" w:styleId="BodyTextBold">
    <w:name w:val="Body Text Bold"/>
    <w:basedOn w:val="BodyText"/>
    <w:qFormat/>
    <w:rsid w:val="00335A52"/>
    <w:rPr>
      <w:b/>
    </w:rPr>
  </w:style>
  <w:style w:type="character" w:styleId="Hyperlink">
    <w:name w:val="Hyperlink"/>
    <w:basedOn w:val="DefaultParagraphFont"/>
    <w:uiPriority w:val="99"/>
    <w:unhideWhenUsed/>
    <w:rsid w:val="00BE5D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985</Words>
  <Characters>6594</Characters>
  <Application>Microsoft Office Word</Application>
  <DocSecurity>0</DocSecurity>
  <Lines>286</Lines>
  <Paragraphs>130</Paragraphs>
  <ScaleCrop>false</ScaleCrop>
  <Company>Author-it Software Corporation Ltd.</Company>
  <LinksUpToDate>false</LinksUpToDate>
  <CharactersWithSpaces>7449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MSMTMVER403 Verify Inspectors' Class reference standards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2023-02-03T05:48:00Z</dcterms:created>
  <dcterms:modified xsi:type="dcterms:W3CDTF">2023-02-03T05:48:00Z</dcterms:modified>
</cp:coreProperties>
</file>