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DB2" w:rsidP="00CA5DB2">
      <w:pPr>
        <w:pStyle w:val="Title"/>
      </w:pPr>
      <w:r>
        <w:fldChar w:fldCharType="begin"/>
      </w:r>
      <w:r>
        <w:instrText xml:space="preserve"> TITLE   \* MERGEFORMAT </w:instrText>
      </w:r>
      <w:r>
        <w:fldChar w:fldCharType="separate"/>
      </w:r>
      <w:r>
        <w:t>MSMTMVER402 Verify liquid measuring instruments using volume measures</w:t>
      </w:r>
      <w:r>
        <w:fldChar w:fldCharType="end"/>
      </w:r>
    </w:p>
    <w:p w:rsidR="00CA5DB2" w:rsidP="00CA5DB2">
      <w:pPr>
        <w:pStyle w:val="Version"/>
        <w:sectPr w:rsidSect="00F456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56B4" w:rsidP="00F456B4">
      <w:pPr>
        <w:pStyle w:val="SuperHeading"/>
      </w:pPr>
      <w:r w:rsidRPr="00F456B4">
        <w:t>MSMTMVER402 Verify liquid measuring instruments using volume measures</w:t>
      </w:r>
    </w:p>
    <w:p w:rsidR="00000000" w:rsidRPr="00F456B4" w:rsidP="00F456B4">
      <w:pPr>
        <w:pStyle w:val="Heading1"/>
      </w:pPr>
      <w:bookmarkStart w:id="1" w:name="O_939588"/>
      <w:bookmarkEnd w:id="1"/>
      <w:r w:rsidRPr="00F456B4">
        <w:t>Modification History</w:t>
      </w:r>
    </w:p>
    <w:p w:rsidR="00000000" w:rsidRPr="00F456B4" w:rsidP="00CA5DB2">
      <w:pPr>
        <w:pStyle w:val="BodyText"/>
      </w:pPr>
      <w:r w:rsidRPr="00F456B4">
        <w:t>Release 2. Adjustments to the Application and Range of Conditions. Adjustment to the Assessment Conditions. Equivalent.</w:t>
      </w:r>
    </w:p>
    <w:p w:rsidR="00000000" w:rsidRPr="00F456B4" w:rsidP="00CA5DB2">
      <w:pPr>
        <w:pStyle w:val="BodyText"/>
      </w:pPr>
      <w:r w:rsidRPr="00F456B4">
        <w:t>Release 1. Supersedes and is equivalent to MSATMVER402A Verify liquid measuring instruments using volume measures</w:t>
      </w:r>
    </w:p>
    <w:p w:rsidR="00000000" w:rsidRPr="00F456B4" w:rsidP="00F456B4">
      <w:pPr>
        <w:pStyle w:val="Heading1"/>
      </w:pPr>
      <w:bookmarkStart w:id="2" w:name="O_939587"/>
      <w:bookmarkEnd w:id="2"/>
      <w:r w:rsidRPr="00F456B4">
        <w:t>Application</w:t>
      </w:r>
    </w:p>
    <w:p w:rsidR="00000000" w:rsidRPr="00F456B4" w:rsidP="00CA5DB2">
      <w:pPr>
        <w:pStyle w:val="BodyText"/>
      </w:pPr>
      <w:r w:rsidRPr="00F456B4">
        <w:t>This unit of competency covers the ability to apply National Instrument Test Procedures to determine whether liqu</w:t>
      </w:r>
      <w:r w:rsidRPr="00F456B4">
        <w:t>id measuring instruments of a particular class, tested using volume measures, are suitable for trade use and to mark them accordingly.</w:t>
      </w:r>
    </w:p>
    <w:p w:rsidR="00000000" w:rsidRPr="00F456B4" w:rsidP="00CA5DB2">
      <w:pPr>
        <w:pStyle w:val="BodyText"/>
      </w:pPr>
      <w:r w:rsidRPr="00F456B4">
        <w:t>This unit of competency is applicable to verifiers operating under a servicing licence to test and mark a specific class</w:t>
      </w:r>
      <w:r w:rsidRPr="00F456B4">
        <w:t xml:space="preserve"> of liquid measuring instruments tested using a volume measure only. Liquid measuring instruments are used in a very wide range of commerce. For example, petrol dispensers measure fuel at the point of sale and flowmeters are used to measure bulk commoditie</w:t>
      </w:r>
      <w:r w:rsidRPr="00F456B4">
        <w:t>s, such as milk, chemicals and petroleum products during production and distribution. The verification tests are performed over extended durations in non-routine and hazardous environments.</w:t>
      </w:r>
    </w:p>
    <w:p w:rsidR="00000000" w:rsidRPr="00F456B4" w:rsidP="00CA5DB2">
      <w:pPr>
        <w:pStyle w:val="BodyText"/>
      </w:pPr>
      <w:r w:rsidRPr="00F456B4">
        <w:t>Depending on the site, verifiers may be required to meet addition</w:t>
      </w:r>
      <w:r w:rsidRPr="00F456B4">
        <w:t>al local safety requirements such as basic first aid, confined space entry, working with hazardous materials, working at heights, working with heavy machinery, use of appropriate workplace clearance forms and completing site safety induction.</w:t>
      </w:r>
    </w:p>
    <w:p w:rsidR="00000000" w:rsidRPr="00F456B4" w:rsidP="00CA5DB2">
      <w:pPr>
        <w:pStyle w:val="BodyText"/>
      </w:pPr>
      <w:r w:rsidRPr="00F456B4">
        <w:t>Under the re</w:t>
      </w:r>
      <w:r w:rsidRPr="00F456B4">
        <w:t xml:space="preserve">quirements of Regulation 2.43 of the </w:t>
      </w:r>
      <w:r w:rsidRPr="00F456B4">
        <w:rPr>
          <w:rStyle w:val="Emphasis"/>
        </w:rPr>
        <w:t>National Trade Measurement Regulations 2009</w:t>
      </w:r>
      <w:r w:rsidRPr="00F456B4">
        <w:t>, a servicing licensee or an employee must not verify a measuring instrument relevant to this unit unless they hold a statement of attainment for this unit of competency.</w:t>
      </w:r>
    </w:p>
    <w:p w:rsidR="00000000" w:rsidRPr="00F456B4" w:rsidP="00F456B4">
      <w:pPr>
        <w:pStyle w:val="Heading1"/>
      </w:pPr>
      <w:bookmarkStart w:id="3" w:name="O_939586"/>
      <w:bookmarkEnd w:id="3"/>
      <w:r w:rsidRPr="00F456B4">
        <w:t>Pre-requisite Unit</w:t>
      </w:r>
    </w:p>
    <w:p w:rsidR="00000000" w:rsidRPr="00F456B4" w:rsidP="00CA5DB2">
      <w:pPr>
        <w:pStyle w:val="BodyText"/>
      </w:pPr>
      <w:r w:rsidRPr="00F456B4">
        <w:t>Nil</w:t>
      </w:r>
    </w:p>
    <w:p w:rsidR="00000000" w:rsidRPr="00F456B4" w:rsidP="00F456B4">
      <w:pPr>
        <w:pStyle w:val="Heading1"/>
      </w:pPr>
      <w:bookmarkStart w:id="4" w:name="O_939585"/>
      <w:bookmarkEnd w:id="4"/>
      <w:r w:rsidRPr="00F456B4">
        <w:t>Competency Field</w:t>
      </w:r>
    </w:p>
    <w:p w:rsidR="00000000" w:rsidRPr="00F456B4" w:rsidP="00CA5DB2">
      <w:pPr>
        <w:pStyle w:val="BodyText"/>
      </w:pPr>
      <w:r w:rsidRPr="00F456B4">
        <w:t>Trade measurement</w:t>
      </w:r>
    </w:p>
    <w:p w:rsidR="00000000" w:rsidRPr="00F456B4" w:rsidP="00F456B4">
      <w:pPr>
        <w:pStyle w:val="Heading1"/>
      </w:pPr>
      <w:bookmarkStart w:id="5" w:name="O_939584"/>
      <w:bookmarkEnd w:id="5"/>
      <w:r w:rsidRPr="00F456B4">
        <w:t>Unit Sector</w:t>
      </w:r>
    </w:p>
    <w:p w:rsidR="00000000" w:rsidRPr="00F456B4" w:rsidP="00F456B4">
      <w:pPr>
        <w:pStyle w:val="Heading1"/>
      </w:pPr>
      <w:bookmarkStart w:id="6" w:name="O_939583"/>
      <w:bookmarkEnd w:id="6"/>
      <w:r w:rsidRPr="00F456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56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Performance criteria describe the performance ne</w:t>
            </w:r>
            <w:r w:rsidRPr="00F456B4">
              <w:t>eded to demonstrate achievement of the element</w:t>
            </w:r>
          </w:p>
        </w:tc>
      </w:tr>
      <w:tr w:rsidTr="00F456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w:t>
            </w:r>
          </w:p>
        </w:tc>
        <w:tc>
          <w:tcPr>
            <w:tcW w:w="1962" w:type="dxa"/>
            <w:vMerge w:val="restart"/>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Prepare for verification</w:t>
            </w: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1.1</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Identify and evaluate the type of instrument to be verified</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1.2</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Access and correctly interpret documentation required for the verification</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1.3</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Identify and access test equipment, products and consumables required for the verification</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1.4</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Liaise with the trader to provide the items required on site</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1.5</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Ensure specified test equipment is fit for purpose in accordance with applicable legislati</w:t>
            </w:r>
            <w:r w:rsidRPr="00F456B4">
              <w:t>on and organisational procedures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1.6</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Store and transport test equipment in accordance with organisational procedures and industry best practice</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1.7</w:t>
            </w:r>
          </w:p>
        </w:tc>
        <w:tc>
          <w:tcPr>
            <w:tcW w:w="5610"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Identify relevant local workplace health and safety issues and implement appropriate control strategies</w:t>
            </w:r>
          </w:p>
        </w:tc>
      </w:tr>
    </w:tbl>
    <w:p w:rsidR="00000000" w:rsidRPr="00F456B4" w:rsidP="00F456B4">
      <w:pPr>
        <w:pStyle w:val="BodyText"/>
      </w:pPr>
    </w:p>
    <w:tbl>
      <w:tblPr>
        <w:tblW w:w="0" w:type="auto"/>
        <w:tblLayout w:type="fixed"/>
        <w:tblCellMar>
          <w:left w:w="62" w:type="dxa"/>
          <w:right w:w="62" w:type="dxa"/>
        </w:tblCellMar>
        <w:tblLook w:val="0000"/>
      </w:tblPr>
      <w:tblGrid>
        <w:gridCol w:w="678"/>
        <w:gridCol w:w="1962"/>
        <w:gridCol w:w="770"/>
        <w:gridCol w:w="5610"/>
      </w:tblGrid>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w:t>
            </w:r>
          </w:p>
        </w:tc>
        <w:tc>
          <w:tcPr>
            <w:tcW w:w="1962" w:type="dxa"/>
            <w:vMerge w:val="restart"/>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Evaluate liquid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2.1</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Evaluate whether the operating environment will impact on the instrument performance</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2.2</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Mod</w:t>
            </w:r>
            <w:r w:rsidRPr="00F456B4">
              <w:t>ify the operating environment or implement alternative arrangements to ensure reliable test conditions as necessary</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2.3</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Identify the maximum permissible errors for the instrument from the legislative requirements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2.4</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Use test equipment safely in accordance with applicable legislation and organisational procedures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2.5</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Check instrument for compliance with the appropriate Certificates of Approval</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2.6</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Inspect the instrument in accordance with relevant National Instru</w:t>
            </w:r>
            <w:r w:rsidRPr="00F456B4">
              <w:t>ment Test Procedures and appropriate National Measurement Institute (NMI) guidance</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2.7</w:t>
            </w:r>
          </w:p>
        </w:tc>
        <w:tc>
          <w:tcPr>
            <w:tcW w:w="5610"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Evaluate results against prescribed performance criteria and determine if the instrument is suitable for trade use in accordance with legislative requirements</w:t>
            </w:r>
          </w:p>
        </w:tc>
      </w:tr>
    </w:tbl>
    <w:p w:rsidR="00000000" w:rsidRPr="00F456B4" w:rsidP="00F456B4">
      <w:pPr>
        <w:pStyle w:val="BodyText"/>
      </w:pPr>
    </w:p>
    <w:tbl>
      <w:tblPr>
        <w:tblW w:w="0" w:type="auto"/>
        <w:tblLayout w:type="fixed"/>
        <w:tblCellMar>
          <w:left w:w="62" w:type="dxa"/>
          <w:right w:w="62" w:type="dxa"/>
        </w:tblCellMar>
        <w:tblLook w:val="0000"/>
      </w:tblPr>
      <w:tblGrid>
        <w:gridCol w:w="678"/>
        <w:gridCol w:w="1962"/>
        <w:gridCol w:w="770"/>
        <w:gridCol w:w="5610"/>
      </w:tblGrid>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3</w:t>
            </w:r>
          </w:p>
        </w:tc>
        <w:tc>
          <w:tcPr>
            <w:tcW w:w="1962" w:type="dxa"/>
            <w:vMerge w:val="restart"/>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Report verification results</w:t>
            </w: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3.1</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Display the verification result on the instrument in accordance with legislative requirements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3.2</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Use test reports to present verification results in the required format</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3.3</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Complete verification documentation in accordance with legislative requirements and organisational procedures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3.4</w:t>
            </w:r>
          </w:p>
        </w:tc>
        <w:tc>
          <w:tcPr>
            <w:tcW w:w="5610"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Communicate results within the specified time and in accordance with organisational guidelines</w:t>
            </w:r>
          </w:p>
        </w:tc>
      </w:tr>
    </w:tbl>
    <w:p w:rsidR="00000000" w:rsidRPr="00F456B4" w:rsidP="00F456B4">
      <w:pPr>
        <w:pStyle w:val="BodyText"/>
      </w:pPr>
    </w:p>
    <w:tbl>
      <w:tblPr>
        <w:tblW w:w="0" w:type="auto"/>
        <w:tblLayout w:type="fixed"/>
        <w:tblCellMar>
          <w:left w:w="62" w:type="dxa"/>
          <w:right w:w="62" w:type="dxa"/>
        </w:tblCellMar>
        <w:tblLook w:val="0000"/>
      </w:tblPr>
      <w:tblGrid>
        <w:gridCol w:w="678"/>
        <w:gridCol w:w="1962"/>
        <w:gridCol w:w="770"/>
        <w:gridCol w:w="5610"/>
      </w:tblGrid>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w:t>
            </w:r>
          </w:p>
        </w:tc>
        <w:tc>
          <w:tcPr>
            <w:tcW w:w="1962" w:type="dxa"/>
            <w:vMerge w:val="restart"/>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Model and encourage compliance with stat</w:t>
            </w:r>
            <w:r w:rsidRPr="00F456B4">
              <w:t>utory requirements</w:t>
            </w: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4.1</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Apply organisation’s quality procedures and practices to meet servicing licensee’s legislative obligations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4.2</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Clarify any issues about verifier obligations with their servicing licensee and/or licensing administering authority as they arise</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4.3</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Review work and seek feedback from others to confirm continuing compliance with legislative requirements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4.4</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Identi</w:t>
            </w:r>
            <w:r w:rsidRPr="00F456B4">
              <w:t xml:space="preserve">fy implications of non-compliance with legislative requirements </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4.5</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Identify inadequacies in trader’s use of instruments which may contribute to non-compliance with national measurement legislation</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4.6</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Explain inadequacies and possible remedial actions to trader</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4.7</w:t>
            </w:r>
          </w:p>
        </w:tc>
        <w:tc>
          <w:tcPr>
            <w:tcW w:w="5610"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Respect the rights of the trader at all times</w:t>
            </w:r>
          </w:p>
        </w:tc>
      </w:tr>
    </w:tbl>
    <w:p w:rsidR="00000000" w:rsidRPr="00F456B4" w:rsidP="00F456B4">
      <w:pPr>
        <w:pStyle w:val="BodyText"/>
      </w:pPr>
    </w:p>
    <w:tbl>
      <w:tblPr>
        <w:tblW w:w="0" w:type="auto"/>
        <w:tblLayout w:type="fixed"/>
        <w:tblCellMar>
          <w:left w:w="62" w:type="dxa"/>
          <w:right w:w="62" w:type="dxa"/>
        </w:tblCellMar>
        <w:tblLook w:val="0000"/>
      </w:tblPr>
      <w:tblGrid>
        <w:gridCol w:w="678"/>
        <w:gridCol w:w="1962"/>
        <w:gridCol w:w="770"/>
        <w:gridCol w:w="5610"/>
      </w:tblGrid>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5</w:t>
            </w:r>
          </w:p>
        </w:tc>
        <w:tc>
          <w:tcPr>
            <w:tcW w:w="1962" w:type="dxa"/>
            <w:vMerge w:val="restart"/>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Maintain statutory records</w:t>
            </w: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5.1</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Keep accurate and complete records in accordance with servicing licensee’s legislative requirements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5.2</w:t>
            </w:r>
          </w:p>
        </w:tc>
        <w:tc>
          <w:tcPr>
            <w:tcW w:w="561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Ensure authorisation, training and relevant licences are current in accordance with organisational and servicing licensee’s legislative requirements</w:t>
            </w:r>
          </w:p>
        </w:tc>
      </w:tr>
      <w:tr w:rsidTr="00F456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5.3</w:t>
            </w:r>
          </w:p>
        </w:tc>
        <w:tc>
          <w:tcPr>
            <w:tcW w:w="5610"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Inform the licensing administering authority of changes to personal information as required by statu</w:t>
            </w:r>
            <w:r w:rsidRPr="00F456B4">
              <w:t>te</w:t>
            </w:r>
          </w:p>
        </w:tc>
      </w:tr>
    </w:tbl>
    <w:p w:rsidR="00000000" w:rsidRPr="00F456B4" w:rsidP="00F456B4">
      <w:pPr>
        <w:pStyle w:val="BodyText"/>
      </w:pPr>
    </w:p>
    <w:p w:rsidR="00000000" w:rsidRPr="00F456B4" w:rsidP="00F456B4">
      <w:pPr>
        <w:pStyle w:val="AllowPageBreak"/>
      </w:pPr>
    </w:p>
    <w:p w:rsidR="00000000" w:rsidRPr="00F456B4" w:rsidP="00F456B4">
      <w:pPr>
        <w:pStyle w:val="Heading1"/>
      </w:pPr>
      <w:bookmarkStart w:id="7" w:name="O_939582"/>
      <w:bookmarkEnd w:id="7"/>
      <w:r w:rsidRPr="00F456B4">
        <w:t>Foundation Skills</w:t>
      </w:r>
    </w:p>
    <w:p w:rsidR="00000000" w:rsidRPr="00F456B4" w:rsidP="00CA5DB2">
      <w:pPr>
        <w:pStyle w:val="BodyText"/>
      </w:pPr>
      <w:r w:rsidRPr="00F456B4">
        <w:t>This section describes those language, literacy, numeracy and employment skills that are essential to performance.</w:t>
      </w:r>
    </w:p>
    <w:p w:rsidR="00000000" w:rsidRPr="00F456B4" w:rsidP="00CA5DB2">
      <w:pPr>
        <w:pStyle w:val="BodyText"/>
      </w:pPr>
      <w:r w:rsidRPr="00F456B4">
        <w:t xml:space="preserve">Foundation skills essential to performance are explicit in the performance criteria of this unit of </w:t>
      </w:r>
      <w:r w:rsidRPr="00F456B4">
        <w:t>competency.</w:t>
      </w:r>
    </w:p>
    <w:p w:rsidR="00000000" w:rsidRPr="00F456B4" w:rsidP="00F456B4">
      <w:pPr>
        <w:pStyle w:val="Heading1"/>
      </w:pPr>
      <w:bookmarkStart w:id="8" w:name="O_939581"/>
      <w:bookmarkEnd w:id="8"/>
      <w:r w:rsidRPr="00F456B4">
        <w:t>Range of Conditions</w:t>
      </w:r>
    </w:p>
    <w:tbl>
      <w:tblPr>
        <w:tblW w:w="0" w:type="auto"/>
        <w:tblLayout w:type="fixed"/>
        <w:tblCellMar>
          <w:left w:w="62" w:type="dxa"/>
          <w:right w:w="62" w:type="dxa"/>
        </w:tblCellMar>
        <w:tblLook w:val="0000"/>
      </w:tblPr>
      <w:tblGrid>
        <w:gridCol w:w="3063"/>
        <w:gridCol w:w="6009"/>
      </w:tblGrid>
      <w:tr w:rsidTr="00F456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t>This field allows for different work environments and conditions that may affect performance. Essential operating conditions that may be present (depending on the work situation, needs of the candidate, acce</w:t>
            </w:r>
            <w:r w:rsidRPr="00F456B4">
              <w:t>ssibility of the item, and local industry and regional contexts) are included.</w:t>
            </w: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National Instrument Test Procedures include one or more of:</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 xml:space="preserve">measuring instrument test procedures </w:t>
            </w:r>
          </w:p>
          <w:p w:rsidR="00000000" w:rsidRPr="00F456B4" w:rsidP="00F456B4">
            <w:pPr>
              <w:pStyle w:val="ListBullet"/>
            </w:pPr>
            <w:r w:rsidRPr="00F456B4">
              <w:t>any other test procedure prescribed by the NMI</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Classes of liquid measuring instruments using volume measures include one or more of:</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 xml:space="preserve">fuel dispensers other than LPG dispensers </w:t>
            </w:r>
          </w:p>
          <w:p w:rsidR="00000000" w:rsidRPr="00F456B4" w:rsidP="00F456B4">
            <w:pPr>
              <w:pStyle w:val="ListBullet"/>
            </w:pPr>
            <w:r w:rsidRPr="00F456B4">
              <w:t>milk flowmeters tested using a volume measure</w:t>
            </w:r>
          </w:p>
          <w:p w:rsidR="00000000" w:rsidRPr="00F456B4" w:rsidP="00F456B4">
            <w:pPr>
              <w:pStyle w:val="ListBullet"/>
            </w:pPr>
            <w:r w:rsidRPr="00F456B4">
              <w:t>any other liquid measuring instrument prescribed by the NMI</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Test equipment includes:</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reference standards of measurement</w:t>
            </w:r>
          </w:p>
          <w:p w:rsidR="00000000" w:rsidRPr="00F456B4" w:rsidP="00F456B4">
            <w:pPr>
              <w:pStyle w:val="ListBullet"/>
            </w:pPr>
            <w:r w:rsidRPr="00F456B4">
              <w:t>equipment, such as a small measure, dummy nozzle, safety equipment and hand tools</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Certificates of Approval include:</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 xml:space="preserve">any Certificate issued by the Chief Metrologist under Regulation 60 of the </w:t>
            </w:r>
            <w:r w:rsidRPr="00F456B4">
              <w:rPr>
                <w:rStyle w:val="Emphasis"/>
              </w:rPr>
              <w:t>N</w:t>
            </w:r>
            <w:r w:rsidRPr="00F456B4">
              <w:rPr>
                <w:rStyle w:val="Emphasis"/>
              </w:rPr>
              <w:t>ational Measurement Regulations 1999</w:t>
            </w:r>
            <w:r w:rsidRPr="00F456B4">
              <w:t xml:space="preserve"> approving the pattern of a liquid measuring instrument using volume measures as being suitable for trade use</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Prescribed performance criteria for liquid measuring instruments include:</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that the instrument is of an appr</w:t>
            </w:r>
            <w:r w:rsidRPr="00F456B4">
              <w:t xml:space="preserve">oved pattern </w:t>
            </w:r>
          </w:p>
          <w:p w:rsidR="00000000" w:rsidRPr="00F456B4" w:rsidP="00F456B4">
            <w:pPr>
              <w:pStyle w:val="ListBullet"/>
            </w:pPr>
            <w:r w:rsidRPr="00F456B4">
              <w:t>that the instrument operates within the appropriate limits of error permitted by legislation</w:t>
            </w:r>
          </w:p>
          <w:p w:rsidR="00000000" w:rsidRPr="00F456B4" w:rsidP="00F456B4">
            <w:pPr>
              <w:pStyle w:val="ListBullet"/>
            </w:pPr>
            <w:r w:rsidRPr="00F456B4">
              <w:t>that the instrument is used in accordance with any legislative requirements</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Verification</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 xml:space="preserve">Has the same meaning as Section 18GG of the </w:t>
            </w:r>
            <w:r w:rsidRPr="00F456B4">
              <w:rPr>
                <w:rStyle w:val="Emphasis"/>
              </w:rPr>
              <w:t>National Measurement Act 1960</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Verification marks</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BodyText"/>
            </w:pPr>
            <w:r w:rsidRPr="00F456B4">
              <w:t xml:space="preserve">Verification marks for different instruments are defined in Regulations 2.28 and 2.29 of the </w:t>
            </w:r>
            <w:r w:rsidRPr="00F456B4">
              <w:rPr>
                <w:rStyle w:val="Emphasis"/>
              </w:rPr>
              <w:t>National Trade Measurement Regulations 2009</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Trading practices include one or more of:</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methods used for the sa</w:t>
            </w:r>
            <w:r w:rsidRPr="00F456B4">
              <w:t>le of goods</w:t>
            </w:r>
          </w:p>
          <w:p w:rsidR="00000000" w:rsidRPr="00F456B4" w:rsidP="00F456B4">
            <w:pPr>
              <w:pStyle w:val="ListBullet"/>
            </w:pPr>
            <w:r w:rsidRPr="00F456B4">
              <w:t>using measuring instruments</w:t>
            </w:r>
          </w:p>
          <w:p w:rsidR="00000000" w:rsidRPr="00F456B4" w:rsidP="00F456B4">
            <w:pPr>
              <w:pStyle w:val="ListBullet"/>
            </w:pPr>
            <w:r w:rsidRPr="00F456B4">
              <w:t>position of measuring instruments</w:t>
            </w:r>
          </w:p>
          <w:p w:rsidR="00000000" w:rsidRPr="00F456B4" w:rsidP="00F456B4">
            <w:pPr>
              <w:pStyle w:val="ListBullet"/>
            </w:pPr>
            <w:r w:rsidRPr="00F456B4">
              <w:t>environmental factors</w:t>
            </w:r>
          </w:p>
          <w:p w:rsidR="00000000" w:rsidRPr="00F456B4" w:rsidP="00F456B4">
            <w:pPr>
              <w:pStyle w:val="ListBullet"/>
            </w:pPr>
            <w:r w:rsidRPr="00F456B4">
              <w:t>suitability of instrument</w:t>
            </w:r>
          </w:p>
          <w:p w:rsidR="00000000" w:rsidRPr="00F456B4" w:rsidP="00F456B4">
            <w:pPr>
              <w:pStyle w:val="ListBullet"/>
            </w:pPr>
            <w:r w:rsidRPr="00F456B4">
              <w:t>incorrect measurement</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Legislation includes:</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national measurement legislation</w:t>
            </w:r>
          </w:p>
          <w:p w:rsidR="00000000" w:rsidRPr="00F456B4" w:rsidP="00F456B4">
            <w:pPr>
              <w:pStyle w:val="ListBullet"/>
            </w:pPr>
            <w:r w:rsidRPr="00F456B4">
              <w:t>applicable Commonwealth, state and territory work/occupational health and safety (WHS/OHS) legislation</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NMI guidance includes:</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 xml:space="preserve">NMI sanctioned variances to National Instrument Test  Procedures for verification </w:t>
            </w:r>
          </w:p>
          <w:p w:rsidR="00000000" w:rsidRPr="00F456B4" w:rsidP="00F456B4">
            <w:pPr>
              <w:pStyle w:val="ListBullet"/>
            </w:pPr>
            <w:r w:rsidRPr="00F456B4">
              <w:t>updates</w:t>
            </w:r>
          </w:p>
          <w:p w:rsidR="00000000" w:rsidRPr="00F456B4" w:rsidP="00F456B4">
            <w:pPr>
              <w:pStyle w:val="ListBullet"/>
            </w:pPr>
            <w:r w:rsidRPr="00F456B4">
              <w:t>directives</w:t>
            </w:r>
          </w:p>
          <w:p w:rsidR="00000000" w:rsidP="00F456B4">
            <w:pPr>
              <w:pStyle w:val="BodyText"/>
              <w:rPr>
                <w:lang w:val="en-NZ"/>
              </w:rPr>
            </w:pPr>
          </w:p>
        </w:tc>
      </w:tr>
      <w:tr w:rsidTr="00F456B4">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F456B4">
            <w:pPr>
              <w:pStyle w:val="BodyText"/>
              <w:rPr>
                <w:lang w:val="en-NZ"/>
              </w:rPr>
            </w:pPr>
            <w:r w:rsidRPr="00F456B4">
              <w:rPr>
                <w:rStyle w:val="SpecialBold"/>
              </w:rPr>
              <w:t>WHS/OHS and environment</w:t>
            </w:r>
            <w:r w:rsidRPr="00F456B4">
              <w:rPr>
                <w:rStyle w:val="SpecialBold"/>
              </w:rPr>
              <w:t>al management requirements include:</w:t>
            </w:r>
          </w:p>
        </w:tc>
        <w:tc>
          <w:tcPr>
            <w:tcW w:w="6009" w:type="dxa"/>
            <w:tcBorders>
              <w:top w:val="nil"/>
              <w:left w:val="nil"/>
              <w:bottom w:val="nil"/>
              <w:right w:val="nil"/>
            </w:tcBorders>
            <w:tcMar>
              <w:top w:w="0" w:type="dxa"/>
              <w:left w:w="62" w:type="dxa"/>
              <w:bottom w:w="0" w:type="dxa"/>
              <w:right w:w="62" w:type="dxa"/>
            </w:tcMar>
          </w:tcPr>
          <w:p w:rsidR="00000000" w:rsidRPr="00F456B4" w:rsidP="00F456B4">
            <w:pPr>
              <w:pStyle w:val="ListBullet"/>
            </w:pPr>
            <w:r w:rsidRPr="00F456B4">
              <w:t>complying with WHS/OHS and environmental management requirements at all times, which may be imposed through state/territory or federal legislation. These requirements must not be compromised at any time</w:t>
            </w:r>
          </w:p>
          <w:p w:rsidR="00000000" w:rsidRPr="00F456B4" w:rsidP="00F456B4">
            <w:pPr>
              <w:pStyle w:val="ListBullet"/>
            </w:pPr>
            <w:r w:rsidRPr="00F456B4">
              <w:t>applying standar</w:t>
            </w:r>
            <w:r w:rsidRPr="00F456B4">
              <w:t>d precautions relating to the potentially hazardous nature of material/product measured</w:t>
            </w:r>
          </w:p>
          <w:p w:rsidR="00000000" w:rsidRPr="00F456B4" w:rsidP="00F456B4">
            <w:pPr>
              <w:pStyle w:val="ListBullet"/>
            </w:pPr>
            <w:r w:rsidRPr="00F456B4">
              <w:t>applying any necessary hygiene controls</w:t>
            </w:r>
          </w:p>
          <w:p w:rsidR="00000000" w:rsidRPr="00F456B4" w:rsidP="00F456B4">
            <w:pPr>
              <w:pStyle w:val="BodyText"/>
            </w:pPr>
          </w:p>
        </w:tc>
      </w:tr>
    </w:tbl>
    <w:p w:rsidR="00000000" w:rsidRPr="00F456B4" w:rsidP="00F456B4">
      <w:pPr>
        <w:pStyle w:val="BodyText"/>
      </w:pPr>
    </w:p>
    <w:p w:rsidR="00000000" w:rsidRPr="00F456B4" w:rsidP="00F456B4">
      <w:pPr>
        <w:pStyle w:val="AllowPageBreak"/>
      </w:pPr>
    </w:p>
    <w:p w:rsidR="00000000" w:rsidRPr="00F456B4" w:rsidP="00F456B4">
      <w:pPr>
        <w:pStyle w:val="Heading1"/>
      </w:pPr>
      <w:bookmarkStart w:id="9" w:name="O_939580"/>
      <w:bookmarkEnd w:id="9"/>
      <w:r w:rsidRPr="00F456B4">
        <w:t>Unit Mapping Information</w:t>
      </w:r>
    </w:p>
    <w:p w:rsidR="00000000" w:rsidRPr="00F456B4" w:rsidP="00CA5DB2">
      <w:pPr>
        <w:pStyle w:val="BodyText"/>
      </w:pPr>
      <w:r w:rsidRPr="00F456B4">
        <w:t>Release 2. Adjustments to the Application and Range of Conditions. Adjustment to the Assessment Conditions. Equivalent.</w:t>
      </w:r>
    </w:p>
    <w:p w:rsidR="00000000" w:rsidRPr="00F456B4" w:rsidP="00CA5DB2">
      <w:pPr>
        <w:pStyle w:val="BodyText"/>
      </w:pPr>
      <w:r w:rsidRPr="00F456B4">
        <w:t>Release 1. Supersedes and is equivalent to MSATMVER402A Verify liquid measuring instruments using volume measures</w:t>
      </w:r>
    </w:p>
    <w:p w:rsidR="00000000" w:rsidRPr="00F456B4" w:rsidP="00F456B4">
      <w:pPr>
        <w:pStyle w:val="Heading1"/>
      </w:pPr>
      <w:bookmarkStart w:id="10" w:name="O_939589"/>
      <w:bookmarkEnd w:id="10"/>
      <w:r w:rsidRPr="00F456B4">
        <w:t>Links</w:t>
      </w:r>
    </w:p>
    <w:p w:rsidR="00000000" w:rsidRPr="00F456B4" w:rsidP="00CA5DB2">
      <w:pPr>
        <w:pStyle w:val="BodyText"/>
      </w:pPr>
      <w:r w:rsidRPr="00F456B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6527D">
        <w:rPr>
          <w:rStyle w:val="Hyperlink"/>
        </w:rPr>
        <w:t>https://vetnet.gov.au/Pages/TrainingDocs.aspx?q=d1287d36-dff4-4e9f-ad2c-9d6270054027</w:t>
      </w:r>
      <w:r>
        <w:fldChar w:fldCharType="end"/>
      </w:r>
    </w:p>
    <w:p w:rsidR="00000000" w:rsidRPr="00F456B4" w:rsidP="00F456B4"/>
    <w:sectPr w:rsidSect="00F456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4" w:rsidRPr="00CA5DB2" w:rsidP="00CA5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B2" w:rsidP="00F45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5DB2" w:rsidP="00F456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5DB2" w:rsidP="00F456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6B4" w:rsidRPr="00CA5DB2" w:rsidP="00CA5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B2" w:rsidRPr="002D2AF8" w:rsidP="00F456B4">
    <w:pPr>
      <w:pStyle w:val="Header"/>
      <w:framePr w:wrap="around"/>
    </w:pPr>
    <w:r>
      <w:fldChar w:fldCharType="begin"/>
    </w:r>
    <w:r>
      <w:instrText xml:space="preserve"> TITLE   \* MERGEFORMAT </w:instrText>
    </w:r>
    <w:r>
      <w:fldChar w:fldCharType="separate"/>
    </w:r>
    <w:r>
      <w:t>MSMTMVER402 Verify liquid measuring instruments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A5DB2" w:rsidP="00F456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44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50B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6B4"/>
    <w:pPr>
      <w:spacing w:before="360" w:after="60"/>
      <w:outlineLvl w:val="0"/>
    </w:pPr>
    <w:rPr>
      <w:sz w:val="32"/>
    </w:rPr>
  </w:style>
  <w:style w:type="paragraph" w:styleId="Heading2">
    <w:name w:val="heading 2"/>
    <w:basedOn w:val="HeadingBase"/>
    <w:next w:val="BodyText"/>
    <w:link w:val="Heading2Char"/>
    <w:qFormat/>
    <w:rsid w:val="00F456B4"/>
    <w:pPr>
      <w:keepLines/>
      <w:spacing w:before="240" w:after="120"/>
      <w:outlineLvl w:val="1"/>
    </w:pPr>
    <w:rPr>
      <w:sz w:val="28"/>
      <w:szCs w:val="40"/>
    </w:rPr>
  </w:style>
  <w:style w:type="paragraph" w:styleId="Heading3">
    <w:name w:val="heading 3"/>
    <w:basedOn w:val="HeadingBase"/>
    <w:next w:val="BodyText"/>
    <w:link w:val="Heading3Char"/>
    <w:qFormat/>
    <w:rsid w:val="00F456B4"/>
    <w:pPr>
      <w:spacing w:before="180" w:after="120"/>
      <w:outlineLvl w:val="2"/>
    </w:pPr>
    <w:rPr>
      <w:spacing w:val="-10"/>
      <w:kern w:val="32"/>
    </w:rPr>
  </w:style>
  <w:style w:type="paragraph" w:styleId="Heading4">
    <w:name w:val="heading 4"/>
    <w:basedOn w:val="HeadingBase"/>
    <w:next w:val="BodyText"/>
    <w:link w:val="Heading4Char"/>
    <w:qFormat/>
    <w:rsid w:val="00F456B4"/>
    <w:pPr>
      <w:spacing w:before="160" w:after="120"/>
      <w:outlineLvl w:val="3"/>
    </w:pPr>
    <w:rPr>
      <w:sz w:val="22"/>
    </w:rPr>
  </w:style>
  <w:style w:type="paragraph" w:styleId="Heading5">
    <w:name w:val="heading 5"/>
    <w:basedOn w:val="HeadingBase"/>
    <w:next w:val="Normal"/>
    <w:link w:val="Heading5Char"/>
    <w:qFormat/>
    <w:rsid w:val="00F456B4"/>
    <w:pPr>
      <w:spacing w:before="80"/>
      <w:outlineLvl w:val="4"/>
    </w:pPr>
    <w:rPr>
      <w:color w:val="918585"/>
      <w:sz w:val="20"/>
    </w:rPr>
  </w:style>
  <w:style w:type="paragraph" w:styleId="Heading6">
    <w:name w:val="heading 6"/>
    <w:basedOn w:val="HeadingBase"/>
    <w:next w:val="Normal"/>
    <w:link w:val="Heading6Char"/>
    <w:qFormat/>
    <w:rsid w:val="00F456B4"/>
    <w:pPr>
      <w:spacing w:before="60"/>
      <w:outlineLvl w:val="5"/>
    </w:pPr>
    <w:rPr>
      <w:color w:val="918585"/>
      <w:sz w:val="20"/>
    </w:rPr>
  </w:style>
  <w:style w:type="paragraph" w:styleId="Heading7">
    <w:name w:val="heading 7"/>
    <w:basedOn w:val="Normal"/>
    <w:next w:val="Normal"/>
    <w:link w:val="Heading7Char"/>
    <w:qFormat/>
    <w:rsid w:val="00F456B4"/>
    <w:pPr>
      <w:ind w:left="720"/>
      <w:outlineLvl w:val="6"/>
    </w:pPr>
    <w:rPr>
      <w:i/>
    </w:rPr>
  </w:style>
  <w:style w:type="paragraph" w:styleId="Heading8">
    <w:name w:val="heading 8"/>
    <w:basedOn w:val="Normal"/>
    <w:next w:val="Normal"/>
    <w:link w:val="Heading8Char"/>
    <w:qFormat/>
    <w:rsid w:val="00F456B4"/>
    <w:pPr>
      <w:ind w:left="720"/>
      <w:outlineLvl w:val="7"/>
    </w:pPr>
    <w:rPr>
      <w:i/>
    </w:rPr>
  </w:style>
  <w:style w:type="paragraph" w:styleId="Heading9">
    <w:name w:val="heading 9"/>
    <w:basedOn w:val="Normal"/>
    <w:next w:val="Normal"/>
    <w:link w:val="Heading9Char"/>
    <w:qFormat/>
    <w:rsid w:val="00F456B4"/>
    <w:pPr>
      <w:ind w:left="720"/>
      <w:outlineLvl w:val="8"/>
    </w:pPr>
    <w:rPr>
      <w:i/>
    </w:rPr>
  </w:style>
  <w:style w:type="character" w:default="1" w:styleId="DefaultParagraphFont">
    <w:name w:val="Default Paragraph Font"/>
    <w:uiPriority w:val="1"/>
    <w:unhideWhenUsed/>
    <w:rsid w:val="00F45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6B4"/>
  </w:style>
  <w:style w:type="character" w:customStyle="1" w:styleId="Heading1Char">
    <w:name w:val="Heading 1 Char"/>
    <w:basedOn w:val="DefaultParagraphFont"/>
    <w:link w:val="Heading1"/>
    <w:rsid w:val="00F456B4"/>
    <w:rPr>
      <w:rFonts w:ascii="Times New Roman" w:eastAsia="Times New Roman" w:hAnsi="Times New Roman" w:cs="Times New Roman"/>
      <w:b/>
      <w:sz w:val="32"/>
      <w:szCs w:val="20"/>
      <w:lang w:eastAsia="en-US"/>
    </w:rPr>
  </w:style>
  <w:style w:type="paragraph" w:styleId="BodyText">
    <w:name w:val="Body Text"/>
    <w:basedOn w:val="Normal"/>
    <w:link w:val="BodyTextChar"/>
    <w:rsid w:val="00F456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6B4"/>
    <w:rPr>
      <w:rFonts w:ascii="Times New Roman" w:eastAsia="Times New Roman" w:hAnsi="Times New Roman" w:cs="Times New Roman"/>
      <w:sz w:val="24"/>
      <w:lang w:eastAsia="en-US"/>
    </w:rPr>
  </w:style>
  <w:style w:type="paragraph" w:styleId="ListBullet">
    <w:name w:val="List Bullet"/>
    <w:basedOn w:val="List"/>
    <w:rsid w:val="00F456B4"/>
    <w:pPr>
      <w:numPr>
        <w:numId w:val="11"/>
      </w:numPr>
      <w:tabs>
        <w:tab w:val="clear" w:pos="340"/>
      </w:tabs>
      <w:spacing w:before="40" w:after="40"/>
    </w:pPr>
  </w:style>
  <w:style w:type="character" w:customStyle="1" w:styleId="SpecialBold">
    <w:name w:val="Special Bold"/>
    <w:basedOn w:val="DefaultParagraphFont"/>
    <w:rsid w:val="00F456B4"/>
    <w:rPr>
      <w:b/>
      <w:spacing w:val="0"/>
    </w:rPr>
  </w:style>
  <w:style w:type="character" w:styleId="Emphasis">
    <w:name w:val="Emphasis"/>
    <w:basedOn w:val="DefaultParagraphFont"/>
    <w:qFormat/>
    <w:rsid w:val="00F456B4"/>
    <w:rPr>
      <w:i/>
    </w:rPr>
  </w:style>
  <w:style w:type="paragraph" w:customStyle="1" w:styleId="SuperHeading">
    <w:name w:val="SuperHeading"/>
    <w:basedOn w:val="Normal"/>
    <w:rsid w:val="00F456B4"/>
    <w:pPr>
      <w:spacing w:before="240" w:after="120"/>
      <w:outlineLvl w:val="0"/>
    </w:pPr>
    <w:rPr>
      <w:rFonts w:ascii="Times New Roman" w:hAnsi="Times New Roman"/>
      <w:b/>
      <w:sz w:val="32"/>
    </w:rPr>
  </w:style>
  <w:style w:type="paragraph" w:customStyle="1" w:styleId="AllowPageBreak">
    <w:name w:val="AllowPageBreak"/>
    <w:rsid w:val="00F456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6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6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6B4"/>
    <w:rPr>
      <w:rFonts w:ascii="Courier New" w:eastAsia="Times New Roman" w:hAnsi="Courier New" w:cs="Times New Roman"/>
      <w:i/>
      <w:szCs w:val="20"/>
      <w:lang w:eastAsia="en-US"/>
    </w:rPr>
  </w:style>
  <w:style w:type="paragraph" w:customStyle="1" w:styleId="HeadingBase">
    <w:name w:val="Heading Base"/>
    <w:rsid w:val="00F45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6B4"/>
    <w:pPr>
      <w:tabs>
        <w:tab w:val="right" w:leader="dot" w:pos="9072"/>
      </w:tabs>
      <w:ind w:left="567"/>
    </w:pPr>
    <w:rPr>
      <w:szCs w:val="22"/>
    </w:rPr>
  </w:style>
  <w:style w:type="paragraph" w:customStyle="1" w:styleId="TOCBase">
    <w:name w:val="TOC Base"/>
    <w:rsid w:val="00F45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6B4"/>
    <w:pPr>
      <w:tabs>
        <w:tab w:val="right" w:leader="dot" w:pos="9072"/>
      </w:tabs>
      <w:spacing w:before="40" w:after="40"/>
      <w:ind w:left="284"/>
    </w:pPr>
    <w:rPr>
      <w:rFonts w:ascii="Times New Roman" w:hAnsi="Times New Roman"/>
    </w:rPr>
  </w:style>
  <w:style w:type="paragraph" w:styleId="TOC1">
    <w:name w:val="toc 1"/>
    <w:basedOn w:val="TOCBase"/>
    <w:next w:val="Normal"/>
    <w:rsid w:val="00F456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6B4"/>
    <w:rPr>
      <w:rFonts w:ascii="Times New Roman" w:eastAsia="Times New Roman" w:hAnsi="Times New Roman" w:cs="Times New Roman"/>
      <w:sz w:val="16"/>
      <w:lang w:eastAsia="en-US"/>
    </w:rPr>
  </w:style>
  <w:style w:type="paragraph" w:styleId="Title">
    <w:name w:val="Title"/>
    <w:basedOn w:val="HeadingBase"/>
    <w:link w:val="TitleChar"/>
    <w:qFormat/>
    <w:rsid w:val="00F456B4"/>
    <w:pPr>
      <w:spacing w:before="5040"/>
      <w:jc w:val="center"/>
    </w:pPr>
    <w:rPr>
      <w:sz w:val="48"/>
      <w:szCs w:val="72"/>
      <w:lang w:val="en-US"/>
    </w:rPr>
  </w:style>
  <w:style w:type="character" w:customStyle="1" w:styleId="TitleChar">
    <w:name w:val="Title Char"/>
    <w:basedOn w:val="DefaultParagraphFont"/>
    <w:link w:val="Title"/>
    <w:rsid w:val="00F45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6B4"/>
    <w:pPr>
      <w:tabs>
        <w:tab w:val="left" w:pos="3600"/>
        <w:tab w:val="left" w:pos="3958"/>
      </w:tabs>
    </w:pPr>
  </w:style>
  <w:style w:type="paragraph" w:styleId="List">
    <w:name w:val="List"/>
    <w:basedOn w:val="BodyText"/>
    <w:next w:val="BodyText"/>
    <w:rsid w:val="00F456B4"/>
    <w:pPr>
      <w:tabs>
        <w:tab w:val="left" w:pos="340"/>
      </w:tabs>
      <w:spacing w:before="60" w:after="60"/>
      <w:ind w:left="340" w:hanging="340"/>
    </w:pPr>
  </w:style>
  <w:style w:type="paragraph" w:customStyle="1" w:styleId="Note">
    <w:name w:val="Note"/>
    <w:basedOn w:val="BodyText"/>
    <w:rsid w:val="00F45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6B4"/>
    <w:pPr>
      <w:framePr w:wrap="auto" w:hAnchor="text" w:y="6049"/>
    </w:pPr>
    <w:rPr>
      <w:color w:val="000000"/>
      <w:sz w:val="40"/>
    </w:rPr>
  </w:style>
  <w:style w:type="paragraph" w:customStyle="1" w:styleId="TOCTitle">
    <w:name w:val="TOCTitle"/>
    <w:basedOn w:val="Heading1"/>
    <w:rsid w:val="00F456B4"/>
    <w:pPr>
      <w:spacing w:after="240"/>
      <w:jc w:val="center"/>
      <w:outlineLvl w:val="9"/>
    </w:pPr>
    <w:rPr>
      <w:caps/>
    </w:rPr>
  </w:style>
  <w:style w:type="paragraph" w:customStyle="1" w:styleId="Version">
    <w:name w:val="Version"/>
    <w:rsid w:val="00F456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6B4"/>
    <w:pPr>
      <w:numPr>
        <w:numId w:val="12"/>
      </w:numPr>
      <w:tabs>
        <w:tab w:val="clear" w:pos="680"/>
      </w:tabs>
    </w:pPr>
  </w:style>
  <w:style w:type="paragraph" w:styleId="Index1">
    <w:name w:val="index 1"/>
    <w:basedOn w:val="Normal"/>
    <w:next w:val="Normal"/>
    <w:semiHidden/>
    <w:rsid w:val="00F456B4"/>
    <w:pPr>
      <w:keepNext w:val="0"/>
      <w:tabs>
        <w:tab w:val="right" w:pos="4176"/>
      </w:tabs>
      <w:ind w:left="198" w:hanging="198"/>
    </w:pPr>
    <w:rPr>
      <w:rFonts w:ascii="Garamond" w:hAnsi="Garamond"/>
    </w:rPr>
  </w:style>
  <w:style w:type="paragraph" w:styleId="IndexHeading">
    <w:name w:val="index heading"/>
    <w:basedOn w:val="Normal"/>
    <w:next w:val="Index1"/>
    <w:semiHidden/>
    <w:rsid w:val="00F456B4"/>
    <w:pPr>
      <w:spacing w:before="120" w:after="120"/>
    </w:pPr>
    <w:rPr>
      <w:rFonts w:ascii="Arial" w:hAnsi="Arial"/>
      <w:b/>
      <w:color w:val="918585"/>
      <w:sz w:val="24"/>
    </w:rPr>
  </w:style>
  <w:style w:type="paragraph" w:styleId="Header">
    <w:name w:val="header"/>
    <w:basedOn w:val="Normal"/>
    <w:link w:val="HeaderChar"/>
    <w:rsid w:val="00F45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6B4"/>
    <w:rPr>
      <w:rFonts w:ascii="Times New Roman" w:eastAsia="Times New Roman" w:hAnsi="Times New Roman" w:cs="Times New Roman"/>
      <w:sz w:val="16"/>
      <w:szCs w:val="20"/>
      <w:lang w:val="en-GB" w:eastAsia="en-US"/>
    </w:rPr>
  </w:style>
  <w:style w:type="paragraph" w:customStyle="1" w:styleId="Chapter">
    <w:name w:val="Chapter"/>
    <w:basedOn w:val="Normal"/>
    <w:rsid w:val="00F456B4"/>
    <w:pPr>
      <w:spacing w:before="240"/>
    </w:pPr>
    <w:rPr>
      <w:rFonts w:ascii="Times New Roman" w:hAnsi="Times New Roman"/>
      <w:smallCaps/>
      <w:spacing w:val="80"/>
      <w:sz w:val="28"/>
    </w:rPr>
  </w:style>
  <w:style w:type="paragraph" w:customStyle="1" w:styleId="InChapter">
    <w:name w:val="InChapter"/>
    <w:basedOn w:val="Heading3"/>
    <w:rsid w:val="00F456B4"/>
    <w:pPr>
      <w:spacing w:after="240"/>
      <w:outlineLvl w:val="9"/>
    </w:pPr>
    <w:rPr>
      <w:noProof/>
    </w:rPr>
  </w:style>
  <w:style w:type="paragraph" w:styleId="Index2">
    <w:name w:val="index 2"/>
    <w:basedOn w:val="Normal"/>
    <w:next w:val="Normal"/>
    <w:semiHidden/>
    <w:rsid w:val="00F456B4"/>
    <w:pPr>
      <w:tabs>
        <w:tab w:val="right" w:pos="4176"/>
      </w:tabs>
      <w:ind w:left="568" w:hanging="284"/>
    </w:pPr>
    <w:rPr>
      <w:rFonts w:ascii="Garamond" w:hAnsi="Garamond"/>
    </w:rPr>
  </w:style>
  <w:style w:type="paragraph" w:customStyle="1" w:styleId="Byline">
    <w:name w:val="Byline"/>
    <w:rsid w:val="00F45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6B4"/>
    <w:pPr>
      <w:tabs>
        <w:tab w:val="clear" w:pos="3600"/>
        <w:tab w:val="clear" w:pos="3958"/>
      </w:tabs>
      <w:jc w:val="right"/>
    </w:pPr>
  </w:style>
  <w:style w:type="paragraph" w:styleId="Caption">
    <w:name w:val="caption"/>
    <w:basedOn w:val="BodyText"/>
    <w:next w:val="Normal"/>
    <w:qFormat/>
    <w:rsid w:val="00F456B4"/>
    <w:pPr>
      <w:framePr w:w="2268" w:hSpace="181" w:vSpace="181" w:wrap="around" w:vAnchor="text" w:hAnchor="page" w:x="1135" w:y="285" w:anchorLock="1"/>
    </w:pPr>
    <w:rPr>
      <w:i/>
    </w:rPr>
  </w:style>
  <w:style w:type="paragraph" w:customStyle="1" w:styleId="MiniTOCTitle">
    <w:name w:val="MiniTOCTitle"/>
    <w:basedOn w:val="Heading4"/>
    <w:rsid w:val="00F456B4"/>
    <w:pPr>
      <w:spacing w:before="240"/>
      <w:outlineLvl w:val="9"/>
    </w:pPr>
    <w:rPr>
      <w:noProof/>
      <w:sz w:val="24"/>
    </w:rPr>
  </w:style>
  <w:style w:type="paragraph" w:customStyle="1" w:styleId="MiniTOCItem">
    <w:name w:val="MiniTOCItem"/>
    <w:basedOn w:val="ListBullet"/>
    <w:rsid w:val="00F456B4"/>
    <w:pPr>
      <w:numPr>
        <w:numId w:val="0"/>
      </w:numPr>
      <w:tabs>
        <w:tab w:val="right" w:leader="dot" w:pos="6521"/>
      </w:tabs>
      <w:spacing w:before="0" w:after="0"/>
    </w:pPr>
  </w:style>
  <w:style w:type="paragraph" w:customStyle="1" w:styleId="TOFTitle">
    <w:name w:val="TOFTitle"/>
    <w:basedOn w:val="TOCTitle"/>
    <w:rsid w:val="00F456B4"/>
  </w:style>
  <w:style w:type="paragraph" w:styleId="TableofFigures">
    <w:name w:val="table of figures"/>
    <w:basedOn w:val="Normal"/>
    <w:next w:val="Normal"/>
    <w:semiHidden/>
    <w:rsid w:val="00F456B4"/>
    <w:pPr>
      <w:tabs>
        <w:tab w:val="right" w:leader="dot" w:pos="9072"/>
      </w:tabs>
      <w:ind w:left="970" w:hanging="403"/>
    </w:pPr>
    <w:rPr>
      <w:rFonts w:ascii="Times New Roman" w:hAnsi="Times New Roman"/>
      <w:b/>
    </w:rPr>
  </w:style>
  <w:style w:type="paragraph" w:styleId="ListNumber">
    <w:name w:val="List Number"/>
    <w:basedOn w:val="List"/>
    <w:rsid w:val="00F456B4"/>
    <w:pPr>
      <w:numPr>
        <w:numId w:val="14"/>
      </w:numPr>
      <w:tabs>
        <w:tab w:val="clear" w:pos="340"/>
      </w:tabs>
    </w:pPr>
  </w:style>
  <w:style w:type="character" w:customStyle="1" w:styleId="WingdingSymbols">
    <w:name w:val="Wingding Symbols"/>
    <w:rsid w:val="00F456B4"/>
    <w:rPr>
      <w:rFonts w:ascii="Wingdings" w:hAnsi="Wingdings"/>
    </w:rPr>
  </w:style>
  <w:style w:type="paragraph" w:customStyle="1" w:styleId="TableHeading">
    <w:name w:val="Table Heading"/>
    <w:basedOn w:val="HeadingBase"/>
    <w:rsid w:val="00F456B4"/>
    <w:pPr>
      <w:keepLines/>
      <w:pBdr>
        <w:bottom w:val="single" w:sz="6" w:space="1" w:color="918585"/>
      </w:pBdr>
      <w:spacing w:before="240"/>
    </w:pPr>
  </w:style>
  <w:style w:type="character" w:customStyle="1" w:styleId="HotSpot">
    <w:name w:val="HotSpot"/>
    <w:rsid w:val="00F456B4"/>
    <w:rPr>
      <w:color w:val="0033CC"/>
      <w:u w:val="none"/>
    </w:rPr>
  </w:style>
  <w:style w:type="paragraph" w:customStyle="1" w:styleId="BodyTextRight">
    <w:name w:val="Body Text Right"/>
    <w:basedOn w:val="BodyText"/>
    <w:rsid w:val="00F456B4"/>
    <w:pPr>
      <w:spacing w:before="0" w:after="0"/>
      <w:jc w:val="right"/>
    </w:pPr>
  </w:style>
  <w:style w:type="paragraph" w:styleId="Index3">
    <w:name w:val="index 3"/>
    <w:basedOn w:val="ListNumber2"/>
    <w:next w:val="Normal"/>
    <w:semiHidden/>
    <w:rsid w:val="00F456B4"/>
    <w:pPr>
      <w:numPr>
        <w:numId w:val="0"/>
      </w:numPr>
      <w:tabs>
        <w:tab w:val="right" w:leader="dot" w:pos="4176"/>
      </w:tabs>
    </w:pPr>
  </w:style>
  <w:style w:type="paragraph" w:styleId="ListNumber2">
    <w:name w:val="List Number 2"/>
    <w:basedOn w:val="List2"/>
    <w:rsid w:val="00F456B4"/>
    <w:pPr>
      <w:numPr>
        <w:numId w:val="9"/>
      </w:numPr>
      <w:tabs>
        <w:tab w:val="clear" w:pos="1060"/>
      </w:tabs>
    </w:pPr>
  </w:style>
  <w:style w:type="paragraph" w:customStyle="1" w:styleId="MarginNote">
    <w:name w:val="Margin Note"/>
    <w:basedOn w:val="BodyText"/>
    <w:rsid w:val="00F45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6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6B4"/>
    <w:rPr>
      <w:sz w:val="32"/>
    </w:rPr>
  </w:style>
  <w:style w:type="paragraph" w:customStyle="1" w:styleId="HeadingProcedure">
    <w:name w:val="Heading Procedure"/>
    <w:basedOn w:val="HeadingBase"/>
    <w:next w:val="Normal"/>
    <w:rsid w:val="00F456B4"/>
    <w:pPr>
      <w:tabs>
        <w:tab w:val="left" w:pos="0"/>
      </w:tabs>
      <w:spacing w:before="120" w:after="60"/>
    </w:pPr>
    <w:rPr>
      <w:i/>
      <w:color w:val="918585"/>
      <w:sz w:val="22"/>
    </w:rPr>
  </w:style>
  <w:style w:type="paragraph" w:customStyle="1" w:styleId="TableBodyText">
    <w:name w:val="Table Body Text"/>
    <w:basedOn w:val="BodyText"/>
    <w:rsid w:val="00F456B4"/>
    <w:pPr>
      <w:spacing w:before="60" w:after="60"/>
    </w:pPr>
  </w:style>
  <w:style w:type="paragraph" w:styleId="ListContinue">
    <w:name w:val="List Continue"/>
    <w:basedOn w:val="List"/>
    <w:rsid w:val="00F456B4"/>
    <w:pPr>
      <w:ind w:firstLine="0"/>
    </w:pPr>
  </w:style>
  <w:style w:type="paragraph" w:customStyle="1" w:styleId="ListNote">
    <w:name w:val="List Note"/>
    <w:basedOn w:val="List"/>
    <w:rsid w:val="00F456B4"/>
    <w:pPr>
      <w:pBdr>
        <w:top w:val="single" w:sz="6" w:space="2" w:color="918585"/>
        <w:bottom w:val="single" w:sz="6" w:space="2" w:color="918585"/>
      </w:pBdr>
      <w:tabs>
        <w:tab w:val="left" w:pos="1021"/>
      </w:tabs>
      <w:ind w:firstLine="0"/>
    </w:pPr>
  </w:style>
  <w:style w:type="paragraph" w:customStyle="1" w:styleId="Warning">
    <w:name w:val="Warning"/>
    <w:basedOn w:val="BodyText"/>
    <w:rsid w:val="00F456B4"/>
    <w:pPr>
      <w:shd w:val="clear" w:color="auto" w:fill="D9D9D9"/>
      <w:tabs>
        <w:tab w:val="left" w:pos="992"/>
      </w:tabs>
      <w:ind w:left="119" w:right="119"/>
    </w:pPr>
    <w:rPr>
      <w:sz w:val="20"/>
    </w:rPr>
  </w:style>
  <w:style w:type="paragraph" w:customStyle="1" w:styleId="MarginIcons">
    <w:name w:val="Margin Icons"/>
    <w:basedOn w:val="BodyText"/>
    <w:rsid w:val="00F45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6B4"/>
    <w:rPr>
      <w:rFonts w:ascii="Courier New" w:hAnsi="Courier New"/>
    </w:rPr>
  </w:style>
  <w:style w:type="paragraph" w:customStyle="1" w:styleId="NoteBullet">
    <w:name w:val="Note Bullet"/>
    <w:basedOn w:val="Note"/>
    <w:rsid w:val="00F456B4"/>
    <w:pPr>
      <w:tabs>
        <w:tab w:val="clear" w:pos="680"/>
      </w:tabs>
      <w:spacing w:before="60" w:after="60"/>
    </w:pPr>
  </w:style>
  <w:style w:type="paragraph" w:customStyle="1" w:styleId="SubHeading2">
    <w:name w:val="SubHeading2"/>
    <w:basedOn w:val="HeadingBase"/>
    <w:rsid w:val="00F456B4"/>
    <w:pPr>
      <w:spacing w:before="240" w:after="60"/>
    </w:pPr>
    <w:rPr>
      <w:sz w:val="20"/>
    </w:rPr>
  </w:style>
  <w:style w:type="paragraph" w:customStyle="1" w:styleId="SubHeading1">
    <w:name w:val="SubHeading1"/>
    <w:basedOn w:val="HeadingBase"/>
    <w:rsid w:val="00F456B4"/>
    <w:pPr>
      <w:spacing w:before="240" w:after="60"/>
    </w:pPr>
    <w:rPr>
      <w:color w:val="918585"/>
      <w:sz w:val="22"/>
    </w:rPr>
  </w:style>
  <w:style w:type="paragraph" w:customStyle="1" w:styleId="SideHeading">
    <w:name w:val="Side Heading"/>
    <w:basedOn w:val="HeadingBase"/>
    <w:rsid w:val="00F45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6B4"/>
    <w:pPr>
      <w:numPr>
        <w:numId w:val="10"/>
      </w:numPr>
    </w:pPr>
  </w:style>
  <w:style w:type="paragraph" w:styleId="PlainText">
    <w:name w:val="Plain Text"/>
    <w:basedOn w:val="Normal"/>
    <w:link w:val="PlainTextChar"/>
    <w:rsid w:val="00F456B4"/>
    <w:rPr>
      <w:sz w:val="20"/>
    </w:rPr>
  </w:style>
  <w:style w:type="character" w:customStyle="1" w:styleId="PlainTextChar">
    <w:name w:val="Plain Text Char"/>
    <w:basedOn w:val="DefaultParagraphFont"/>
    <w:link w:val="PlainText"/>
    <w:rsid w:val="00F456B4"/>
    <w:rPr>
      <w:rFonts w:ascii="Courier New" w:eastAsia="Times New Roman" w:hAnsi="Courier New" w:cs="Times New Roman"/>
      <w:sz w:val="20"/>
      <w:szCs w:val="20"/>
      <w:lang w:eastAsia="en-US"/>
    </w:rPr>
  </w:style>
  <w:style w:type="character" w:customStyle="1" w:styleId="MenuOption">
    <w:name w:val="Menu Option"/>
    <w:basedOn w:val="DefaultParagraphFont"/>
    <w:rsid w:val="00F456B4"/>
    <w:rPr>
      <w:b/>
      <w:smallCaps/>
    </w:rPr>
  </w:style>
  <w:style w:type="paragraph" w:customStyle="1" w:styleId="TableListNumber">
    <w:name w:val="Table List Number"/>
    <w:basedOn w:val="ListNumber"/>
    <w:rsid w:val="00F456B4"/>
    <w:pPr>
      <w:numPr>
        <w:numId w:val="0"/>
      </w:numPr>
    </w:pPr>
  </w:style>
  <w:style w:type="paragraph" w:styleId="TOC4">
    <w:name w:val="toc 4"/>
    <w:basedOn w:val="TOCBase"/>
    <w:next w:val="Normal"/>
    <w:semiHidden/>
    <w:rsid w:val="00F456B4"/>
    <w:pPr>
      <w:tabs>
        <w:tab w:val="right" w:leader="dot" w:pos="9071"/>
      </w:tabs>
      <w:ind w:left="1701"/>
    </w:pPr>
  </w:style>
  <w:style w:type="paragraph" w:customStyle="1" w:styleId="ListAlpha">
    <w:name w:val="List Alpha"/>
    <w:basedOn w:val="List"/>
    <w:rsid w:val="00F456B4"/>
    <w:pPr>
      <w:numPr>
        <w:numId w:val="8"/>
      </w:numPr>
    </w:pPr>
  </w:style>
  <w:style w:type="paragraph" w:customStyle="1" w:styleId="ListAlpha2">
    <w:name w:val="List Alpha 2"/>
    <w:basedOn w:val="List2"/>
    <w:rsid w:val="00F456B4"/>
    <w:pPr>
      <w:numPr>
        <w:numId w:val="7"/>
      </w:numPr>
    </w:pPr>
  </w:style>
  <w:style w:type="paragraph" w:styleId="List2">
    <w:name w:val="List 2"/>
    <w:basedOn w:val="BodyText"/>
    <w:rsid w:val="00F456B4"/>
    <w:pPr>
      <w:tabs>
        <w:tab w:val="left" w:pos="680"/>
      </w:tabs>
      <w:spacing w:before="60" w:after="60"/>
      <w:ind w:left="680" w:hanging="340"/>
    </w:pPr>
  </w:style>
  <w:style w:type="paragraph" w:styleId="List3">
    <w:name w:val="List 3"/>
    <w:basedOn w:val="BodyText"/>
    <w:rsid w:val="00F456B4"/>
    <w:pPr>
      <w:tabs>
        <w:tab w:val="left" w:pos="1021"/>
      </w:tabs>
      <w:spacing w:before="60" w:after="60"/>
      <w:ind w:left="1020" w:hanging="340"/>
    </w:pPr>
  </w:style>
  <w:style w:type="paragraph" w:styleId="List4">
    <w:name w:val="List 4"/>
    <w:basedOn w:val="BodyText"/>
    <w:rsid w:val="00F456B4"/>
    <w:pPr>
      <w:tabs>
        <w:tab w:val="left" w:pos="1361"/>
      </w:tabs>
      <w:spacing w:before="60" w:after="60"/>
      <w:ind w:left="1361" w:hanging="340"/>
    </w:pPr>
  </w:style>
  <w:style w:type="paragraph" w:styleId="List5">
    <w:name w:val="List 5"/>
    <w:basedOn w:val="BodyText"/>
    <w:rsid w:val="00F456B4"/>
    <w:pPr>
      <w:tabs>
        <w:tab w:val="left" w:pos="1701"/>
      </w:tabs>
      <w:spacing w:before="60" w:after="60"/>
      <w:ind w:left="1701" w:hanging="340"/>
    </w:pPr>
  </w:style>
  <w:style w:type="paragraph" w:styleId="ListBullet3">
    <w:name w:val="List Bullet 3"/>
    <w:basedOn w:val="List3"/>
    <w:rsid w:val="00F456B4"/>
    <w:pPr>
      <w:numPr>
        <w:numId w:val="13"/>
      </w:numPr>
      <w:tabs>
        <w:tab w:val="clear" w:pos="1021"/>
      </w:tabs>
      <w:ind w:left="1037" w:hanging="357"/>
    </w:pPr>
  </w:style>
  <w:style w:type="paragraph" w:styleId="ListBullet4">
    <w:name w:val="List Bullet 4"/>
    <w:basedOn w:val="List4"/>
    <w:rsid w:val="00F456B4"/>
    <w:pPr>
      <w:numPr>
        <w:numId w:val="2"/>
      </w:numPr>
      <w:tabs>
        <w:tab w:val="clear" w:pos="1361"/>
      </w:tabs>
    </w:pPr>
  </w:style>
  <w:style w:type="paragraph" w:styleId="ListBullet5">
    <w:name w:val="List Bullet 5"/>
    <w:basedOn w:val="List5"/>
    <w:rsid w:val="00F456B4"/>
    <w:pPr>
      <w:numPr>
        <w:numId w:val="3"/>
      </w:numPr>
    </w:pPr>
  </w:style>
  <w:style w:type="paragraph" w:styleId="ListContinue2">
    <w:name w:val="List Continue 2"/>
    <w:basedOn w:val="List2"/>
    <w:rsid w:val="00F456B4"/>
    <w:pPr>
      <w:ind w:firstLine="0"/>
    </w:pPr>
  </w:style>
  <w:style w:type="paragraph" w:styleId="ListContinue3">
    <w:name w:val="List Continue 3"/>
    <w:basedOn w:val="List3"/>
    <w:rsid w:val="00F456B4"/>
    <w:pPr>
      <w:ind w:left="1021" w:firstLine="0"/>
    </w:pPr>
  </w:style>
  <w:style w:type="paragraph" w:styleId="ListContinue4">
    <w:name w:val="List Continue 4"/>
    <w:basedOn w:val="List4"/>
    <w:rsid w:val="00F456B4"/>
    <w:pPr>
      <w:ind w:firstLine="0"/>
    </w:pPr>
  </w:style>
  <w:style w:type="paragraph" w:styleId="ListContinue5">
    <w:name w:val="List Continue 5"/>
    <w:basedOn w:val="List5"/>
    <w:rsid w:val="00F456B4"/>
    <w:pPr>
      <w:ind w:firstLine="0"/>
    </w:pPr>
  </w:style>
  <w:style w:type="paragraph" w:styleId="ListNumber3">
    <w:name w:val="List Number 3"/>
    <w:basedOn w:val="List3"/>
    <w:rsid w:val="00F456B4"/>
    <w:pPr>
      <w:numPr>
        <w:numId w:val="4"/>
      </w:numPr>
    </w:pPr>
  </w:style>
  <w:style w:type="paragraph" w:styleId="ListNumber4">
    <w:name w:val="List Number 4"/>
    <w:basedOn w:val="List4"/>
    <w:rsid w:val="00F456B4"/>
    <w:pPr>
      <w:numPr>
        <w:numId w:val="5"/>
      </w:numPr>
    </w:pPr>
  </w:style>
  <w:style w:type="paragraph" w:styleId="ListNumber5">
    <w:name w:val="List Number 5"/>
    <w:basedOn w:val="List5"/>
    <w:rsid w:val="00F456B4"/>
    <w:pPr>
      <w:numPr>
        <w:numId w:val="6"/>
      </w:numPr>
    </w:pPr>
  </w:style>
  <w:style w:type="paragraph" w:styleId="BlockText">
    <w:name w:val="Block Text"/>
    <w:basedOn w:val="Normal"/>
    <w:rsid w:val="00F456B4"/>
    <w:pPr>
      <w:spacing w:after="120"/>
      <w:ind w:left="1440" w:right="1440"/>
    </w:pPr>
  </w:style>
  <w:style w:type="character" w:customStyle="1" w:styleId="Subscript">
    <w:name w:val="Subscript"/>
    <w:basedOn w:val="DefaultParagraphFont"/>
    <w:rsid w:val="00F456B4"/>
    <w:rPr>
      <w:sz w:val="16"/>
      <w:vertAlign w:val="subscript"/>
    </w:rPr>
  </w:style>
  <w:style w:type="character" w:customStyle="1" w:styleId="Superscript">
    <w:name w:val="Superscript"/>
    <w:basedOn w:val="DefaultParagraphFont"/>
    <w:rsid w:val="00F456B4"/>
    <w:rPr>
      <w:sz w:val="16"/>
      <w:vertAlign w:val="superscript"/>
    </w:rPr>
  </w:style>
  <w:style w:type="character" w:customStyle="1" w:styleId="Symbols">
    <w:name w:val="Symbols"/>
    <w:basedOn w:val="DefaultParagraphFont"/>
    <w:rsid w:val="00F456B4"/>
    <w:rPr>
      <w:rFonts w:ascii="Symbol" w:hAnsi="Symbol"/>
    </w:rPr>
  </w:style>
  <w:style w:type="character" w:customStyle="1" w:styleId="MenuOptions">
    <w:name w:val="Menu Options"/>
    <w:basedOn w:val="DefaultParagraphFont"/>
    <w:rsid w:val="00F456B4"/>
    <w:rPr>
      <w:rFonts w:ascii="Arial Narrow" w:hAnsi="Arial Narrow"/>
      <w:smallCaps/>
    </w:rPr>
  </w:style>
  <w:style w:type="character" w:customStyle="1" w:styleId="Buttons">
    <w:name w:val="Buttons"/>
    <w:basedOn w:val="DefaultParagraphFont"/>
    <w:rsid w:val="00F456B4"/>
    <w:rPr>
      <w:b/>
    </w:rPr>
  </w:style>
  <w:style w:type="character" w:customStyle="1" w:styleId="Underlined">
    <w:name w:val="Underlined"/>
    <w:basedOn w:val="DefaultParagraphFont"/>
    <w:rsid w:val="00F456B4"/>
    <w:rPr>
      <w:u w:val="single"/>
    </w:rPr>
  </w:style>
  <w:style w:type="paragraph" w:customStyle="1" w:styleId="TableBodyTextRight">
    <w:name w:val="Table Body Text Right"/>
    <w:basedOn w:val="TableBodyText"/>
    <w:rsid w:val="00F456B4"/>
    <w:pPr>
      <w:widowControl w:val="0"/>
      <w:autoSpaceDE w:val="0"/>
      <w:autoSpaceDN w:val="0"/>
      <w:adjustRightInd w:val="0"/>
      <w:jc w:val="right"/>
    </w:pPr>
    <w:rPr>
      <w:rFonts w:cs="Arial"/>
      <w:szCs w:val="18"/>
    </w:rPr>
  </w:style>
  <w:style w:type="paragraph" w:customStyle="1" w:styleId="CopyrightText">
    <w:name w:val="Copyright Text"/>
    <w:basedOn w:val="BodyText"/>
    <w:rsid w:val="00F456B4"/>
    <w:rPr>
      <w:sz w:val="18"/>
    </w:rPr>
  </w:style>
  <w:style w:type="paragraph" w:customStyle="1" w:styleId="BodySmallRight">
    <w:name w:val="Body Small Right"/>
    <w:basedOn w:val="BodyTextRight"/>
    <w:rsid w:val="00F456B4"/>
    <w:rPr>
      <w:sz w:val="18"/>
      <w:szCs w:val="18"/>
    </w:rPr>
  </w:style>
  <w:style w:type="paragraph" w:customStyle="1" w:styleId="MarginEdition">
    <w:name w:val="Margin Edition"/>
    <w:basedOn w:val="MarginNote"/>
    <w:rsid w:val="00F456B4"/>
    <w:pPr>
      <w:spacing w:before="0" w:after="0"/>
    </w:pPr>
    <w:rPr>
      <w:rFonts w:ascii="Times New Roman" w:hAnsi="Times New Roman"/>
      <w:color w:val="999999"/>
    </w:rPr>
  </w:style>
  <w:style w:type="paragraph" w:customStyle="1" w:styleId="Spacer">
    <w:name w:val="Spacer"/>
    <w:basedOn w:val="Normal"/>
    <w:rsid w:val="00F456B4"/>
    <w:rPr>
      <w:sz w:val="2"/>
      <w:szCs w:val="2"/>
    </w:rPr>
  </w:style>
  <w:style w:type="character" w:customStyle="1" w:styleId="Small">
    <w:name w:val="Small"/>
    <w:basedOn w:val="DefaultParagraphFont"/>
    <w:rsid w:val="00F456B4"/>
    <w:rPr>
      <w:sz w:val="16"/>
    </w:rPr>
  </w:style>
  <w:style w:type="paragraph" w:customStyle="1" w:styleId="WideTable">
    <w:name w:val="Wide Table"/>
    <w:basedOn w:val="Normal"/>
    <w:rsid w:val="00F456B4"/>
    <w:pPr>
      <w:ind w:left="-1418"/>
    </w:pPr>
    <w:rPr>
      <w:sz w:val="2"/>
      <w:szCs w:val="2"/>
    </w:rPr>
  </w:style>
  <w:style w:type="character" w:styleId="PageNumber">
    <w:name w:val="page number"/>
    <w:basedOn w:val="DefaultParagraphFont"/>
    <w:rsid w:val="00F456B4"/>
  </w:style>
  <w:style w:type="paragraph" w:styleId="Quote">
    <w:name w:val="Quote"/>
    <w:basedOn w:val="Heading1"/>
    <w:link w:val="QuoteChar"/>
    <w:qFormat/>
    <w:rsid w:val="00F456B4"/>
    <w:rPr>
      <w:b w:val="0"/>
      <w:sz w:val="72"/>
      <w:szCs w:val="72"/>
      <w:lang w:val="en-NZ"/>
    </w:rPr>
  </w:style>
  <w:style w:type="character" w:customStyle="1" w:styleId="QuoteChar">
    <w:name w:val="Quote Char"/>
    <w:basedOn w:val="DefaultParagraphFont"/>
    <w:link w:val="Quote"/>
    <w:rsid w:val="00F45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6B4"/>
    <w:pPr>
      <w:pageBreakBefore/>
    </w:pPr>
  </w:style>
  <w:style w:type="paragraph" w:customStyle="1" w:styleId="Border">
    <w:name w:val="Border"/>
    <w:basedOn w:val="Normal"/>
    <w:qFormat/>
    <w:rsid w:val="00F45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6B4"/>
    <w:rPr>
      <w:b/>
      <w:bCs/>
      <w:i/>
      <w:iCs/>
      <w:color w:val="auto"/>
    </w:rPr>
  </w:style>
  <w:style w:type="paragraph" w:styleId="IntenseQuote">
    <w:name w:val="Intense Quote"/>
    <w:basedOn w:val="Normal"/>
    <w:next w:val="Normal"/>
    <w:link w:val="IntenseQuoteChar"/>
    <w:uiPriority w:val="30"/>
    <w:qFormat/>
    <w:rsid w:val="00F45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6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6B4"/>
    <w:rPr>
      <w:smallCaps/>
      <w:color w:val="auto"/>
      <w:u w:val="single"/>
    </w:rPr>
  </w:style>
  <w:style w:type="character" w:styleId="IntenseReference">
    <w:name w:val="Intense Reference"/>
    <w:basedOn w:val="DefaultParagraphFont"/>
    <w:uiPriority w:val="32"/>
    <w:qFormat/>
    <w:rsid w:val="00F456B4"/>
    <w:rPr>
      <w:b/>
      <w:bCs/>
      <w:smallCaps/>
      <w:color w:val="auto"/>
      <w:spacing w:val="5"/>
      <w:u w:val="single"/>
    </w:rPr>
  </w:style>
  <w:style w:type="paragraph" w:customStyle="1" w:styleId="2ColumnHeading">
    <w:name w:val="2Column Heading"/>
    <w:basedOn w:val="BodyText"/>
    <w:qFormat/>
    <w:rsid w:val="00F456B4"/>
    <w:pPr>
      <w:spacing w:after="60"/>
      <w:ind w:left="-2268"/>
    </w:pPr>
    <w:rPr>
      <w:b/>
    </w:rPr>
  </w:style>
  <w:style w:type="paragraph" w:customStyle="1" w:styleId="Heading1TOC">
    <w:name w:val="Heading1 TOC"/>
    <w:basedOn w:val="Normal"/>
    <w:qFormat/>
    <w:rsid w:val="00F456B4"/>
    <w:pPr>
      <w:spacing w:before="240" w:after="120"/>
    </w:pPr>
    <w:rPr>
      <w:rFonts w:ascii="Times New Roman" w:hAnsi="Times New Roman"/>
      <w:b/>
      <w:sz w:val="32"/>
    </w:rPr>
  </w:style>
  <w:style w:type="paragraph" w:customStyle="1" w:styleId="Heading2TOC">
    <w:name w:val="Heading2 TOC"/>
    <w:basedOn w:val="Normal"/>
    <w:qFormat/>
    <w:rsid w:val="00F456B4"/>
    <w:pPr>
      <w:spacing w:before="240" w:after="60"/>
    </w:pPr>
    <w:rPr>
      <w:rFonts w:ascii="Times New Roman" w:hAnsi="Times New Roman"/>
      <w:b/>
      <w:sz w:val="28"/>
    </w:rPr>
  </w:style>
  <w:style w:type="character" w:customStyle="1" w:styleId="Underline">
    <w:name w:val="Underline"/>
    <w:basedOn w:val="DefaultParagraphFont"/>
    <w:qFormat/>
    <w:rsid w:val="00F456B4"/>
    <w:rPr>
      <w:u w:val="single"/>
    </w:rPr>
  </w:style>
  <w:style w:type="character" w:customStyle="1" w:styleId="BoldandItalics">
    <w:name w:val="Bold and Italics"/>
    <w:qFormat/>
    <w:rsid w:val="00F456B4"/>
    <w:rPr>
      <w:b/>
      <w:i/>
      <w:u w:val="none"/>
    </w:rPr>
  </w:style>
  <w:style w:type="paragraph" w:styleId="BalloonText">
    <w:name w:val="Balloon Text"/>
    <w:basedOn w:val="Normal"/>
    <w:link w:val="BalloonTextChar"/>
    <w:rsid w:val="00F456B4"/>
    <w:rPr>
      <w:rFonts w:ascii="Tahoma" w:hAnsi="Tahoma" w:cs="Tahoma"/>
      <w:sz w:val="16"/>
      <w:szCs w:val="16"/>
    </w:rPr>
  </w:style>
  <w:style w:type="character" w:customStyle="1" w:styleId="BalloonTextChar">
    <w:name w:val="Balloon Text Char"/>
    <w:basedOn w:val="DefaultParagraphFont"/>
    <w:link w:val="BalloonText"/>
    <w:rsid w:val="00F456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6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6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6B4"/>
    <w:rPr>
      <w:b/>
      <w:color w:val="660033"/>
      <w:spacing w:val="0"/>
    </w:rPr>
  </w:style>
  <w:style w:type="paragraph" w:customStyle="1" w:styleId="Nameditemlist">
    <w:name w:val="Named item list"/>
    <w:basedOn w:val="BodyText"/>
    <w:qFormat/>
    <w:rsid w:val="00F456B4"/>
    <w:pPr>
      <w:tabs>
        <w:tab w:val="left" w:pos="2835"/>
      </w:tabs>
      <w:ind w:left="2835" w:hanging="2835"/>
    </w:pPr>
  </w:style>
  <w:style w:type="paragraph" w:customStyle="1" w:styleId="BodyTextnopadding">
    <w:name w:val="Body Text no padding"/>
    <w:basedOn w:val="BodyText"/>
    <w:qFormat/>
    <w:rsid w:val="00F456B4"/>
    <w:pPr>
      <w:spacing w:before="0" w:after="0"/>
    </w:pPr>
  </w:style>
  <w:style w:type="paragraph" w:customStyle="1" w:styleId="BodyTextBold">
    <w:name w:val="Body Text Bold"/>
    <w:basedOn w:val="BodyText"/>
    <w:qFormat/>
    <w:rsid w:val="00F456B4"/>
    <w:rPr>
      <w:b/>
    </w:rPr>
  </w:style>
  <w:style w:type="character" w:styleId="Hyperlink">
    <w:name w:val="Hyperlink"/>
    <w:basedOn w:val="DefaultParagraphFont"/>
    <w:uiPriority w:val="99"/>
    <w:unhideWhenUsed/>
    <w:rsid w:val="00CA5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1154</Words>
  <Characters>7426</Characters>
  <Application>Microsoft Office Word</Application>
  <DocSecurity>0</DocSecurity>
  <Lines>322</Lines>
  <Paragraphs>155</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MSMTMVER402 Verify liquid measuring instruments using volume measures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2023-02-03T06:00:00Z</dcterms:created>
  <dcterms:modified xsi:type="dcterms:W3CDTF">2023-02-03T06:00:00Z</dcterms:modified>
</cp:coreProperties>
</file>