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419E" w:rsidP="006E4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MSMTMVER301 Verify simple measures</w:t>
      </w:r>
      <w:r>
        <w:fldChar w:fldCharType="end"/>
      </w:r>
    </w:p>
    <w:p w:rsidR="006E419E" w:rsidP="006E419E">
      <w:pPr>
        <w:pStyle w:val="Version"/>
        <w:sectPr w:rsidSect="009B58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B5866" w:rsidP="009B5866">
      <w:pPr>
        <w:pStyle w:val="SuperHeading"/>
      </w:pPr>
      <w:r w:rsidRPr="009B5866">
        <w:t>MSMTMVER301 Verify simple measures</w:t>
      </w:r>
    </w:p>
    <w:p w:rsidR="00000000" w:rsidRPr="009B5866" w:rsidP="009B5866">
      <w:pPr>
        <w:pStyle w:val="Heading1"/>
      </w:pPr>
      <w:bookmarkStart w:id="1" w:name="O_939552"/>
      <w:bookmarkEnd w:id="1"/>
      <w:r w:rsidRPr="009B5866">
        <w:t>Modification History</w:t>
      </w:r>
    </w:p>
    <w:p w:rsidR="00000000" w:rsidRPr="009B5866" w:rsidP="006E419E">
      <w:pPr>
        <w:pStyle w:val="BodyText"/>
      </w:pPr>
      <w:r w:rsidRPr="009B5866">
        <w:t>Release 2. Adjustments to the Application and Range of Conditions. Adjustment to Assessment Conditions. Equivalent.</w:t>
      </w:r>
    </w:p>
    <w:p w:rsidR="00000000" w:rsidRPr="009B5866" w:rsidP="006E419E">
      <w:pPr>
        <w:pStyle w:val="BodyText"/>
      </w:pPr>
      <w:r w:rsidRPr="009B5866">
        <w:t>Release 1. Supersedes and is equivalent to MSATMVER301A Verify simple measures</w:t>
      </w:r>
    </w:p>
    <w:p w:rsidR="00000000" w:rsidRPr="009B5866" w:rsidP="009B5866">
      <w:pPr>
        <w:pStyle w:val="Heading1"/>
      </w:pPr>
      <w:bookmarkStart w:id="2" w:name="O_939551"/>
      <w:bookmarkEnd w:id="2"/>
      <w:r w:rsidRPr="009B5866">
        <w:t>Application</w:t>
      </w:r>
    </w:p>
    <w:p w:rsidR="00000000" w:rsidRPr="009B5866" w:rsidP="006E419E">
      <w:pPr>
        <w:pStyle w:val="BodyText"/>
      </w:pPr>
      <w:r w:rsidRPr="009B5866">
        <w:t>This unit o</w:t>
      </w:r>
      <w:r w:rsidRPr="009B5866">
        <w:t>f competency covers the ability to apply National Instrument Test Procedures to determine whether simple measures of a particular class are suitable for trade use and to mark them accordingly.</w:t>
      </w:r>
    </w:p>
    <w:p w:rsidR="00000000" w:rsidRPr="009B5866" w:rsidP="006E419E">
      <w:pPr>
        <w:pStyle w:val="BodyText"/>
      </w:pPr>
      <w:r w:rsidRPr="009B5866">
        <w:t>This unit of competency is applicable to verifiers operating u</w:t>
      </w:r>
      <w:r w:rsidRPr="009B5866">
        <w:t>nder a servicing licence to test and mark a specific class of simple measures. Simple measures such as trade masses, length measures and volume measures are used in a wide variety of commerce including retail, hospitality, pharmaceuticals and laboratory se</w:t>
      </w:r>
      <w:r w:rsidRPr="009B5866">
        <w:t>rvices.</w:t>
      </w:r>
    </w:p>
    <w:p w:rsidR="00000000" w:rsidRPr="009B5866" w:rsidP="006E419E">
      <w:pPr>
        <w:pStyle w:val="BodyText"/>
      </w:pPr>
      <w:r w:rsidRPr="009B5866">
        <w:t xml:space="preserve">Under the requirements of Regulation 2.43 of the </w:t>
      </w:r>
      <w:r w:rsidRPr="009B5866">
        <w:rPr>
          <w:rStyle w:val="Emphasis"/>
        </w:rPr>
        <w:t>National Trade Measurement Regulations 2009</w:t>
      </w:r>
      <w:r w:rsidRPr="009B5866">
        <w:t>, a servicing licensee or an employee must not verify a measure relevant to this unit unless they hold a statement of attainment for this unit of competenc</w:t>
      </w:r>
      <w:r w:rsidRPr="009B5866">
        <w:t>y.</w:t>
      </w:r>
    </w:p>
    <w:p w:rsidR="00000000" w:rsidRPr="009B5866" w:rsidP="009B5866">
      <w:pPr>
        <w:pStyle w:val="Heading1"/>
      </w:pPr>
      <w:bookmarkStart w:id="3" w:name="O_939550"/>
      <w:bookmarkEnd w:id="3"/>
      <w:r w:rsidRPr="009B5866">
        <w:t>Pre-requisite Unit</w:t>
      </w:r>
    </w:p>
    <w:p w:rsidR="00000000" w:rsidRPr="009B5866" w:rsidP="006E419E">
      <w:pPr>
        <w:pStyle w:val="BodyText"/>
      </w:pPr>
      <w:r w:rsidRPr="009B5866">
        <w:t>Nil</w:t>
      </w:r>
    </w:p>
    <w:p w:rsidR="00000000" w:rsidRPr="009B5866" w:rsidP="009B5866">
      <w:pPr>
        <w:pStyle w:val="Heading1"/>
      </w:pPr>
      <w:bookmarkStart w:id="4" w:name="O_939549"/>
      <w:bookmarkEnd w:id="4"/>
      <w:r w:rsidRPr="009B5866">
        <w:t>Competency Field</w:t>
      </w:r>
    </w:p>
    <w:p w:rsidR="00000000" w:rsidRPr="009B5866" w:rsidP="006E419E">
      <w:pPr>
        <w:pStyle w:val="BodyText"/>
      </w:pPr>
      <w:r w:rsidRPr="009B5866">
        <w:t>Trade measurement</w:t>
      </w:r>
    </w:p>
    <w:p w:rsidR="00000000" w:rsidRPr="009B5866" w:rsidP="009B5866">
      <w:pPr>
        <w:pStyle w:val="Heading1"/>
      </w:pPr>
      <w:bookmarkStart w:id="5" w:name="O_939548"/>
      <w:bookmarkEnd w:id="5"/>
      <w:r w:rsidRPr="009B5866">
        <w:t>Unit Sector</w:t>
      </w:r>
    </w:p>
    <w:p w:rsidR="00000000" w:rsidRPr="009B5866" w:rsidP="009B5866">
      <w:pPr>
        <w:pStyle w:val="Heading1"/>
      </w:pPr>
      <w:bookmarkStart w:id="6" w:name="O_939547"/>
      <w:bookmarkEnd w:id="6"/>
      <w:r w:rsidRPr="009B586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Performance criteria describe the perfor</w:t>
            </w:r>
            <w:r w:rsidRPr="009B5866">
              <w:t>mance needed to demonstrate achievement of the element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 xml:space="preserve">Prepare for </w:t>
            </w:r>
            <w:r w:rsidRPr="009B5866">
              <w:t>verification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 xml:space="preserve">Identify and evaluate the type of simple measure to be </w:t>
            </w:r>
            <w:r w:rsidRPr="009B5866">
              <w:t>verified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Access and correctly interpret documentation required for the verification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Identify and access test equipment, products and consumables required for the verification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Liaise with the trader to provide the items required on site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Ensure specified test equipment is fit for purpose in accordance with applicable legislati</w:t>
            </w:r>
            <w:r w:rsidRPr="009B5866">
              <w:t>on and organisational procedures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Store and transport test equipment in accordance with organisational procedures and industry best practice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BodyText"/>
            </w:pPr>
            <w:r w:rsidRPr="009B5866">
              <w:t>Identify relevant local workplace health and safety issues and implement appropriate control strategies</w:t>
            </w:r>
          </w:p>
        </w:tc>
      </w:tr>
    </w:tbl>
    <w:p w:rsidR="00000000" w:rsidRPr="009B5866" w:rsidP="009B586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Evaluate simple measure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Evaluate whether the operating environment will impact on the performance of the simple measure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Modif</w:t>
            </w:r>
            <w:r w:rsidRPr="009B5866">
              <w:t>y the operating environment or implement alternative arrangements to ensure reliable test conditions as necessary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Identify the maximum permissible errors for the simple measure from the legislative requirements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Use test equipment safely in accordance with applicable legislation and organisational procedures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Check simple measure for compliance with the appropriate Certificates of Approval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Inspect simple measure in accordance with relevant National In</w:t>
            </w:r>
            <w:r w:rsidRPr="009B5866">
              <w:t>strument Test Procedures and appropriate National Measurement Institute (NMI) guidance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BodyText"/>
            </w:pPr>
            <w:r w:rsidRPr="009B5866">
              <w:t>Evaluate results against prescribed performance criteria and determine if the simple measure is suitable for trade use in accordance with legislative requirements</w:t>
            </w:r>
          </w:p>
        </w:tc>
      </w:tr>
    </w:tbl>
    <w:p w:rsidR="00000000" w:rsidRPr="009B5866" w:rsidP="009B586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 xml:space="preserve">Report verification </w:t>
            </w:r>
            <w:r w:rsidRPr="009B5866">
              <w:t>results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 xml:space="preserve">Display the verification result on the simple measure in </w:t>
            </w:r>
            <w:r w:rsidRPr="009B5866">
              <w:t>accordance with legislative requirements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Use test reports to present verification results in the required format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Complete verification documentation in accordance with legislative requirements and organisational procedures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BodyText"/>
            </w:pPr>
            <w:r w:rsidRPr="009B5866">
              <w:t>Communicate results within the specified time and in accordance with organisational guidelines</w:t>
            </w:r>
          </w:p>
        </w:tc>
      </w:tr>
    </w:tbl>
    <w:p w:rsidR="00000000" w:rsidRPr="009B5866" w:rsidP="009B586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Model and encourage compliance with stat</w:t>
            </w:r>
            <w:r w:rsidRPr="009B5866">
              <w:t>utory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Apply organisation’s quality procedures and practices to meet servicing licensee’s legislative obligations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Clarify any issues about verifier obligations with their servicing licensee and/or licensing administering authority as they arise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Review work and seek feedback from others to confirm continuing compliance with legislative requirements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Identi</w:t>
            </w:r>
            <w:r w:rsidRPr="009B5866">
              <w:t xml:space="preserve">fy implications of non-compliance with legislative requirements 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Identify inadequacies in trader’s use of measures which may contribute to non-compliance with national measurement legislation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Explain inadequacies and possible remedial action</w:t>
            </w:r>
            <w:r w:rsidRPr="009B5866">
              <w:t>s to trader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4.7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BodyText"/>
            </w:pPr>
            <w:r w:rsidRPr="009B5866">
              <w:t>Respect the rights of the trader at all times</w:t>
            </w:r>
          </w:p>
        </w:tc>
      </w:tr>
    </w:tbl>
    <w:p w:rsidR="00000000" w:rsidRPr="009B5866" w:rsidP="009B5866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Maintain statutory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Keep accurate and complete records in accordance with servicing licensee’s legislative requirements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Ensure authorisation, training and relevant licences are current in accordance with organisational and servicing licensee’s legislative requirements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BodyText"/>
            </w:pPr>
            <w:r w:rsidRPr="009B5866">
              <w:t>Inform the licensing administering authority of changes to personal information as required by statu</w:t>
            </w:r>
            <w:r w:rsidRPr="009B5866">
              <w:t>te</w:t>
            </w:r>
          </w:p>
        </w:tc>
      </w:tr>
    </w:tbl>
    <w:p w:rsidR="00000000" w:rsidRPr="009B5866" w:rsidP="009B5866">
      <w:pPr>
        <w:pStyle w:val="BodyText"/>
      </w:pPr>
    </w:p>
    <w:p w:rsidR="00000000" w:rsidRPr="009B5866" w:rsidP="009B5866">
      <w:pPr>
        <w:pStyle w:val="AllowPageBreak"/>
      </w:pPr>
    </w:p>
    <w:p w:rsidR="00000000" w:rsidRPr="009B5866" w:rsidP="009B5866">
      <w:pPr>
        <w:pStyle w:val="Heading1"/>
      </w:pPr>
      <w:bookmarkStart w:id="7" w:name="O_939546"/>
      <w:bookmarkEnd w:id="7"/>
      <w:r w:rsidRPr="009B5866">
        <w:t>Foundation Skills</w:t>
      </w:r>
    </w:p>
    <w:p w:rsidR="00000000" w:rsidRPr="009B5866" w:rsidP="006E419E">
      <w:pPr>
        <w:pStyle w:val="BodyText"/>
      </w:pPr>
      <w:r w:rsidRPr="009B5866">
        <w:t>This section describes those language, literacy, numeracy and employment skills that are essential to performance.</w:t>
      </w:r>
    </w:p>
    <w:p w:rsidR="00000000" w:rsidRPr="009B5866" w:rsidP="006E419E">
      <w:pPr>
        <w:pStyle w:val="BodyText"/>
      </w:pPr>
      <w:r w:rsidRPr="009B5866">
        <w:t xml:space="preserve">Foundation skills essential to performance are explicit in the performance criteria of this unit of </w:t>
      </w:r>
      <w:r w:rsidRPr="009B5866">
        <w:t>competency.</w:t>
      </w:r>
    </w:p>
    <w:p w:rsidR="00000000" w:rsidRPr="009B5866" w:rsidP="009B5866">
      <w:pPr>
        <w:pStyle w:val="Heading1"/>
      </w:pPr>
      <w:bookmarkStart w:id="8" w:name="O_939545"/>
      <w:bookmarkEnd w:id="8"/>
      <w:r w:rsidRPr="009B586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8"/>
        <w:gridCol w:w="42"/>
        <w:gridCol w:w="6292"/>
      </w:tblGrid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t>This field allows for different work environments and conditions that may affect performance. Essential operating conditions that may be present (depending on the work situation, needs of the candidate, acce</w:t>
            </w:r>
            <w:r w:rsidRPr="009B5866">
              <w:t>ssibility of the item, and local industry and regional contexts) are included.</w:t>
            </w: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National Instrument Test Procedures include one or more of:</w:t>
            </w:r>
          </w:p>
        </w:tc>
        <w:tc>
          <w:tcPr>
            <w:tcW w:w="63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 xml:space="preserve">measuring instrument test procedures </w:t>
            </w:r>
          </w:p>
          <w:p w:rsidR="00000000" w:rsidRPr="009B5866" w:rsidP="009B5866">
            <w:pPr>
              <w:pStyle w:val="ListBullet"/>
            </w:pPr>
            <w:r w:rsidRPr="009B5866">
              <w:t>any other test procedure prescribed by the NMI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Classes of simple measures include one or more of:</w:t>
            </w:r>
            <w:r w:rsidRPr="009B5866">
              <w:t xml:space="preserve"> </w:t>
            </w:r>
          </w:p>
        </w:tc>
        <w:tc>
          <w:tcPr>
            <w:tcW w:w="63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>length measures</w:t>
            </w:r>
          </w:p>
          <w:p w:rsidR="00000000" w:rsidRPr="009B5866" w:rsidP="009B5866">
            <w:pPr>
              <w:pStyle w:val="ListBullet"/>
            </w:pPr>
            <w:r w:rsidRPr="009B5866">
              <w:t>alcoholic beverage measures</w:t>
            </w:r>
          </w:p>
          <w:p w:rsidR="00000000" w:rsidRPr="009B5866" w:rsidP="009B5866">
            <w:pPr>
              <w:pStyle w:val="ListBullet"/>
            </w:pPr>
            <w:r w:rsidRPr="009B5866">
              <w:t>lubricating oil measures</w:t>
            </w:r>
          </w:p>
          <w:p w:rsidR="00000000" w:rsidRPr="009B5866" w:rsidP="009B5866">
            <w:pPr>
              <w:pStyle w:val="ListBullet"/>
            </w:pPr>
            <w:r w:rsidRPr="009B5866">
              <w:t>graduated measures</w:t>
            </w:r>
          </w:p>
          <w:p w:rsidR="00000000" w:rsidRPr="009B5866" w:rsidP="009B5866">
            <w:pPr>
              <w:pStyle w:val="ListBullet"/>
            </w:pPr>
            <w:r w:rsidRPr="009B5866">
              <w:t>pharmaceutical measures</w:t>
            </w:r>
          </w:p>
          <w:p w:rsidR="00000000" w:rsidRPr="009B5866" w:rsidP="009B5866">
            <w:pPr>
              <w:pStyle w:val="ListBullet"/>
            </w:pPr>
            <w:r w:rsidRPr="009B5866">
              <w:t>trade masses</w:t>
            </w:r>
          </w:p>
          <w:p w:rsidR="00000000" w:rsidRPr="009B5866" w:rsidP="009B5866">
            <w:pPr>
              <w:pStyle w:val="ListBullet"/>
            </w:pPr>
            <w:r w:rsidRPr="009B5866">
              <w:t>any other simple measure prescribed by the NMI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Test equipment includes:</w:t>
            </w:r>
          </w:p>
        </w:tc>
        <w:tc>
          <w:tcPr>
            <w:tcW w:w="63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>reference standards of measurement</w:t>
            </w:r>
          </w:p>
          <w:p w:rsidR="00000000" w:rsidRPr="009B5866" w:rsidP="009B5866">
            <w:pPr>
              <w:pStyle w:val="ListBullet"/>
            </w:pPr>
            <w:r w:rsidRPr="009B5866">
              <w:t>equipment, such as weighing instruments, strikes and funnels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Certificates of Approval</w:t>
            </w:r>
            <w:r w:rsidRPr="009B5866">
              <w:t xml:space="preserve"> </w:t>
            </w:r>
            <w:r w:rsidRPr="009B5866">
              <w:rPr>
                <w:rStyle w:val="SpecialBold"/>
              </w:rPr>
              <w:t>include:</w:t>
            </w:r>
          </w:p>
        </w:tc>
        <w:tc>
          <w:tcPr>
            <w:tcW w:w="63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 xml:space="preserve">any Certificate issued by the Chief Metrologist under Regulation 60 of the </w:t>
            </w:r>
            <w:r w:rsidRPr="009B5866">
              <w:rPr>
                <w:rStyle w:val="Emphasis"/>
              </w:rPr>
              <w:t xml:space="preserve">National Measurement Regulations 1999 </w:t>
            </w:r>
            <w:r w:rsidRPr="009B5866">
              <w:t xml:space="preserve">approving </w:t>
            </w:r>
            <w:r w:rsidRPr="009B5866">
              <w:t>the pattern of a simple measure as being suitable for trade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Prescribed performance criteria for simple measures include:</w:t>
            </w:r>
          </w:p>
        </w:tc>
        <w:tc>
          <w:tcPr>
            <w:tcW w:w="63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 xml:space="preserve">that the instrument is of an approved pattern </w:t>
            </w:r>
          </w:p>
          <w:p w:rsidR="00000000" w:rsidRPr="009B5866" w:rsidP="009B5866">
            <w:pPr>
              <w:pStyle w:val="ListBullet"/>
            </w:pPr>
            <w:r w:rsidRPr="009B5866">
              <w:t>that the instrument operates within the appropriate limits of error permitted by legislation</w:t>
            </w:r>
          </w:p>
          <w:p w:rsidR="00000000" w:rsidRPr="009B5866" w:rsidP="009B5866">
            <w:pPr>
              <w:pStyle w:val="ListBullet"/>
            </w:pPr>
            <w:r w:rsidRPr="009B5866">
              <w:t>that the instrument is used in accordance with any legislative requirements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Verification</w:t>
            </w:r>
          </w:p>
        </w:tc>
        <w:tc>
          <w:tcPr>
            <w:tcW w:w="63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BodyText"/>
            </w:pPr>
            <w:r w:rsidRPr="009B5866">
              <w:t xml:space="preserve">Has the same meaning as Section 18GG of the </w:t>
            </w:r>
            <w:r w:rsidRPr="009B5866">
              <w:rPr>
                <w:rStyle w:val="Emphasis"/>
              </w:rPr>
              <w:t>National Measurement Act 196</w:t>
            </w:r>
            <w:r w:rsidRPr="009B5866">
              <w:rPr>
                <w:rStyle w:val="Emphasis"/>
              </w:rPr>
              <w:t>0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Verification marks</w:t>
            </w:r>
          </w:p>
        </w:tc>
        <w:tc>
          <w:tcPr>
            <w:tcW w:w="63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BodyText"/>
            </w:pPr>
            <w:r w:rsidRPr="009B5866">
              <w:t xml:space="preserve">Verification marks for different instruments are defined in Regulations 2.28 and 2.29 of the </w:t>
            </w:r>
            <w:r w:rsidRPr="009B5866">
              <w:rPr>
                <w:rStyle w:val="Emphasis"/>
              </w:rPr>
              <w:t>National Trade Measurement Regulations 2009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Trading practices include one or more of: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>methods used for the sale of goods</w:t>
            </w:r>
          </w:p>
          <w:p w:rsidR="00000000" w:rsidRPr="009B5866" w:rsidP="009B5866">
            <w:pPr>
              <w:pStyle w:val="ListBullet"/>
            </w:pPr>
            <w:r w:rsidRPr="009B5866">
              <w:t xml:space="preserve">using measuring </w:t>
            </w:r>
            <w:r w:rsidRPr="009B5866">
              <w:t>instruments</w:t>
            </w:r>
          </w:p>
          <w:p w:rsidR="00000000" w:rsidRPr="009B5866" w:rsidP="009B5866">
            <w:pPr>
              <w:pStyle w:val="ListBullet"/>
            </w:pPr>
            <w:r w:rsidRPr="009B5866">
              <w:t>position of measuring instruments</w:t>
            </w:r>
          </w:p>
          <w:p w:rsidR="00000000" w:rsidRPr="009B5866" w:rsidP="009B5866">
            <w:pPr>
              <w:pStyle w:val="ListBullet"/>
            </w:pPr>
            <w:r w:rsidRPr="009B5866">
              <w:t>environmental factors</w:t>
            </w:r>
          </w:p>
          <w:p w:rsidR="00000000" w:rsidRPr="009B5866" w:rsidP="009B5866">
            <w:pPr>
              <w:pStyle w:val="ListBullet"/>
            </w:pPr>
            <w:r w:rsidRPr="009B5866">
              <w:t>suitability of instrument</w:t>
            </w:r>
          </w:p>
          <w:p w:rsidR="00000000" w:rsidRPr="009B5866" w:rsidP="009B5866">
            <w:pPr>
              <w:pStyle w:val="ListBullet"/>
            </w:pPr>
            <w:r w:rsidRPr="009B5866">
              <w:t>incorrect measurement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Legislation includes: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>national measurement legislation</w:t>
            </w:r>
          </w:p>
          <w:p w:rsidR="00000000" w:rsidRPr="009B5866" w:rsidP="009B5866">
            <w:pPr>
              <w:pStyle w:val="ListBullet"/>
            </w:pPr>
            <w:r w:rsidRPr="009B5866">
              <w:t>applicable Commonwealth, state and territory work/occupational health and safety (WHS/OHS) legislation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NMI guidance includes: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 xml:space="preserve">NMI sanctioned variances to National Instrument Test Procedures for verification </w:t>
            </w:r>
          </w:p>
          <w:p w:rsidR="00000000" w:rsidRPr="009B5866" w:rsidP="009B5866">
            <w:pPr>
              <w:pStyle w:val="ListBullet"/>
            </w:pPr>
            <w:r w:rsidRPr="009B5866">
              <w:t>updates</w:t>
            </w:r>
          </w:p>
          <w:p w:rsidR="00000000" w:rsidRPr="009B5866" w:rsidP="009B5866">
            <w:pPr>
              <w:pStyle w:val="ListBullet"/>
            </w:pPr>
            <w:r w:rsidRPr="009B5866">
              <w:t>directives</w:t>
            </w:r>
          </w:p>
          <w:p w:rsidR="00000000" w:rsidP="009B5866">
            <w:pPr>
              <w:pStyle w:val="BodyText"/>
              <w:rPr>
                <w:lang w:val="en-NZ"/>
              </w:rPr>
            </w:pPr>
          </w:p>
        </w:tc>
      </w:tr>
      <w:tr w:rsidTr="009B58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866">
            <w:pPr>
              <w:pStyle w:val="BodyText"/>
              <w:rPr>
                <w:lang w:val="en-NZ"/>
              </w:rPr>
            </w:pPr>
            <w:r w:rsidRPr="009B5866">
              <w:rPr>
                <w:rStyle w:val="SpecialBold"/>
              </w:rPr>
              <w:t>WHS/OHS and environmental management requirements include:</w:t>
            </w:r>
          </w:p>
        </w:tc>
        <w:tc>
          <w:tcPr>
            <w:tcW w:w="62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866" w:rsidP="009B5866">
            <w:pPr>
              <w:pStyle w:val="ListBullet"/>
            </w:pPr>
            <w:r w:rsidRPr="009B5866">
              <w:t>complying with WHS/OHS and environmental management requirements at all times, which may be imposed through state/territory or federal legislation. These requirements must not be compromised at an</w:t>
            </w:r>
            <w:r w:rsidRPr="009B5866">
              <w:t>y time</w:t>
            </w:r>
          </w:p>
          <w:p w:rsidR="00000000" w:rsidRPr="009B5866" w:rsidP="009B5866">
            <w:pPr>
              <w:pStyle w:val="ListBullet"/>
            </w:pPr>
            <w:r w:rsidRPr="009B5866">
              <w:t>applying standard precautions relating to the potentially hazardous nature of material/product measured</w:t>
            </w:r>
          </w:p>
          <w:p w:rsidR="00000000" w:rsidRPr="009B5866" w:rsidP="009B5866">
            <w:pPr>
              <w:pStyle w:val="ListBullet"/>
            </w:pPr>
            <w:r w:rsidRPr="009B5866">
              <w:t>applying any necessary hygiene controls</w:t>
            </w:r>
          </w:p>
          <w:p w:rsidR="00000000" w:rsidRPr="009B5866" w:rsidP="009B5866">
            <w:pPr>
              <w:pStyle w:val="BodyText"/>
            </w:pPr>
          </w:p>
        </w:tc>
      </w:tr>
    </w:tbl>
    <w:p w:rsidR="00000000" w:rsidRPr="009B5866" w:rsidP="009B5866">
      <w:pPr>
        <w:pStyle w:val="BodyText"/>
      </w:pPr>
    </w:p>
    <w:p w:rsidR="00000000" w:rsidRPr="009B5866" w:rsidP="009B5866">
      <w:pPr>
        <w:pStyle w:val="AllowPageBreak"/>
      </w:pPr>
    </w:p>
    <w:p w:rsidR="00000000" w:rsidRPr="009B5866" w:rsidP="009B5866">
      <w:pPr>
        <w:pStyle w:val="Heading1"/>
      </w:pPr>
      <w:bookmarkStart w:id="9" w:name="O_939544"/>
      <w:bookmarkEnd w:id="9"/>
      <w:r w:rsidRPr="009B5866">
        <w:t>Unit Mapping Information</w:t>
      </w:r>
    </w:p>
    <w:p w:rsidR="00000000" w:rsidRPr="009B5866" w:rsidP="006E419E">
      <w:pPr>
        <w:pStyle w:val="BodyText"/>
      </w:pPr>
      <w:r w:rsidRPr="009B5866">
        <w:t>Release 2. Adjustments to the Application and Range of Conditions. Adjustment to Assessment Conditions. Equivalent.</w:t>
      </w:r>
    </w:p>
    <w:p w:rsidR="00000000" w:rsidRPr="009B5866" w:rsidP="006E419E">
      <w:pPr>
        <w:pStyle w:val="BodyText"/>
      </w:pPr>
      <w:r w:rsidRPr="009B5866">
        <w:t>Release 1. Supersedes and is equivalent to MSATMVER301A Verify simple measures</w:t>
      </w:r>
    </w:p>
    <w:p w:rsidR="00000000" w:rsidRPr="009B5866" w:rsidP="009B5866">
      <w:pPr>
        <w:pStyle w:val="Heading1"/>
      </w:pPr>
      <w:bookmarkStart w:id="10" w:name="O_939553"/>
      <w:bookmarkEnd w:id="10"/>
      <w:r w:rsidRPr="009B5866">
        <w:t>Links</w:t>
      </w:r>
    </w:p>
    <w:p w:rsidR="00000000" w:rsidRPr="009B5866" w:rsidP="006E419E">
      <w:pPr>
        <w:pStyle w:val="BodyText"/>
      </w:pPr>
      <w:r w:rsidRPr="009B5866">
        <w:t>Companion Volume implementation guides</w:t>
      </w:r>
      <w:r w:rsidRPr="009B5866">
        <w:t xml:space="preserve">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2C7B8D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9B5866" w:rsidP="009B5866"/>
    <w:sectPr w:rsidSect="009B58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66" w:rsidRPr="006E419E" w:rsidP="006E4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9E" w:rsidP="009B58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419E" w:rsidP="009B58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E419E" w:rsidP="009B58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866" w:rsidRPr="006E419E" w:rsidP="006E4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8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19E" w:rsidRPr="002D2AF8" w:rsidP="009B58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MSMTMVER301 Verify simple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E419E" w:rsidP="009B58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0ACC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221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8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8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8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8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8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8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8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8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8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8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8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866"/>
  </w:style>
  <w:style w:type="character" w:customStyle="1" w:styleId="Heading1Char">
    <w:name w:val="Heading 1 Char"/>
    <w:basedOn w:val="DefaultParagraphFont"/>
    <w:link w:val="Heading1"/>
    <w:rsid w:val="009B58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8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8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8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866"/>
    <w:rPr>
      <w:b/>
      <w:spacing w:val="0"/>
    </w:rPr>
  </w:style>
  <w:style w:type="character" w:styleId="Emphasis">
    <w:name w:val="Emphasis"/>
    <w:basedOn w:val="DefaultParagraphFont"/>
    <w:qFormat/>
    <w:rsid w:val="009B5866"/>
    <w:rPr>
      <w:i/>
    </w:rPr>
  </w:style>
  <w:style w:type="paragraph" w:customStyle="1" w:styleId="SuperHeading">
    <w:name w:val="SuperHeading"/>
    <w:basedOn w:val="Normal"/>
    <w:rsid w:val="009B58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8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8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8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8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8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8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8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8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8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8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8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8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8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8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8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8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8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8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8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8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8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8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8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8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8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8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8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8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8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8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8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8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8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8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8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866"/>
  </w:style>
  <w:style w:type="paragraph" w:styleId="TableofFigures">
    <w:name w:val="table of figures"/>
    <w:basedOn w:val="Normal"/>
    <w:next w:val="Normal"/>
    <w:semiHidden/>
    <w:rsid w:val="009B58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8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866"/>
    <w:rPr>
      <w:rFonts w:ascii="Wingdings" w:hAnsi="Wingdings"/>
    </w:rPr>
  </w:style>
  <w:style w:type="paragraph" w:customStyle="1" w:styleId="TableHeading">
    <w:name w:val="Table Heading"/>
    <w:basedOn w:val="HeadingBase"/>
    <w:rsid w:val="009B58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866"/>
    <w:rPr>
      <w:color w:val="0033CC"/>
      <w:u w:val="none"/>
    </w:rPr>
  </w:style>
  <w:style w:type="paragraph" w:customStyle="1" w:styleId="BodyTextRight">
    <w:name w:val="Body Text Right"/>
    <w:basedOn w:val="BodyText"/>
    <w:rsid w:val="009B58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8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8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8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8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8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866"/>
    <w:rPr>
      <w:sz w:val="32"/>
    </w:rPr>
  </w:style>
  <w:style w:type="paragraph" w:customStyle="1" w:styleId="HeadingProcedure">
    <w:name w:val="Heading Procedure"/>
    <w:basedOn w:val="HeadingBase"/>
    <w:next w:val="Normal"/>
    <w:rsid w:val="009B58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866"/>
    <w:pPr>
      <w:spacing w:before="60" w:after="60"/>
    </w:pPr>
  </w:style>
  <w:style w:type="paragraph" w:styleId="ListContinue">
    <w:name w:val="List Continue"/>
    <w:basedOn w:val="List"/>
    <w:rsid w:val="009B5866"/>
    <w:pPr>
      <w:ind w:firstLine="0"/>
    </w:pPr>
  </w:style>
  <w:style w:type="paragraph" w:customStyle="1" w:styleId="ListNote">
    <w:name w:val="List Note"/>
    <w:basedOn w:val="List"/>
    <w:rsid w:val="009B58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8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8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866"/>
    <w:rPr>
      <w:rFonts w:ascii="Courier New" w:hAnsi="Courier New"/>
    </w:rPr>
  </w:style>
  <w:style w:type="paragraph" w:customStyle="1" w:styleId="NoteBullet">
    <w:name w:val="Note Bullet"/>
    <w:basedOn w:val="Note"/>
    <w:rsid w:val="009B58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8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8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8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8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8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8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866"/>
    <w:rPr>
      <w:b/>
      <w:smallCaps/>
    </w:rPr>
  </w:style>
  <w:style w:type="paragraph" w:customStyle="1" w:styleId="TableListNumber">
    <w:name w:val="Table List Number"/>
    <w:basedOn w:val="ListNumber"/>
    <w:rsid w:val="009B58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8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866"/>
    <w:pPr>
      <w:numPr>
        <w:numId w:val="8"/>
      </w:numPr>
    </w:pPr>
  </w:style>
  <w:style w:type="paragraph" w:customStyle="1" w:styleId="ListAlpha2">
    <w:name w:val="List Alpha 2"/>
    <w:basedOn w:val="List2"/>
    <w:rsid w:val="009B5866"/>
    <w:pPr>
      <w:numPr>
        <w:numId w:val="7"/>
      </w:numPr>
    </w:pPr>
  </w:style>
  <w:style w:type="paragraph" w:styleId="List2">
    <w:name w:val="List 2"/>
    <w:basedOn w:val="BodyText"/>
    <w:rsid w:val="009B58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8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8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8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8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8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866"/>
    <w:pPr>
      <w:numPr>
        <w:numId w:val="3"/>
      </w:numPr>
    </w:pPr>
  </w:style>
  <w:style w:type="paragraph" w:styleId="ListContinue2">
    <w:name w:val="List Continue 2"/>
    <w:basedOn w:val="List2"/>
    <w:rsid w:val="009B5866"/>
    <w:pPr>
      <w:ind w:firstLine="0"/>
    </w:pPr>
  </w:style>
  <w:style w:type="paragraph" w:styleId="ListContinue3">
    <w:name w:val="List Continue 3"/>
    <w:basedOn w:val="List3"/>
    <w:rsid w:val="009B5866"/>
    <w:pPr>
      <w:ind w:left="1021" w:firstLine="0"/>
    </w:pPr>
  </w:style>
  <w:style w:type="paragraph" w:styleId="ListContinue4">
    <w:name w:val="List Continue 4"/>
    <w:basedOn w:val="List4"/>
    <w:rsid w:val="009B5866"/>
    <w:pPr>
      <w:ind w:firstLine="0"/>
    </w:pPr>
  </w:style>
  <w:style w:type="paragraph" w:styleId="ListContinue5">
    <w:name w:val="List Continue 5"/>
    <w:basedOn w:val="List5"/>
    <w:rsid w:val="009B5866"/>
    <w:pPr>
      <w:ind w:firstLine="0"/>
    </w:pPr>
  </w:style>
  <w:style w:type="paragraph" w:styleId="ListNumber3">
    <w:name w:val="List Number 3"/>
    <w:basedOn w:val="List3"/>
    <w:rsid w:val="009B5866"/>
    <w:pPr>
      <w:numPr>
        <w:numId w:val="4"/>
      </w:numPr>
    </w:pPr>
  </w:style>
  <w:style w:type="paragraph" w:styleId="ListNumber4">
    <w:name w:val="List Number 4"/>
    <w:basedOn w:val="List4"/>
    <w:rsid w:val="009B5866"/>
    <w:pPr>
      <w:numPr>
        <w:numId w:val="5"/>
      </w:numPr>
    </w:pPr>
  </w:style>
  <w:style w:type="paragraph" w:styleId="ListNumber5">
    <w:name w:val="List Number 5"/>
    <w:basedOn w:val="List5"/>
    <w:rsid w:val="009B5866"/>
    <w:pPr>
      <w:numPr>
        <w:numId w:val="6"/>
      </w:numPr>
    </w:pPr>
  </w:style>
  <w:style w:type="paragraph" w:styleId="BlockText">
    <w:name w:val="Block Text"/>
    <w:basedOn w:val="Normal"/>
    <w:rsid w:val="009B58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8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866"/>
    <w:rPr>
      <w:sz w:val="16"/>
      <w:vertAlign w:val="superscript"/>
    </w:rPr>
  </w:style>
  <w:style w:type="character" w:customStyle="1" w:styleId="Symbols">
    <w:name w:val="Symbols"/>
    <w:basedOn w:val="DefaultParagraphFont"/>
    <w:rsid w:val="009B5866"/>
    <w:rPr>
      <w:rFonts w:ascii="Symbol" w:hAnsi="Symbol"/>
    </w:rPr>
  </w:style>
  <w:style w:type="character" w:customStyle="1" w:styleId="MenuOptions">
    <w:name w:val="Menu Options"/>
    <w:basedOn w:val="DefaultParagraphFont"/>
    <w:rsid w:val="009B58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866"/>
    <w:rPr>
      <w:b/>
    </w:rPr>
  </w:style>
  <w:style w:type="character" w:customStyle="1" w:styleId="Underlined">
    <w:name w:val="Underlined"/>
    <w:basedOn w:val="DefaultParagraphFont"/>
    <w:rsid w:val="009B5866"/>
    <w:rPr>
      <w:u w:val="single"/>
    </w:rPr>
  </w:style>
  <w:style w:type="paragraph" w:customStyle="1" w:styleId="TableBodyTextRight">
    <w:name w:val="Table Body Text Right"/>
    <w:basedOn w:val="TableBodyText"/>
    <w:rsid w:val="009B58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866"/>
    <w:rPr>
      <w:sz w:val="18"/>
    </w:rPr>
  </w:style>
  <w:style w:type="paragraph" w:customStyle="1" w:styleId="BodySmallRight">
    <w:name w:val="Body Small Right"/>
    <w:basedOn w:val="BodyTextRight"/>
    <w:rsid w:val="009B5866"/>
    <w:rPr>
      <w:sz w:val="18"/>
      <w:szCs w:val="18"/>
    </w:rPr>
  </w:style>
  <w:style w:type="paragraph" w:customStyle="1" w:styleId="MarginEdition">
    <w:name w:val="Margin Edition"/>
    <w:basedOn w:val="MarginNote"/>
    <w:rsid w:val="009B58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866"/>
    <w:rPr>
      <w:sz w:val="2"/>
      <w:szCs w:val="2"/>
    </w:rPr>
  </w:style>
  <w:style w:type="character" w:customStyle="1" w:styleId="Small">
    <w:name w:val="Small"/>
    <w:basedOn w:val="DefaultParagraphFont"/>
    <w:rsid w:val="009B5866"/>
    <w:rPr>
      <w:sz w:val="16"/>
    </w:rPr>
  </w:style>
  <w:style w:type="paragraph" w:customStyle="1" w:styleId="WideTable">
    <w:name w:val="Wide Table"/>
    <w:basedOn w:val="Normal"/>
    <w:rsid w:val="009B58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866"/>
  </w:style>
  <w:style w:type="paragraph" w:styleId="Quote">
    <w:name w:val="Quote"/>
    <w:basedOn w:val="Heading1"/>
    <w:link w:val="QuoteChar"/>
    <w:qFormat/>
    <w:rsid w:val="009B58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8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866"/>
    <w:pPr>
      <w:pageBreakBefore/>
    </w:pPr>
  </w:style>
  <w:style w:type="paragraph" w:customStyle="1" w:styleId="Border">
    <w:name w:val="Border"/>
    <w:basedOn w:val="Normal"/>
    <w:qFormat/>
    <w:rsid w:val="009B58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8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8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8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8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8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8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8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8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866"/>
    <w:rPr>
      <w:u w:val="single"/>
    </w:rPr>
  </w:style>
  <w:style w:type="character" w:customStyle="1" w:styleId="BoldandItalics">
    <w:name w:val="Bold and Italics"/>
    <w:qFormat/>
    <w:rsid w:val="009B5866"/>
    <w:rPr>
      <w:b/>
      <w:i/>
      <w:u w:val="none"/>
    </w:rPr>
  </w:style>
  <w:style w:type="paragraph" w:styleId="BalloonText">
    <w:name w:val="Balloon Text"/>
    <w:basedOn w:val="Normal"/>
    <w:link w:val="BalloonTextChar"/>
    <w:rsid w:val="009B58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8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8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8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8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8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866"/>
    <w:pPr>
      <w:spacing w:before="0" w:after="0"/>
    </w:pPr>
  </w:style>
  <w:style w:type="paragraph" w:customStyle="1" w:styleId="BodyTextBold">
    <w:name w:val="Body Text Bold"/>
    <w:basedOn w:val="BodyText"/>
    <w:qFormat/>
    <w:rsid w:val="009B5866"/>
    <w:rPr>
      <w:b/>
    </w:rPr>
  </w:style>
  <w:style w:type="character" w:styleId="Hyperlink">
    <w:name w:val="Hyperlink"/>
    <w:basedOn w:val="DefaultParagraphFont"/>
    <w:uiPriority w:val="99"/>
    <w:unhideWhenUsed/>
    <w:rsid w:val="006E4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1042</Words>
  <Characters>6715</Characters>
  <Application>Microsoft Office Word</Application>
  <DocSecurity>0</DocSecurity>
  <Lines>319</Lines>
  <Paragraphs>161</Paragraphs>
  <ScaleCrop>false</ScaleCrop>
  <Company>Author-it Software Corporation Ltd.</Company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MSMTMVER301 Verify simple measures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2023-02-03T05:45:00Z</dcterms:modified>
</cp:coreProperties>
</file>