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AD9" w:rsidP="00236AD9">
      <w:pPr>
        <w:pStyle w:val="Title"/>
      </w:pPr>
      <w:r>
        <w:fldChar w:fldCharType="begin"/>
      </w:r>
      <w:r>
        <w:instrText xml:space="preserve"> TITLE   \* MERGEFORMAT </w:instrText>
      </w:r>
      <w:r>
        <w:fldChar w:fldCharType="separate"/>
      </w:r>
      <w:r>
        <w:t>MSMTMREF301 Use and maintain reference standards</w:t>
      </w:r>
      <w:r>
        <w:fldChar w:fldCharType="end"/>
      </w:r>
    </w:p>
    <w:p w:rsidR="00236AD9" w:rsidP="00236AD9">
      <w:pPr>
        <w:pStyle w:val="Version"/>
        <w:sectPr w:rsidSect="00BA2E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2E1A" w:rsidP="00BA2E1A">
      <w:pPr>
        <w:pStyle w:val="SuperHeading"/>
      </w:pPr>
      <w:r w:rsidRPr="00BA2E1A">
        <w:t>MSMTMREF301 Use and maintain reference standards</w:t>
      </w:r>
    </w:p>
    <w:p w:rsidR="00000000" w:rsidRPr="00BA2E1A" w:rsidP="00BA2E1A">
      <w:pPr>
        <w:pStyle w:val="Heading1"/>
      </w:pPr>
      <w:bookmarkStart w:id="1" w:name="O_939534"/>
      <w:bookmarkEnd w:id="1"/>
      <w:r w:rsidRPr="00BA2E1A">
        <w:t>Modification History</w:t>
      </w:r>
    </w:p>
    <w:p w:rsidR="00000000" w:rsidRPr="00BA2E1A" w:rsidP="00236AD9">
      <w:pPr>
        <w:pStyle w:val="BodyText"/>
      </w:pPr>
      <w:r w:rsidRPr="00BA2E1A">
        <w:t>Release 2. Adjustments to Application and Range of Conditions. Adjustment to Assessment Conditions. Equivalent.</w:t>
      </w:r>
    </w:p>
    <w:p w:rsidR="00000000" w:rsidRPr="00BA2E1A" w:rsidP="00236AD9">
      <w:pPr>
        <w:pStyle w:val="BodyText"/>
      </w:pPr>
      <w:r w:rsidRPr="00BA2E1A">
        <w:t>Release 1. Supersedes and is equivalent to MSATMREF301A Use and maintain reference standards</w:t>
      </w:r>
    </w:p>
    <w:p w:rsidR="00000000" w:rsidRPr="00BA2E1A" w:rsidP="00BA2E1A">
      <w:pPr>
        <w:pStyle w:val="Heading1"/>
      </w:pPr>
      <w:bookmarkStart w:id="2" w:name="O_939533"/>
      <w:bookmarkEnd w:id="2"/>
      <w:r w:rsidRPr="00BA2E1A">
        <w:t>Appli</w:t>
      </w:r>
      <w:r w:rsidRPr="00BA2E1A">
        <w:t>cation</w:t>
      </w:r>
    </w:p>
    <w:p w:rsidR="00000000" w:rsidRPr="00BA2E1A" w:rsidP="00236AD9">
      <w:pPr>
        <w:pStyle w:val="BodyText"/>
      </w:pPr>
      <w:r w:rsidRPr="00BA2E1A">
        <w:t>This unit of competency covers the ability to select and use appropriate reference standards of measurement in accordance with standard procedures and industry best practice. It also involves storing and transporting reference standards correctly an</w:t>
      </w:r>
      <w:r w:rsidRPr="00BA2E1A">
        <w:t>d maintaining their integrity during all trade measurement activities.</w:t>
      </w:r>
    </w:p>
    <w:p w:rsidR="00000000" w:rsidRPr="00BA2E1A" w:rsidP="00236AD9">
      <w:pPr>
        <w:pStyle w:val="BodyText"/>
      </w:pPr>
      <w:r w:rsidRPr="00BA2E1A">
        <w:t>This unit of competency is applicable to trade measurement inspectors appointed under national measurement legislation who may use reference standards of measurement for inspecting a r</w:t>
      </w:r>
      <w:r w:rsidRPr="00BA2E1A">
        <w:t>ange of pre-packaged products, trading practices or measuring instruments as part of their allocated duties. The unit also covers verifiers operating under a servicing licence who use reference standards of measurement to test and verify specific classes o</w:t>
      </w:r>
      <w:r w:rsidRPr="00BA2E1A">
        <w:t>f measuring instruments used for trade. Inspectors and verifiers must work safely and this may require applying basic first aid, entering confined spaces, working with heavy machinery and site safety induction.</w:t>
      </w:r>
    </w:p>
    <w:p w:rsidR="00000000" w:rsidRPr="00BA2E1A" w:rsidP="00236AD9">
      <w:pPr>
        <w:pStyle w:val="BodyText"/>
      </w:pPr>
      <w:r w:rsidRPr="00BA2E1A">
        <w:t>While no specific licensing or certification</w:t>
      </w:r>
      <w:r w:rsidRPr="00BA2E1A">
        <w:t xml:space="preserve"> requirements apply to this unit at the time of publication, all inspection activity is legislated under the </w:t>
      </w:r>
      <w:r w:rsidRPr="00BA2E1A">
        <w:rPr>
          <w:rStyle w:val="Emphasis"/>
        </w:rPr>
        <w:t>National Measurement Act 1960</w:t>
      </w:r>
      <w:r w:rsidRPr="00BA2E1A">
        <w:t>.</w:t>
      </w:r>
    </w:p>
    <w:p w:rsidR="00000000" w:rsidRPr="00BA2E1A" w:rsidP="00BA2E1A">
      <w:pPr>
        <w:pStyle w:val="Heading1"/>
      </w:pPr>
      <w:bookmarkStart w:id="3" w:name="O_939532"/>
      <w:bookmarkEnd w:id="3"/>
      <w:r w:rsidRPr="00BA2E1A">
        <w:t>Pre-requisite Unit</w:t>
      </w:r>
    </w:p>
    <w:p w:rsidR="00000000" w:rsidRPr="00BA2E1A" w:rsidP="00236AD9">
      <w:pPr>
        <w:pStyle w:val="BodyText"/>
      </w:pPr>
      <w:r w:rsidRPr="00BA2E1A">
        <w:t>Nil</w:t>
      </w:r>
    </w:p>
    <w:p w:rsidR="00000000" w:rsidRPr="00BA2E1A" w:rsidP="00BA2E1A">
      <w:pPr>
        <w:pStyle w:val="Heading1"/>
      </w:pPr>
      <w:bookmarkStart w:id="4" w:name="O_939531"/>
      <w:bookmarkEnd w:id="4"/>
      <w:r w:rsidRPr="00BA2E1A">
        <w:t>Competency Field</w:t>
      </w:r>
    </w:p>
    <w:p w:rsidR="00000000" w:rsidRPr="00BA2E1A" w:rsidP="00236AD9">
      <w:pPr>
        <w:pStyle w:val="BodyText"/>
      </w:pPr>
      <w:r w:rsidRPr="00BA2E1A">
        <w:t>Trade measurement</w:t>
      </w:r>
    </w:p>
    <w:p w:rsidR="00000000" w:rsidRPr="00BA2E1A" w:rsidP="00BA2E1A">
      <w:pPr>
        <w:pStyle w:val="Heading1"/>
      </w:pPr>
      <w:bookmarkStart w:id="5" w:name="O_939530"/>
      <w:bookmarkEnd w:id="5"/>
      <w:r w:rsidRPr="00BA2E1A">
        <w:t>Unit Se</w:t>
      </w:r>
      <w:r w:rsidRPr="00BA2E1A">
        <w:t>ctor</w:t>
      </w:r>
    </w:p>
    <w:p w:rsidR="00000000" w:rsidRPr="00BA2E1A" w:rsidP="00BA2E1A">
      <w:pPr>
        <w:pStyle w:val="Heading1"/>
      </w:pPr>
      <w:bookmarkStart w:id="6" w:name="O_939529"/>
      <w:bookmarkEnd w:id="6"/>
      <w:r w:rsidRPr="00BA2E1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A2E1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 xml:space="preserve">Elements describe the </w:t>
            </w:r>
            <w:r w:rsidRPr="00BA2E1A">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 xml:space="preserve">Performance criteria describe the performance needed to </w:t>
            </w:r>
            <w:r w:rsidRPr="00BA2E1A">
              <w:t>demonstrate achievement of the element</w:t>
            </w:r>
          </w:p>
        </w:tc>
      </w:tr>
      <w:tr w:rsidTr="00BA2E1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BA2E1A">
            <w:pPr>
              <w:pStyle w:val="BodyText"/>
              <w:rPr>
                <w:lang w:val="en-NZ"/>
              </w:rPr>
            </w:pP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1</w:t>
            </w:r>
          </w:p>
        </w:tc>
        <w:tc>
          <w:tcPr>
            <w:tcW w:w="1962" w:type="dxa"/>
            <w:vMerge w:val="restart"/>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Maintain reference standard integrity</w:t>
            </w: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1.1</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Identify environmental issues that may impact on reference standard integrity and implement appropriate control strategies</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1.2</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Store, transport and handle reference standards in accordance with organisational procedures and industry best practice</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1.3</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Quarantine and report damaged or compromised reference standards in accordance with organisational procedures</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1.4</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Plan and organise reference standard maintenance and calibration in accordance with legislative requirements and organisational procedures</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1.5</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Update maintenance and calibration records in accordance with organisational procedures</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1.6</w:t>
            </w:r>
          </w:p>
        </w:tc>
        <w:tc>
          <w:tcPr>
            <w:tcW w:w="5610" w:type="dxa"/>
            <w:tcBorders>
              <w:top w:val="nil"/>
              <w:left w:val="nil"/>
              <w:bottom w:val="nil"/>
              <w:right w:val="nil"/>
            </w:tcBorders>
            <w:tcMar>
              <w:top w:w="0" w:type="dxa"/>
              <w:left w:w="62" w:type="dxa"/>
              <w:bottom w:w="0" w:type="dxa"/>
              <w:right w:w="62" w:type="dxa"/>
            </w:tcMar>
          </w:tcPr>
          <w:p w:rsidR="00000000" w:rsidRPr="00BA2E1A" w:rsidP="00BA2E1A">
            <w:pPr>
              <w:pStyle w:val="BodyText"/>
            </w:pPr>
            <w:r w:rsidRPr="00BA2E1A">
              <w:t>Ensure that personnel assisting with the activity use correct handling procedures for reference standards</w:t>
            </w:r>
          </w:p>
        </w:tc>
      </w:tr>
    </w:tbl>
    <w:p w:rsidR="00000000" w:rsidRPr="00BA2E1A" w:rsidP="00BA2E1A">
      <w:pPr>
        <w:pStyle w:val="BodyText"/>
      </w:pPr>
    </w:p>
    <w:tbl>
      <w:tblPr>
        <w:tblW w:w="0" w:type="auto"/>
        <w:tblLayout w:type="fixed"/>
        <w:tblCellMar>
          <w:left w:w="62" w:type="dxa"/>
          <w:right w:w="62" w:type="dxa"/>
        </w:tblCellMar>
        <w:tblLook w:val="0000"/>
      </w:tblPr>
      <w:tblGrid>
        <w:gridCol w:w="678"/>
        <w:gridCol w:w="1962"/>
        <w:gridCol w:w="770"/>
        <w:gridCol w:w="5610"/>
      </w:tblGrid>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2</w:t>
            </w:r>
          </w:p>
        </w:tc>
        <w:tc>
          <w:tcPr>
            <w:tcW w:w="1962" w:type="dxa"/>
            <w:vMerge w:val="restart"/>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Select appropriate reference standards</w:t>
            </w: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2.1</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Identify the scope and expected outcomes of the planned activity</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2.2</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Identify and access reference standards appropriate to the activity</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2.3</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Evaluate reference standard limitations associated with the activity and operating environment</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2.4</w:t>
            </w:r>
          </w:p>
        </w:tc>
        <w:tc>
          <w:tcPr>
            <w:tcW w:w="5610" w:type="dxa"/>
            <w:tcBorders>
              <w:top w:val="nil"/>
              <w:left w:val="nil"/>
              <w:bottom w:val="nil"/>
              <w:right w:val="nil"/>
            </w:tcBorders>
            <w:tcMar>
              <w:top w:w="0" w:type="dxa"/>
              <w:left w:w="62" w:type="dxa"/>
              <w:bottom w:w="0" w:type="dxa"/>
              <w:right w:w="62" w:type="dxa"/>
            </w:tcMar>
          </w:tcPr>
          <w:p w:rsidR="00000000" w:rsidRPr="00BA2E1A" w:rsidP="00BA2E1A">
            <w:pPr>
              <w:pStyle w:val="BodyText"/>
            </w:pPr>
            <w:r w:rsidRPr="00BA2E1A">
              <w:t>Validate reference standard suitability against the activity scope and expected outcomes in accordance with legislative requirements and organisational policy and procedures</w:t>
            </w:r>
          </w:p>
        </w:tc>
      </w:tr>
    </w:tbl>
    <w:p w:rsidR="00000000" w:rsidRPr="00BA2E1A" w:rsidP="00BA2E1A">
      <w:pPr>
        <w:pStyle w:val="BodyText"/>
      </w:pPr>
    </w:p>
    <w:tbl>
      <w:tblPr>
        <w:tblW w:w="0" w:type="auto"/>
        <w:tblLayout w:type="fixed"/>
        <w:tblCellMar>
          <w:left w:w="62" w:type="dxa"/>
          <w:right w:w="62" w:type="dxa"/>
        </w:tblCellMar>
        <w:tblLook w:val="0000"/>
      </w:tblPr>
      <w:tblGrid>
        <w:gridCol w:w="678"/>
        <w:gridCol w:w="1962"/>
        <w:gridCol w:w="770"/>
        <w:gridCol w:w="5610"/>
      </w:tblGrid>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3</w:t>
            </w:r>
          </w:p>
        </w:tc>
        <w:tc>
          <w:tcPr>
            <w:tcW w:w="1962" w:type="dxa"/>
            <w:vMerge w:val="restart"/>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Use reference standards</w:t>
            </w: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3.1</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Review the expected outcomes for the activity</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3</w:t>
            </w:r>
            <w:r w:rsidRPr="00BA2E1A">
              <w:t>.2</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Access and interpret reference standard Certificates of Verification and measurement reports</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3.3</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 xml:space="preserve">Condition the reference standard as required to produce </w:t>
            </w:r>
            <w:r w:rsidRPr="00BA2E1A">
              <w:t>consistent and accurate measurements</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3.4</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Identify, interpret and apply reference standard corrections as required</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3.5</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Assess the results of the activity against the prescribed performance criteria</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3.6</w:t>
            </w:r>
          </w:p>
        </w:tc>
        <w:tc>
          <w:tcPr>
            <w:tcW w:w="5610" w:type="dxa"/>
            <w:tcBorders>
              <w:top w:val="nil"/>
              <w:left w:val="nil"/>
              <w:bottom w:val="nil"/>
              <w:right w:val="nil"/>
            </w:tcBorders>
            <w:tcMar>
              <w:top w:w="0" w:type="dxa"/>
              <w:left w:w="62" w:type="dxa"/>
              <w:bottom w:w="0" w:type="dxa"/>
              <w:right w:w="62" w:type="dxa"/>
            </w:tcMar>
          </w:tcPr>
          <w:p w:rsidR="00000000" w:rsidRPr="00BA2E1A" w:rsidP="00BA2E1A">
            <w:pPr>
              <w:pStyle w:val="BodyText"/>
            </w:pPr>
            <w:r w:rsidRPr="00BA2E1A">
              <w:t>Analyse any variances from the expected outcomes to identify any isolated or systemic prob</w:t>
            </w:r>
            <w:r w:rsidRPr="00BA2E1A">
              <w:t>lems linked to the reference standard or its use</w:t>
            </w:r>
          </w:p>
        </w:tc>
      </w:tr>
    </w:tbl>
    <w:p w:rsidR="00000000" w:rsidRPr="00BA2E1A" w:rsidP="00BA2E1A">
      <w:pPr>
        <w:pStyle w:val="BodyText"/>
      </w:pPr>
    </w:p>
    <w:tbl>
      <w:tblPr>
        <w:tblW w:w="0" w:type="auto"/>
        <w:tblLayout w:type="fixed"/>
        <w:tblCellMar>
          <w:left w:w="62" w:type="dxa"/>
          <w:right w:w="62" w:type="dxa"/>
        </w:tblCellMar>
        <w:tblLook w:val="0000"/>
      </w:tblPr>
      <w:tblGrid>
        <w:gridCol w:w="678"/>
        <w:gridCol w:w="1962"/>
        <w:gridCol w:w="770"/>
        <w:gridCol w:w="5610"/>
      </w:tblGrid>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4</w:t>
            </w:r>
          </w:p>
        </w:tc>
        <w:tc>
          <w:tcPr>
            <w:tcW w:w="1962" w:type="dxa"/>
            <w:vMerge w:val="restart"/>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4.1</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Use established safe work practices and personal protective equipment to ensure personal safety and that of other personnel</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4.2</w:t>
            </w:r>
          </w:p>
        </w:tc>
        <w:tc>
          <w:tcPr>
            <w:tcW w:w="561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Identify relevant local workplace, health and safety issues and implement appropriate control strategies</w:t>
            </w:r>
          </w:p>
        </w:tc>
      </w:tr>
      <w:tr w:rsidTr="00BA2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4.3</w:t>
            </w:r>
          </w:p>
        </w:tc>
        <w:tc>
          <w:tcPr>
            <w:tcW w:w="5610" w:type="dxa"/>
            <w:tcBorders>
              <w:top w:val="nil"/>
              <w:left w:val="nil"/>
              <w:bottom w:val="nil"/>
              <w:right w:val="nil"/>
            </w:tcBorders>
            <w:tcMar>
              <w:top w:w="0" w:type="dxa"/>
              <w:left w:w="62" w:type="dxa"/>
              <w:bottom w:w="0" w:type="dxa"/>
              <w:right w:w="62" w:type="dxa"/>
            </w:tcMar>
          </w:tcPr>
          <w:p w:rsidR="00000000" w:rsidRPr="00BA2E1A" w:rsidP="00BA2E1A">
            <w:pPr>
              <w:pStyle w:val="BodyText"/>
            </w:pPr>
            <w:r w:rsidRPr="00BA2E1A">
              <w:t>Handle reference standards safely in accordance with applicable legislation and organisational procedures</w:t>
            </w:r>
          </w:p>
        </w:tc>
      </w:tr>
    </w:tbl>
    <w:p w:rsidR="00000000" w:rsidRPr="00BA2E1A" w:rsidP="00BA2E1A">
      <w:pPr>
        <w:pStyle w:val="BodyText"/>
      </w:pPr>
    </w:p>
    <w:p w:rsidR="00000000" w:rsidRPr="00BA2E1A" w:rsidP="00BA2E1A">
      <w:pPr>
        <w:pStyle w:val="AllowPageBreak"/>
      </w:pPr>
    </w:p>
    <w:p w:rsidR="00000000" w:rsidRPr="00BA2E1A" w:rsidP="00BA2E1A">
      <w:pPr>
        <w:pStyle w:val="Heading1"/>
      </w:pPr>
      <w:bookmarkStart w:id="7" w:name="O_939528"/>
      <w:bookmarkEnd w:id="7"/>
      <w:r w:rsidRPr="00BA2E1A">
        <w:t>Foundation Skills</w:t>
      </w:r>
    </w:p>
    <w:p w:rsidR="00000000" w:rsidRPr="00BA2E1A" w:rsidP="00236AD9">
      <w:pPr>
        <w:pStyle w:val="BodyText"/>
      </w:pPr>
      <w:r w:rsidRPr="00BA2E1A">
        <w:t>This section describes those language, literacy, numeracy and employment skills that are essential to performance.</w:t>
      </w:r>
    </w:p>
    <w:p w:rsidR="00000000" w:rsidRPr="00BA2E1A" w:rsidP="00236AD9">
      <w:pPr>
        <w:pStyle w:val="BodyText"/>
      </w:pPr>
      <w:r w:rsidRPr="00BA2E1A">
        <w:t>Foundation skills essential to performance are explicit in the performance criteria of this unit of competency.</w:t>
      </w:r>
    </w:p>
    <w:p w:rsidR="00000000" w:rsidRPr="00BA2E1A" w:rsidP="00BA2E1A">
      <w:pPr>
        <w:pStyle w:val="Heading1"/>
      </w:pPr>
      <w:bookmarkStart w:id="8" w:name="O_939527"/>
      <w:bookmarkEnd w:id="8"/>
      <w:r w:rsidRPr="00BA2E1A">
        <w:t>Range of Co</w:t>
      </w:r>
      <w:r w:rsidRPr="00BA2E1A">
        <w:t>nditions</w:t>
      </w:r>
    </w:p>
    <w:tbl>
      <w:tblPr>
        <w:tblW w:w="0" w:type="auto"/>
        <w:tblLayout w:type="fixed"/>
        <w:tblCellMar>
          <w:left w:w="62" w:type="dxa"/>
          <w:right w:w="62" w:type="dxa"/>
        </w:tblCellMar>
        <w:tblLook w:val="0000"/>
      </w:tblPr>
      <w:tblGrid>
        <w:gridCol w:w="2780"/>
        <w:gridCol w:w="6292"/>
      </w:tblGrid>
      <w:tr w:rsidTr="00BA2E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t>This field allows for different work environments and conditions that may affect performance. Essential operating conditions that may be present (depending on the work situation, needs of the candidate, accessibility of the item, and local industr</w:t>
            </w:r>
            <w:r w:rsidRPr="00BA2E1A">
              <w:t>y and regional contexts) are included.</w:t>
            </w:r>
          </w:p>
        </w:tc>
      </w:tr>
      <w:tr w:rsidTr="00BA2E1A">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rPr>
                <w:rStyle w:val="SpecialBold"/>
              </w:rPr>
              <w:t>Procedures include one or more of:</w:t>
            </w:r>
          </w:p>
        </w:tc>
        <w:tc>
          <w:tcPr>
            <w:tcW w:w="6292" w:type="dxa"/>
            <w:tcBorders>
              <w:top w:val="nil"/>
              <w:left w:val="nil"/>
              <w:bottom w:val="nil"/>
              <w:right w:val="nil"/>
            </w:tcBorders>
            <w:tcMar>
              <w:top w:w="0" w:type="dxa"/>
              <w:left w:w="62" w:type="dxa"/>
              <w:bottom w:w="0" w:type="dxa"/>
              <w:right w:w="62" w:type="dxa"/>
            </w:tcMar>
          </w:tcPr>
          <w:p w:rsidR="00000000" w:rsidRPr="00BA2E1A" w:rsidP="00BA2E1A">
            <w:pPr>
              <w:pStyle w:val="ListBullet"/>
            </w:pPr>
            <w:r w:rsidRPr="00BA2E1A">
              <w:t>National Instrument Test Procedures prescribed by the NMI</w:t>
            </w:r>
          </w:p>
          <w:p w:rsidR="00000000" w:rsidRPr="00BA2E1A" w:rsidP="00BA2E1A">
            <w:pPr>
              <w:pStyle w:val="ListBullet"/>
            </w:pPr>
            <w:r w:rsidRPr="00BA2E1A">
              <w:t>article measurement procedures</w:t>
            </w:r>
          </w:p>
          <w:p w:rsidR="00000000" w:rsidRPr="00BA2E1A" w:rsidP="00BA2E1A">
            <w:pPr>
              <w:pStyle w:val="ListBullet"/>
            </w:pPr>
            <w:r w:rsidRPr="00BA2E1A">
              <w:t>any other test procedure prescribed by the NMI</w:t>
            </w:r>
          </w:p>
          <w:p w:rsidR="00000000" w:rsidP="00BA2E1A">
            <w:pPr>
              <w:pStyle w:val="BodyText"/>
              <w:rPr>
                <w:lang w:val="en-NZ"/>
              </w:rPr>
            </w:pPr>
          </w:p>
        </w:tc>
      </w:tr>
      <w:tr w:rsidTr="00BA2E1A">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rPr>
                <w:rStyle w:val="SpecialBold"/>
              </w:rPr>
              <w:t>Regulatory requirements include:</w:t>
            </w:r>
          </w:p>
        </w:tc>
        <w:tc>
          <w:tcPr>
            <w:tcW w:w="6292" w:type="dxa"/>
            <w:tcBorders>
              <w:top w:val="nil"/>
              <w:left w:val="nil"/>
              <w:bottom w:val="nil"/>
              <w:right w:val="nil"/>
            </w:tcBorders>
            <w:tcMar>
              <w:top w:w="0" w:type="dxa"/>
              <w:left w:w="62" w:type="dxa"/>
              <w:bottom w:w="0" w:type="dxa"/>
              <w:right w:w="62" w:type="dxa"/>
            </w:tcMar>
          </w:tcPr>
          <w:p w:rsidR="00000000" w:rsidRPr="00BA2E1A" w:rsidP="00BA2E1A">
            <w:pPr>
              <w:pStyle w:val="ListBullet"/>
            </w:pPr>
            <w:r w:rsidRPr="00BA2E1A">
              <w:t>Regulation 13 or 48 Certificates for each reference standard</w:t>
            </w:r>
          </w:p>
          <w:p w:rsidR="00000000" w:rsidP="00BA2E1A">
            <w:pPr>
              <w:pStyle w:val="BodyText"/>
              <w:rPr>
                <w:lang w:val="en-NZ"/>
              </w:rPr>
            </w:pPr>
          </w:p>
        </w:tc>
      </w:tr>
      <w:tr w:rsidTr="00BA2E1A">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rPr>
                <w:rStyle w:val="SpecialBold"/>
              </w:rPr>
              <w:t>Legislation includes:</w:t>
            </w:r>
          </w:p>
        </w:tc>
        <w:tc>
          <w:tcPr>
            <w:tcW w:w="6292" w:type="dxa"/>
            <w:tcBorders>
              <w:top w:val="nil"/>
              <w:left w:val="nil"/>
              <w:bottom w:val="nil"/>
              <w:right w:val="nil"/>
            </w:tcBorders>
            <w:tcMar>
              <w:top w:w="0" w:type="dxa"/>
              <w:left w:w="62" w:type="dxa"/>
              <w:bottom w:w="0" w:type="dxa"/>
              <w:right w:w="62" w:type="dxa"/>
            </w:tcMar>
          </w:tcPr>
          <w:p w:rsidR="00000000" w:rsidRPr="00BA2E1A" w:rsidP="00BA2E1A">
            <w:pPr>
              <w:pStyle w:val="ListBullet"/>
            </w:pPr>
            <w:r w:rsidRPr="00BA2E1A">
              <w:t>national measurement legislation</w:t>
            </w:r>
          </w:p>
          <w:p w:rsidR="00000000" w:rsidRPr="00BA2E1A" w:rsidP="00BA2E1A">
            <w:pPr>
              <w:pStyle w:val="ListBullet"/>
            </w:pPr>
            <w:r w:rsidRPr="00BA2E1A">
              <w:t>applicable Commonwealth, state and territory work/occupational health and safety (WHS/OHS) legislation</w:t>
            </w:r>
          </w:p>
          <w:p w:rsidR="00000000" w:rsidP="00BA2E1A">
            <w:pPr>
              <w:pStyle w:val="BodyText"/>
              <w:rPr>
                <w:lang w:val="en-NZ"/>
              </w:rPr>
            </w:pPr>
          </w:p>
        </w:tc>
      </w:tr>
      <w:tr w:rsidTr="00BA2E1A">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rPr>
                <w:rStyle w:val="SpecialBold"/>
              </w:rPr>
              <w:t>NMI guidance includes:</w:t>
            </w:r>
          </w:p>
        </w:tc>
        <w:tc>
          <w:tcPr>
            <w:tcW w:w="6292" w:type="dxa"/>
            <w:tcBorders>
              <w:top w:val="nil"/>
              <w:left w:val="nil"/>
              <w:bottom w:val="nil"/>
              <w:right w:val="nil"/>
            </w:tcBorders>
            <w:tcMar>
              <w:top w:w="0" w:type="dxa"/>
              <w:left w:w="62" w:type="dxa"/>
              <w:bottom w:w="0" w:type="dxa"/>
              <w:right w:w="62" w:type="dxa"/>
            </w:tcMar>
          </w:tcPr>
          <w:p w:rsidR="00000000" w:rsidRPr="00BA2E1A" w:rsidP="00BA2E1A">
            <w:pPr>
              <w:pStyle w:val="ListBullet"/>
            </w:pPr>
            <w:r w:rsidRPr="00BA2E1A">
              <w:t>bulletin</w:t>
            </w:r>
            <w:r w:rsidRPr="00BA2E1A">
              <w:t>s</w:t>
            </w:r>
          </w:p>
          <w:p w:rsidR="00000000" w:rsidRPr="00BA2E1A" w:rsidP="00BA2E1A">
            <w:pPr>
              <w:pStyle w:val="ListBullet"/>
            </w:pPr>
            <w:r w:rsidRPr="00BA2E1A">
              <w:t>instructions</w:t>
            </w:r>
          </w:p>
          <w:p w:rsidR="00000000" w:rsidRPr="00BA2E1A" w:rsidP="00BA2E1A">
            <w:pPr>
              <w:pStyle w:val="ListBullet"/>
            </w:pPr>
            <w:r w:rsidRPr="00BA2E1A">
              <w:t>determinations</w:t>
            </w:r>
          </w:p>
          <w:p w:rsidR="00000000" w:rsidRPr="00BA2E1A" w:rsidP="00BA2E1A">
            <w:pPr>
              <w:pStyle w:val="ListBullet"/>
            </w:pPr>
            <w:r w:rsidRPr="00BA2E1A">
              <w:t>updates</w:t>
            </w:r>
          </w:p>
          <w:p w:rsidR="00000000" w:rsidP="00BA2E1A">
            <w:pPr>
              <w:pStyle w:val="BodyText"/>
              <w:rPr>
                <w:lang w:val="en-NZ"/>
              </w:rPr>
            </w:pPr>
          </w:p>
        </w:tc>
      </w:tr>
      <w:tr w:rsidTr="00BA2E1A">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BA2E1A">
            <w:pPr>
              <w:pStyle w:val="BodyText"/>
              <w:rPr>
                <w:lang w:val="en-NZ"/>
              </w:rPr>
            </w:pPr>
            <w:r w:rsidRPr="00BA2E1A">
              <w:rPr>
                <w:rStyle w:val="SpecialBold"/>
              </w:rPr>
              <w:t>WHS/OHS and environmental management requirements include:</w:t>
            </w:r>
          </w:p>
        </w:tc>
        <w:tc>
          <w:tcPr>
            <w:tcW w:w="6292" w:type="dxa"/>
            <w:tcBorders>
              <w:top w:val="nil"/>
              <w:left w:val="nil"/>
              <w:bottom w:val="nil"/>
              <w:right w:val="nil"/>
            </w:tcBorders>
            <w:tcMar>
              <w:top w:w="0" w:type="dxa"/>
              <w:left w:w="62" w:type="dxa"/>
              <w:bottom w:w="0" w:type="dxa"/>
              <w:right w:w="62" w:type="dxa"/>
            </w:tcMar>
          </w:tcPr>
          <w:p w:rsidR="00000000" w:rsidRPr="00BA2E1A" w:rsidP="00BA2E1A">
            <w:pPr>
              <w:pStyle w:val="ListBullet"/>
            </w:pPr>
            <w:r w:rsidRPr="00BA2E1A">
              <w:t xml:space="preserve">complying with WHS/OHS and environmental management requirements at all times, which </w:t>
            </w:r>
            <w:r w:rsidRPr="00BA2E1A">
              <w:t>may be imposed through state/territory or federal legislation. These requirements must not be compromised at any time</w:t>
            </w:r>
          </w:p>
          <w:p w:rsidR="00000000" w:rsidRPr="00BA2E1A" w:rsidP="00BA2E1A">
            <w:pPr>
              <w:pStyle w:val="ListBullet"/>
            </w:pPr>
            <w:r w:rsidRPr="00BA2E1A">
              <w:t>applying standard precautions relating to the potentially hazardous nature of material/product measured</w:t>
            </w:r>
          </w:p>
          <w:p w:rsidR="00000000" w:rsidRPr="00BA2E1A" w:rsidP="00BA2E1A">
            <w:pPr>
              <w:pStyle w:val="ListBullet"/>
            </w:pPr>
            <w:r w:rsidRPr="00BA2E1A">
              <w:t>applying any necessary hygiene con</w:t>
            </w:r>
            <w:r w:rsidRPr="00BA2E1A">
              <w:t>trols</w:t>
            </w:r>
          </w:p>
          <w:p w:rsidR="00000000" w:rsidRPr="00BA2E1A" w:rsidP="00BA2E1A">
            <w:pPr>
              <w:pStyle w:val="BodyText"/>
            </w:pPr>
          </w:p>
        </w:tc>
      </w:tr>
    </w:tbl>
    <w:p w:rsidR="00000000" w:rsidRPr="00BA2E1A" w:rsidP="00BA2E1A">
      <w:pPr>
        <w:pStyle w:val="BodyText"/>
      </w:pPr>
    </w:p>
    <w:p w:rsidR="00000000" w:rsidRPr="00BA2E1A" w:rsidP="00BA2E1A">
      <w:pPr>
        <w:pStyle w:val="AllowPageBreak"/>
      </w:pPr>
    </w:p>
    <w:p w:rsidR="00000000" w:rsidRPr="00BA2E1A" w:rsidP="00BA2E1A">
      <w:pPr>
        <w:pStyle w:val="Heading1"/>
      </w:pPr>
      <w:bookmarkStart w:id="9" w:name="O_939526"/>
      <w:bookmarkEnd w:id="9"/>
      <w:r w:rsidRPr="00BA2E1A">
        <w:t>Unit Mapping Information</w:t>
      </w:r>
    </w:p>
    <w:p w:rsidR="00000000" w:rsidRPr="00BA2E1A" w:rsidP="00236AD9">
      <w:pPr>
        <w:pStyle w:val="BodyText"/>
      </w:pPr>
      <w:r w:rsidRPr="00BA2E1A">
        <w:t>Release 2. Adjustments to Application and Range of Conditions. Adjustment to Assessment Conditions. Equivalent.</w:t>
      </w:r>
    </w:p>
    <w:p w:rsidR="00000000" w:rsidRPr="00BA2E1A" w:rsidP="00236AD9">
      <w:pPr>
        <w:pStyle w:val="BodyText"/>
      </w:pPr>
      <w:r w:rsidRPr="00BA2E1A">
        <w:t>Release 1. Supersedes and is equivalent to MSATMREF301A Use and maintain reference standards</w:t>
      </w:r>
    </w:p>
    <w:p w:rsidR="00000000" w:rsidRPr="00BA2E1A" w:rsidP="00BA2E1A">
      <w:pPr>
        <w:pStyle w:val="Heading1"/>
      </w:pPr>
      <w:bookmarkStart w:id="10" w:name="O_939535"/>
      <w:bookmarkEnd w:id="10"/>
      <w:r w:rsidRPr="00BA2E1A">
        <w:t>Links</w:t>
      </w:r>
    </w:p>
    <w:p w:rsidR="00000000" w:rsidRPr="00BA2E1A" w:rsidP="00236AD9">
      <w:pPr>
        <w:pStyle w:val="BodyText"/>
      </w:pPr>
      <w:r w:rsidRPr="00BA2E1A">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F49B3">
        <w:rPr>
          <w:rStyle w:val="Hyperlink"/>
        </w:rPr>
        <w:t>https://vetnet.gov.au/Pages/TrainingDocs.aspx?q=d1287d36-dff4-4e9f-ad2c-9d6270054027</w:t>
      </w:r>
      <w:r>
        <w:fldChar w:fldCharType="end"/>
      </w:r>
    </w:p>
    <w:p w:rsidR="00000000" w:rsidRPr="00BA2E1A" w:rsidP="00BA2E1A"/>
    <w:sectPr w:rsidSect="00BA2E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1A" w:rsidRPr="00236AD9" w:rsidP="00236A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D9" w:rsidP="00BA2E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6AD9" w:rsidP="00BA2E1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6AD9" w:rsidP="00BA2E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E1A" w:rsidRPr="00236AD9" w:rsidP="00236A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D9" w:rsidRPr="002D2AF8" w:rsidP="00BA2E1A">
    <w:pPr>
      <w:pStyle w:val="Header"/>
      <w:framePr w:wrap="around"/>
    </w:pPr>
    <w:r>
      <w:fldChar w:fldCharType="begin"/>
    </w:r>
    <w:r>
      <w:instrText xml:space="preserve"> TITLE   \* MERGEFORMAT </w:instrText>
    </w:r>
    <w:r>
      <w:fldChar w:fldCharType="separate"/>
    </w:r>
    <w:r>
      <w:t>MSMTMREF301 Use and maintain reference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36AD9" w:rsidP="00BA2E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2284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68FF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E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E1A"/>
    <w:pPr>
      <w:spacing w:before="360" w:after="60"/>
      <w:outlineLvl w:val="0"/>
    </w:pPr>
    <w:rPr>
      <w:sz w:val="32"/>
    </w:rPr>
  </w:style>
  <w:style w:type="paragraph" w:styleId="Heading2">
    <w:name w:val="heading 2"/>
    <w:basedOn w:val="HeadingBase"/>
    <w:next w:val="BodyText"/>
    <w:link w:val="Heading2Char"/>
    <w:qFormat/>
    <w:rsid w:val="00BA2E1A"/>
    <w:pPr>
      <w:keepLines/>
      <w:spacing w:before="240" w:after="120"/>
      <w:outlineLvl w:val="1"/>
    </w:pPr>
    <w:rPr>
      <w:sz w:val="28"/>
      <w:szCs w:val="40"/>
    </w:rPr>
  </w:style>
  <w:style w:type="paragraph" w:styleId="Heading3">
    <w:name w:val="heading 3"/>
    <w:basedOn w:val="HeadingBase"/>
    <w:next w:val="BodyText"/>
    <w:link w:val="Heading3Char"/>
    <w:qFormat/>
    <w:rsid w:val="00BA2E1A"/>
    <w:pPr>
      <w:spacing w:before="180" w:after="120"/>
      <w:outlineLvl w:val="2"/>
    </w:pPr>
    <w:rPr>
      <w:spacing w:val="-10"/>
      <w:kern w:val="32"/>
    </w:rPr>
  </w:style>
  <w:style w:type="paragraph" w:styleId="Heading4">
    <w:name w:val="heading 4"/>
    <w:basedOn w:val="HeadingBase"/>
    <w:next w:val="BodyText"/>
    <w:link w:val="Heading4Char"/>
    <w:qFormat/>
    <w:rsid w:val="00BA2E1A"/>
    <w:pPr>
      <w:spacing w:before="160" w:after="120"/>
      <w:outlineLvl w:val="3"/>
    </w:pPr>
    <w:rPr>
      <w:sz w:val="22"/>
    </w:rPr>
  </w:style>
  <w:style w:type="paragraph" w:styleId="Heading5">
    <w:name w:val="heading 5"/>
    <w:basedOn w:val="HeadingBase"/>
    <w:next w:val="Normal"/>
    <w:link w:val="Heading5Char"/>
    <w:qFormat/>
    <w:rsid w:val="00BA2E1A"/>
    <w:pPr>
      <w:spacing w:before="80"/>
      <w:outlineLvl w:val="4"/>
    </w:pPr>
    <w:rPr>
      <w:color w:val="918585"/>
      <w:sz w:val="20"/>
    </w:rPr>
  </w:style>
  <w:style w:type="paragraph" w:styleId="Heading6">
    <w:name w:val="heading 6"/>
    <w:basedOn w:val="HeadingBase"/>
    <w:next w:val="Normal"/>
    <w:link w:val="Heading6Char"/>
    <w:qFormat/>
    <w:rsid w:val="00BA2E1A"/>
    <w:pPr>
      <w:spacing w:before="60"/>
      <w:outlineLvl w:val="5"/>
    </w:pPr>
    <w:rPr>
      <w:color w:val="918585"/>
      <w:sz w:val="20"/>
    </w:rPr>
  </w:style>
  <w:style w:type="paragraph" w:styleId="Heading7">
    <w:name w:val="heading 7"/>
    <w:basedOn w:val="Normal"/>
    <w:next w:val="Normal"/>
    <w:link w:val="Heading7Char"/>
    <w:qFormat/>
    <w:rsid w:val="00BA2E1A"/>
    <w:pPr>
      <w:ind w:left="720"/>
      <w:outlineLvl w:val="6"/>
    </w:pPr>
    <w:rPr>
      <w:i/>
    </w:rPr>
  </w:style>
  <w:style w:type="paragraph" w:styleId="Heading8">
    <w:name w:val="heading 8"/>
    <w:basedOn w:val="Normal"/>
    <w:next w:val="Normal"/>
    <w:link w:val="Heading8Char"/>
    <w:qFormat/>
    <w:rsid w:val="00BA2E1A"/>
    <w:pPr>
      <w:ind w:left="720"/>
      <w:outlineLvl w:val="7"/>
    </w:pPr>
    <w:rPr>
      <w:i/>
    </w:rPr>
  </w:style>
  <w:style w:type="paragraph" w:styleId="Heading9">
    <w:name w:val="heading 9"/>
    <w:basedOn w:val="Normal"/>
    <w:next w:val="Normal"/>
    <w:link w:val="Heading9Char"/>
    <w:qFormat/>
    <w:rsid w:val="00BA2E1A"/>
    <w:pPr>
      <w:ind w:left="720"/>
      <w:outlineLvl w:val="8"/>
    </w:pPr>
    <w:rPr>
      <w:i/>
    </w:rPr>
  </w:style>
  <w:style w:type="character" w:default="1" w:styleId="DefaultParagraphFont">
    <w:name w:val="Default Paragraph Font"/>
    <w:uiPriority w:val="1"/>
    <w:unhideWhenUsed/>
    <w:rsid w:val="00BA2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E1A"/>
  </w:style>
  <w:style w:type="character" w:customStyle="1" w:styleId="Heading1Char">
    <w:name w:val="Heading 1 Char"/>
    <w:basedOn w:val="DefaultParagraphFont"/>
    <w:link w:val="Heading1"/>
    <w:rsid w:val="00BA2E1A"/>
    <w:rPr>
      <w:rFonts w:ascii="Times New Roman" w:eastAsia="Times New Roman" w:hAnsi="Times New Roman" w:cs="Times New Roman"/>
      <w:b/>
      <w:sz w:val="32"/>
      <w:szCs w:val="20"/>
      <w:lang w:eastAsia="en-US"/>
    </w:rPr>
  </w:style>
  <w:style w:type="paragraph" w:styleId="BodyText">
    <w:name w:val="Body Text"/>
    <w:basedOn w:val="Normal"/>
    <w:link w:val="BodyTextChar"/>
    <w:rsid w:val="00BA2E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E1A"/>
    <w:rPr>
      <w:rFonts w:ascii="Times New Roman" w:eastAsia="Times New Roman" w:hAnsi="Times New Roman" w:cs="Times New Roman"/>
      <w:sz w:val="24"/>
      <w:lang w:eastAsia="en-US"/>
    </w:rPr>
  </w:style>
  <w:style w:type="paragraph" w:styleId="ListBullet">
    <w:name w:val="List Bullet"/>
    <w:basedOn w:val="List"/>
    <w:rsid w:val="00BA2E1A"/>
    <w:pPr>
      <w:numPr>
        <w:numId w:val="11"/>
      </w:numPr>
      <w:tabs>
        <w:tab w:val="clear" w:pos="340"/>
      </w:tabs>
      <w:spacing w:before="40" w:after="40"/>
    </w:pPr>
  </w:style>
  <w:style w:type="character" w:customStyle="1" w:styleId="SpecialBold">
    <w:name w:val="Special Bold"/>
    <w:basedOn w:val="DefaultParagraphFont"/>
    <w:rsid w:val="00BA2E1A"/>
    <w:rPr>
      <w:b/>
      <w:spacing w:val="0"/>
    </w:rPr>
  </w:style>
  <w:style w:type="character" w:styleId="Emphasis">
    <w:name w:val="Emphasis"/>
    <w:basedOn w:val="DefaultParagraphFont"/>
    <w:qFormat/>
    <w:rsid w:val="00BA2E1A"/>
    <w:rPr>
      <w:i/>
    </w:rPr>
  </w:style>
  <w:style w:type="paragraph" w:customStyle="1" w:styleId="SuperHeading">
    <w:name w:val="SuperHeading"/>
    <w:basedOn w:val="Normal"/>
    <w:rsid w:val="00BA2E1A"/>
    <w:pPr>
      <w:spacing w:before="240" w:after="120"/>
      <w:outlineLvl w:val="0"/>
    </w:pPr>
    <w:rPr>
      <w:rFonts w:ascii="Times New Roman" w:hAnsi="Times New Roman"/>
      <w:b/>
      <w:sz w:val="32"/>
    </w:rPr>
  </w:style>
  <w:style w:type="paragraph" w:customStyle="1" w:styleId="AllowPageBreak">
    <w:name w:val="AllowPageBreak"/>
    <w:rsid w:val="00BA2E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2E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E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E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E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E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E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E1A"/>
    <w:rPr>
      <w:rFonts w:ascii="Courier New" w:eastAsia="Times New Roman" w:hAnsi="Courier New" w:cs="Times New Roman"/>
      <w:i/>
      <w:szCs w:val="20"/>
      <w:lang w:eastAsia="en-US"/>
    </w:rPr>
  </w:style>
  <w:style w:type="paragraph" w:customStyle="1" w:styleId="HeadingBase">
    <w:name w:val="Heading Base"/>
    <w:rsid w:val="00BA2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E1A"/>
    <w:pPr>
      <w:tabs>
        <w:tab w:val="right" w:leader="dot" w:pos="9072"/>
      </w:tabs>
      <w:ind w:left="567"/>
    </w:pPr>
    <w:rPr>
      <w:szCs w:val="22"/>
    </w:rPr>
  </w:style>
  <w:style w:type="paragraph" w:customStyle="1" w:styleId="TOCBase">
    <w:name w:val="TOC Base"/>
    <w:rsid w:val="00BA2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E1A"/>
    <w:pPr>
      <w:tabs>
        <w:tab w:val="right" w:leader="dot" w:pos="9072"/>
      </w:tabs>
      <w:spacing w:before="40" w:after="40"/>
      <w:ind w:left="284"/>
    </w:pPr>
    <w:rPr>
      <w:rFonts w:ascii="Times New Roman" w:hAnsi="Times New Roman"/>
    </w:rPr>
  </w:style>
  <w:style w:type="paragraph" w:styleId="TOC1">
    <w:name w:val="toc 1"/>
    <w:basedOn w:val="TOCBase"/>
    <w:next w:val="Normal"/>
    <w:rsid w:val="00BA2E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E1A"/>
    <w:rPr>
      <w:rFonts w:ascii="Times New Roman" w:eastAsia="Times New Roman" w:hAnsi="Times New Roman" w:cs="Times New Roman"/>
      <w:sz w:val="16"/>
      <w:lang w:eastAsia="en-US"/>
    </w:rPr>
  </w:style>
  <w:style w:type="paragraph" w:styleId="Title">
    <w:name w:val="Title"/>
    <w:basedOn w:val="HeadingBase"/>
    <w:link w:val="TitleChar"/>
    <w:qFormat/>
    <w:rsid w:val="00BA2E1A"/>
    <w:pPr>
      <w:spacing w:before="5040"/>
      <w:jc w:val="center"/>
    </w:pPr>
    <w:rPr>
      <w:sz w:val="48"/>
      <w:szCs w:val="72"/>
      <w:lang w:val="en-US"/>
    </w:rPr>
  </w:style>
  <w:style w:type="character" w:customStyle="1" w:styleId="TitleChar">
    <w:name w:val="Title Char"/>
    <w:basedOn w:val="DefaultParagraphFont"/>
    <w:link w:val="Title"/>
    <w:rsid w:val="00BA2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E1A"/>
    <w:pPr>
      <w:tabs>
        <w:tab w:val="left" w:pos="3600"/>
        <w:tab w:val="left" w:pos="3958"/>
      </w:tabs>
    </w:pPr>
  </w:style>
  <w:style w:type="paragraph" w:styleId="List">
    <w:name w:val="List"/>
    <w:basedOn w:val="BodyText"/>
    <w:next w:val="BodyText"/>
    <w:rsid w:val="00BA2E1A"/>
    <w:pPr>
      <w:tabs>
        <w:tab w:val="left" w:pos="340"/>
      </w:tabs>
      <w:spacing w:before="60" w:after="60"/>
      <w:ind w:left="340" w:hanging="340"/>
    </w:pPr>
  </w:style>
  <w:style w:type="paragraph" w:customStyle="1" w:styleId="Note">
    <w:name w:val="Note"/>
    <w:basedOn w:val="BodyText"/>
    <w:rsid w:val="00BA2E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E1A"/>
    <w:pPr>
      <w:framePr w:wrap="auto" w:hAnchor="text" w:y="6049"/>
    </w:pPr>
    <w:rPr>
      <w:color w:val="000000"/>
      <w:sz w:val="40"/>
    </w:rPr>
  </w:style>
  <w:style w:type="paragraph" w:customStyle="1" w:styleId="TOCTitle">
    <w:name w:val="TOCTitle"/>
    <w:basedOn w:val="Heading1"/>
    <w:rsid w:val="00BA2E1A"/>
    <w:pPr>
      <w:spacing w:after="240"/>
      <w:jc w:val="center"/>
      <w:outlineLvl w:val="9"/>
    </w:pPr>
    <w:rPr>
      <w:caps/>
    </w:rPr>
  </w:style>
  <w:style w:type="paragraph" w:customStyle="1" w:styleId="Version">
    <w:name w:val="Version"/>
    <w:rsid w:val="00BA2E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2E1A"/>
    <w:pPr>
      <w:numPr>
        <w:numId w:val="12"/>
      </w:numPr>
      <w:tabs>
        <w:tab w:val="clear" w:pos="680"/>
      </w:tabs>
    </w:pPr>
  </w:style>
  <w:style w:type="paragraph" w:styleId="Index1">
    <w:name w:val="index 1"/>
    <w:basedOn w:val="Normal"/>
    <w:next w:val="Normal"/>
    <w:semiHidden/>
    <w:rsid w:val="00BA2E1A"/>
    <w:pPr>
      <w:keepNext w:val="0"/>
      <w:tabs>
        <w:tab w:val="right" w:pos="4176"/>
      </w:tabs>
      <w:ind w:left="198" w:hanging="198"/>
    </w:pPr>
    <w:rPr>
      <w:rFonts w:ascii="Garamond" w:hAnsi="Garamond"/>
    </w:rPr>
  </w:style>
  <w:style w:type="paragraph" w:styleId="IndexHeading">
    <w:name w:val="index heading"/>
    <w:basedOn w:val="Normal"/>
    <w:next w:val="Index1"/>
    <w:semiHidden/>
    <w:rsid w:val="00BA2E1A"/>
    <w:pPr>
      <w:spacing w:before="120" w:after="120"/>
    </w:pPr>
    <w:rPr>
      <w:rFonts w:ascii="Arial" w:hAnsi="Arial"/>
      <w:b/>
      <w:color w:val="918585"/>
      <w:sz w:val="24"/>
    </w:rPr>
  </w:style>
  <w:style w:type="paragraph" w:styleId="Header">
    <w:name w:val="header"/>
    <w:basedOn w:val="Normal"/>
    <w:link w:val="HeaderChar"/>
    <w:rsid w:val="00BA2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E1A"/>
    <w:rPr>
      <w:rFonts w:ascii="Times New Roman" w:eastAsia="Times New Roman" w:hAnsi="Times New Roman" w:cs="Times New Roman"/>
      <w:sz w:val="16"/>
      <w:szCs w:val="20"/>
      <w:lang w:val="en-GB" w:eastAsia="en-US"/>
    </w:rPr>
  </w:style>
  <w:style w:type="paragraph" w:customStyle="1" w:styleId="Chapter">
    <w:name w:val="Chapter"/>
    <w:basedOn w:val="Normal"/>
    <w:rsid w:val="00BA2E1A"/>
    <w:pPr>
      <w:spacing w:before="240"/>
    </w:pPr>
    <w:rPr>
      <w:rFonts w:ascii="Times New Roman" w:hAnsi="Times New Roman"/>
      <w:smallCaps/>
      <w:spacing w:val="80"/>
      <w:sz w:val="28"/>
    </w:rPr>
  </w:style>
  <w:style w:type="paragraph" w:customStyle="1" w:styleId="InChapter">
    <w:name w:val="InChapter"/>
    <w:basedOn w:val="Heading3"/>
    <w:rsid w:val="00BA2E1A"/>
    <w:pPr>
      <w:spacing w:after="240"/>
      <w:outlineLvl w:val="9"/>
    </w:pPr>
    <w:rPr>
      <w:noProof/>
    </w:rPr>
  </w:style>
  <w:style w:type="paragraph" w:styleId="Index2">
    <w:name w:val="index 2"/>
    <w:basedOn w:val="Normal"/>
    <w:next w:val="Normal"/>
    <w:semiHidden/>
    <w:rsid w:val="00BA2E1A"/>
    <w:pPr>
      <w:tabs>
        <w:tab w:val="right" w:pos="4176"/>
      </w:tabs>
      <w:ind w:left="568" w:hanging="284"/>
    </w:pPr>
    <w:rPr>
      <w:rFonts w:ascii="Garamond" w:hAnsi="Garamond"/>
    </w:rPr>
  </w:style>
  <w:style w:type="paragraph" w:customStyle="1" w:styleId="Byline">
    <w:name w:val="Byline"/>
    <w:rsid w:val="00BA2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E1A"/>
    <w:pPr>
      <w:tabs>
        <w:tab w:val="clear" w:pos="3600"/>
        <w:tab w:val="clear" w:pos="3958"/>
      </w:tabs>
      <w:jc w:val="right"/>
    </w:pPr>
  </w:style>
  <w:style w:type="paragraph" w:styleId="Caption">
    <w:name w:val="caption"/>
    <w:basedOn w:val="BodyText"/>
    <w:next w:val="Normal"/>
    <w:qFormat/>
    <w:rsid w:val="00BA2E1A"/>
    <w:pPr>
      <w:framePr w:w="2268" w:hSpace="181" w:vSpace="181" w:wrap="around" w:vAnchor="text" w:hAnchor="page" w:x="1135" w:y="285" w:anchorLock="1"/>
    </w:pPr>
    <w:rPr>
      <w:i/>
    </w:rPr>
  </w:style>
  <w:style w:type="paragraph" w:customStyle="1" w:styleId="MiniTOCTitle">
    <w:name w:val="MiniTOCTitle"/>
    <w:basedOn w:val="Heading4"/>
    <w:rsid w:val="00BA2E1A"/>
    <w:pPr>
      <w:spacing w:before="240"/>
      <w:outlineLvl w:val="9"/>
    </w:pPr>
    <w:rPr>
      <w:noProof/>
      <w:sz w:val="24"/>
    </w:rPr>
  </w:style>
  <w:style w:type="paragraph" w:customStyle="1" w:styleId="MiniTOCItem">
    <w:name w:val="MiniTOCItem"/>
    <w:basedOn w:val="ListBullet"/>
    <w:rsid w:val="00BA2E1A"/>
    <w:pPr>
      <w:numPr>
        <w:numId w:val="0"/>
      </w:numPr>
      <w:tabs>
        <w:tab w:val="right" w:leader="dot" w:pos="6521"/>
      </w:tabs>
      <w:spacing w:before="0" w:after="0"/>
    </w:pPr>
  </w:style>
  <w:style w:type="paragraph" w:customStyle="1" w:styleId="TOFTitle">
    <w:name w:val="TOFTitle"/>
    <w:basedOn w:val="TOCTitle"/>
    <w:rsid w:val="00BA2E1A"/>
  </w:style>
  <w:style w:type="paragraph" w:styleId="TableofFigures">
    <w:name w:val="table of figures"/>
    <w:basedOn w:val="Normal"/>
    <w:next w:val="Normal"/>
    <w:semiHidden/>
    <w:rsid w:val="00BA2E1A"/>
    <w:pPr>
      <w:tabs>
        <w:tab w:val="right" w:leader="dot" w:pos="9072"/>
      </w:tabs>
      <w:ind w:left="970" w:hanging="403"/>
    </w:pPr>
    <w:rPr>
      <w:rFonts w:ascii="Times New Roman" w:hAnsi="Times New Roman"/>
      <w:b/>
    </w:rPr>
  </w:style>
  <w:style w:type="paragraph" w:styleId="ListNumber">
    <w:name w:val="List Number"/>
    <w:basedOn w:val="List"/>
    <w:rsid w:val="00BA2E1A"/>
    <w:pPr>
      <w:numPr>
        <w:numId w:val="14"/>
      </w:numPr>
      <w:tabs>
        <w:tab w:val="clear" w:pos="340"/>
      </w:tabs>
    </w:pPr>
  </w:style>
  <w:style w:type="character" w:customStyle="1" w:styleId="WingdingSymbols">
    <w:name w:val="Wingding Symbols"/>
    <w:rsid w:val="00BA2E1A"/>
    <w:rPr>
      <w:rFonts w:ascii="Wingdings" w:hAnsi="Wingdings"/>
    </w:rPr>
  </w:style>
  <w:style w:type="paragraph" w:customStyle="1" w:styleId="TableHeading">
    <w:name w:val="Table Heading"/>
    <w:basedOn w:val="HeadingBase"/>
    <w:rsid w:val="00BA2E1A"/>
    <w:pPr>
      <w:keepLines/>
      <w:pBdr>
        <w:bottom w:val="single" w:sz="6" w:space="1" w:color="918585"/>
      </w:pBdr>
      <w:spacing w:before="240"/>
    </w:pPr>
  </w:style>
  <w:style w:type="character" w:customStyle="1" w:styleId="HotSpot">
    <w:name w:val="HotSpot"/>
    <w:rsid w:val="00BA2E1A"/>
    <w:rPr>
      <w:color w:val="0033CC"/>
      <w:u w:val="none"/>
    </w:rPr>
  </w:style>
  <w:style w:type="paragraph" w:customStyle="1" w:styleId="BodyTextRight">
    <w:name w:val="Body Text Right"/>
    <w:basedOn w:val="BodyText"/>
    <w:rsid w:val="00BA2E1A"/>
    <w:pPr>
      <w:spacing w:before="0" w:after="0"/>
      <w:jc w:val="right"/>
    </w:pPr>
  </w:style>
  <w:style w:type="paragraph" w:styleId="Index3">
    <w:name w:val="index 3"/>
    <w:basedOn w:val="ListNumber2"/>
    <w:next w:val="Normal"/>
    <w:semiHidden/>
    <w:rsid w:val="00BA2E1A"/>
    <w:pPr>
      <w:numPr>
        <w:numId w:val="0"/>
      </w:numPr>
      <w:tabs>
        <w:tab w:val="right" w:leader="dot" w:pos="4176"/>
      </w:tabs>
    </w:pPr>
  </w:style>
  <w:style w:type="paragraph" w:styleId="ListNumber2">
    <w:name w:val="List Number 2"/>
    <w:basedOn w:val="List2"/>
    <w:rsid w:val="00BA2E1A"/>
    <w:pPr>
      <w:numPr>
        <w:numId w:val="9"/>
      </w:numPr>
      <w:tabs>
        <w:tab w:val="clear" w:pos="1060"/>
      </w:tabs>
    </w:pPr>
  </w:style>
  <w:style w:type="paragraph" w:customStyle="1" w:styleId="MarginNote">
    <w:name w:val="Margin Note"/>
    <w:basedOn w:val="BodyText"/>
    <w:rsid w:val="00BA2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E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E1A"/>
    <w:rPr>
      <w:sz w:val="32"/>
    </w:rPr>
  </w:style>
  <w:style w:type="paragraph" w:customStyle="1" w:styleId="HeadingProcedure">
    <w:name w:val="Heading Procedure"/>
    <w:basedOn w:val="HeadingBase"/>
    <w:next w:val="Normal"/>
    <w:rsid w:val="00BA2E1A"/>
    <w:pPr>
      <w:tabs>
        <w:tab w:val="left" w:pos="0"/>
      </w:tabs>
      <w:spacing w:before="120" w:after="60"/>
    </w:pPr>
    <w:rPr>
      <w:i/>
      <w:color w:val="918585"/>
      <w:sz w:val="22"/>
    </w:rPr>
  </w:style>
  <w:style w:type="paragraph" w:customStyle="1" w:styleId="TableBodyText">
    <w:name w:val="Table Body Text"/>
    <w:basedOn w:val="BodyText"/>
    <w:rsid w:val="00BA2E1A"/>
    <w:pPr>
      <w:spacing w:before="60" w:after="60"/>
    </w:pPr>
  </w:style>
  <w:style w:type="paragraph" w:styleId="ListContinue">
    <w:name w:val="List Continue"/>
    <w:basedOn w:val="List"/>
    <w:rsid w:val="00BA2E1A"/>
    <w:pPr>
      <w:ind w:firstLine="0"/>
    </w:pPr>
  </w:style>
  <w:style w:type="paragraph" w:customStyle="1" w:styleId="ListNote">
    <w:name w:val="List Note"/>
    <w:basedOn w:val="List"/>
    <w:rsid w:val="00BA2E1A"/>
    <w:pPr>
      <w:pBdr>
        <w:top w:val="single" w:sz="6" w:space="2" w:color="918585"/>
        <w:bottom w:val="single" w:sz="6" w:space="2" w:color="918585"/>
      </w:pBdr>
      <w:tabs>
        <w:tab w:val="left" w:pos="1021"/>
      </w:tabs>
      <w:ind w:firstLine="0"/>
    </w:pPr>
  </w:style>
  <w:style w:type="paragraph" w:customStyle="1" w:styleId="Warning">
    <w:name w:val="Warning"/>
    <w:basedOn w:val="BodyText"/>
    <w:rsid w:val="00BA2E1A"/>
    <w:pPr>
      <w:shd w:val="clear" w:color="auto" w:fill="D9D9D9"/>
      <w:tabs>
        <w:tab w:val="left" w:pos="992"/>
      </w:tabs>
      <w:ind w:left="119" w:right="119"/>
    </w:pPr>
    <w:rPr>
      <w:sz w:val="20"/>
    </w:rPr>
  </w:style>
  <w:style w:type="paragraph" w:customStyle="1" w:styleId="MarginIcons">
    <w:name w:val="Margin Icons"/>
    <w:basedOn w:val="BodyText"/>
    <w:rsid w:val="00BA2E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E1A"/>
    <w:rPr>
      <w:rFonts w:ascii="Courier New" w:hAnsi="Courier New"/>
    </w:rPr>
  </w:style>
  <w:style w:type="paragraph" w:customStyle="1" w:styleId="NoteBullet">
    <w:name w:val="Note Bullet"/>
    <w:basedOn w:val="Note"/>
    <w:rsid w:val="00BA2E1A"/>
    <w:pPr>
      <w:tabs>
        <w:tab w:val="clear" w:pos="680"/>
      </w:tabs>
      <w:spacing w:before="60" w:after="60"/>
    </w:pPr>
  </w:style>
  <w:style w:type="paragraph" w:customStyle="1" w:styleId="SubHeading2">
    <w:name w:val="SubHeading2"/>
    <w:basedOn w:val="HeadingBase"/>
    <w:rsid w:val="00BA2E1A"/>
    <w:pPr>
      <w:spacing w:before="240" w:after="60"/>
    </w:pPr>
    <w:rPr>
      <w:sz w:val="20"/>
    </w:rPr>
  </w:style>
  <w:style w:type="paragraph" w:customStyle="1" w:styleId="SubHeading1">
    <w:name w:val="SubHeading1"/>
    <w:basedOn w:val="HeadingBase"/>
    <w:rsid w:val="00BA2E1A"/>
    <w:pPr>
      <w:spacing w:before="240" w:after="60"/>
    </w:pPr>
    <w:rPr>
      <w:color w:val="918585"/>
      <w:sz w:val="22"/>
    </w:rPr>
  </w:style>
  <w:style w:type="paragraph" w:customStyle="1" w:styleId="SideHeading">
    <w:name w:val="Side Heading"/>
    <w:basedOn w:val="HeadingBase"/>
    <w:rsid w:val="00BA2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E1A"/>
    <w:pPr>
      <w:numPr>
        <w:numId w:val="10"/>
      </w:numPr>
    </w:pPr>
  </w:style>
  <w:style w:type="paragraph" w:styleId="PlainText">
    <w:name w:val="Plain Text"/>
    <w:basedOn w:val="Normal"/>
    <w:link w:val="PlainTextChar"/>
    <w:rsid w:val="00BA2E1A"/>
    <w:rPr>
      <w:sz w:val="20"/>
    </w:rPr>
  </w:style>
  <w:style w:type="character" w:customStyle="1" w:styleId="PlainTextChar">
    <w:name w:val="Plain Text Char"/>
    <w:basedOn w:val="DefaultParagraphFont"/>
    <w:link w:val="PlainText"/>
    <w:rsid w:val="00BA2E1A"/>
    <w:rPr>
      <w:rFonts w:ascii="Courier New" w:eastAsia="Times New Roman" w:hAnsi="Courier New" w:cs="Times New Roman"/>
      <w:sz w:val="20"/>
      <w:szCs w:val="20"/>
      <w:lang w:eastAsia="en-US"/>
    </w:rPr>
  </w:style>
  <w:style w:type="character" w:customStyle="1" w:styleId="MenuOption">
    <w:name w:val="Menu Option"/>
    <w:basedOn w:val="DefaultParagraphFont"/>
    <w:rsid w:val="00BA2E1A"/>
    <w:rPr>
      <w:b/>
      <w:smallCaps/>
    </w:rPr>
  </w:style>
  <w:style w:type="paragraph" w:customStyle="1" w:styleId="TableListNumber">
    <w:name w:val="Table List Number"/>
    <w:basedOn w:val="ListNumber"/>
    <w:rsid w:val="00BA2E1A"/>
    <w:pPr>
      <w:numPr>
        <w:numId w:val="0"/>
      </w:numPr>
    </w:pPr>
  </w:style>
  <w:style w:type="paragraph" w:styleId="TOC4">
    <w:name w:val="toc 4"/>
    <w:basedOn w:val="TOCBase"/>
    <w:next w:val="Normal"/>
    <w:semiHidden/>
    <w:rsid w:val="00BA2E1A"/>
    <w:pPr>
      <w:tabs>
        <w:tab w:val="right" w:leader="dot" w:pos="9071"/>
      </w:tabs>
      <w:ind w:left="1701"/>
    </w:pPr>
  </w:style>
  <w:style w:type="paragraph" w:customStyle="1" w:styleId="ListAlpha">
    <w:name w:val="List Alpha"/>
    <w:basedOn w:val="List"/>
    <w:rsid w:val="00BA2E1A"/>
    <w:pPr>
      <w:numPr>
        <w:numId w:val="8"/>
      </w:numPr>
    </w:pPr>
  </w:style>
  <w:style w:type="paragraph" w:customStyle="1" w:styleId="ListAlpha2">
    <w:name w:val="List Alpha 2"/>
    <w:basedOn w:val="List2"/>
    <w:rsid w:val="00BA2E1A"/>
    <w:pPr>
      <w:numPr>
        <w:numId w:val="7"/>
      </w:numPr>
    </w:pPr>
  </w:style>
  <w:style w:type="paragraph" w:styleId="List2">
    <w:name w:val="List 2"/>
    <w:basedOn w:val="BodyText"/>
    <w:rsid w:val="00BA2E1A"/>
    <w:pPr>
      <w:tabs>
        <w:tab w:val="left" w:pos="680"/>
      </w:tabs>
      <w:spacing w:before="60" w:after="60"/>
      <w:ind w:left="680" w:hanging="340"/>
    </w:pPr>
  </w:style>
  <w:style w:type="paragraph" w:styleId="List3">
    <w:name w:val="List 3"/>
    <w:basedOn w:val="BodyText"/>
    <w:rsid w:val="00BA2E1A"/>
    <w:pPr>
      <w:tabs>
        <w:tab w:val="left" w:pos="1021"/>
      </w:tabs>
      <w:spacing w:before="60" w:after="60"/>
      <w:ind w:left="1020" w:hanging="340"/>
    </w:pPr>
  </w:style>
  <w:style w:type="paragraph" w:styleId="List4">
    <w:name w:val="List 4"/>
    <w:basedOn w:val="BodyText"/>
    <w:rsid w:val="00BA2E1A"/>
    <w:pPr>
      <w:tabs>
        <w:tab w:val="left" w:pos="1361"/>
      </w:tabs>
      <w:spacing w:before="60" w:after="60"/>
      <w:ind w:left="1361" w:hanging="340"/>
    </w:pPr>
  </w:style>
  <w:style w:type="paragraph" w:styleId="List5">
    <w:name w:val="List 5"/>
    <w:basedOn w:val="BodyText"/>
    <w:rsid w:val="00BA2E1A"/>
    <w:pPr>
      <w:tabs>
        <w:tab w:val="left" w:pos="1701"/>
      </w:tabs>
      <w:spacing w:before="60" w:after="60"/>
      <w:ind w:left="1701" w:hanging="340"/>
    </w:pPr>
  </w:style>
  <w:style w:type="paragraph" w:styleId="ListBullet3">
    <w:name w:val="List Bullet 3"/>
    <w:basedOn w:val="List3"/>
    <w:rsid w:val="00BA2E1A"/>
    <w:pPr>
      <w:numPr>
        <w:numId w:val="13"/>
      </w:numPr>
      <w:tabs>
        <w:tab w:val="clear" w:pos="1021"/>
      </w:tabs>
      <w:ind w:left="1037" w:hanging="357"/>
    </w:pPr>
  </w:style>
  <w:style w:type="paragraph" w:styleId="ListBullet4">
    <w:name w:val="List Bullet 4"/>
    <w:basedOn w:val="List4"/>
    <w:rsid w:val="00BA2E1A"/>
    <w:pPr>
      <w:numPr>
        <w:numId w:val="2"/>
      </w:numPr>
      <w:tabs>
        <w:tab w:val="clear" w:pos="1361"/>
      </w:tabs>
    </w:pPr>
  </w:style>
  <w:style w:type="paragraph" w:styleId="ListBullet5">
    <w:name w:val="List Bullet 5"/>
    <w:basedOn w:val="List5"/>
    <w:rsid w:val="00BA2E1A"/>
    <w:pPr>
      <w:numPr>
        <w:numId w:val="3"/>
      </w:numPr>
    </w:pPr>
  </w:style>
  <w:style w:type="paragraph" w:styleId="ListContinue2">
    <w:name w:val="List Continue 2"/>
    <w:basedOn w:val="List2"/>
    <w:rsid w:val="00BA2E1A"/>
    <w:pPr>
      <w:ind w:firstLine="0"/>
    </w:pPr>
  </w:style>
  <w:style w:type="paragraph" w:styleId="ListContinue3">
    <w:name w:val="List Continue 3"/>
    <w:basedOn w:val="List3"/>
    <w:rsid w:val="00BA2E1A"/>
    <w:pPr>
      <w:ind w:left="1021" w:firstLine="0"/>
    </w:pPr>
  </w:style>
  <w:style w:type="paragraph" w:styleId="ListContinue4">
    <w:name w:val="List Continue 4"/>
    <w:basedOn w:val="List4"/>
    <w:rsid w:val="00BA2E1A"/>
    <w:pPr>
      <w:ind w:firstLine="0"/>
    </w:pPr>
  </w:style>
  <w:style w:type="paragraph" w:styleId="ListContinue5">
    <w:name w:val="List Continue 5"/>
    <w:basedOn w:val="List5"/>
    <w:rsid w:val="00BA2E1A"/>
    <w:pPr>
      <w:ind w:firstLine="0"/>
    </w:pPr>
  </w:style>
  <w:style w:type="paragraph" w:styleId="ListNumber3">
    <w:name w:val="List Number 3"/>
    <w:basedOn w:val="List3"/>
    <w:rsid w:val="00BA2E1A"/>
    <w:pPr>
      <w:numPr>
        <w:numId w:val="4"/>
      </w:numPr>
    </w:pPr>
  </w:style>
  <w:style w:type="paragraph" w:styleId="ListNumber4">
    <w:name w:val="List Number 4"/>
    <w:basedOn w:val="List4"/>
    <w:rsid w:val="00BA2E1A"/>
    <w:pPr>
      <w:numPr>
        <w:numId w:val="5"/>
      </w:numPr>
    </w:pPr>
  </w:style>
  <w:style w:type="paragraph" w:styleId="ListNumber5">
    <w:name w:val="List Number 5"/>
    <w:basedOn w:val="List5"/>
    <w:rsid w:val="00BA2E1A"/>
    <w:pPr>
      <w:numPr>
        <w:numId w:val="6"/>
      </w:numPr>
    </w:pPr>
  </w:style>
  <w:style w:type="paragraph" w:styleId="BlockText">
    <w:name w:val="Block Text"/>
    <w:basedOn w:val="Normal"/>
    <w:rsid w:val="00BA2E1A"/>
    <w:pPr>
      <w:spacing w:after="120"/>
      <w:ind w:left="1440" w:right="1440"/>
    </w:pPr>
  </w:style>
  <w:style w:type="character" w:customStyle="1" w:styleId="Subscript">
    <w:name w:val="Subscript"/>
    <w:basedOn w:val="DefaultParagraphFont"/>
    <w:rsid w:val="00BA2E1A"/>
    <w:rPr>
      <w:sz w:val="16"/>
      <w:vertAlign w:val="subscript"/>
    </w:rPr>
  </w:style>
  <w:style w:type="character" w:customStyle="1" w:styleId="Superscript">
    <w:name w:val="Superscript"/>
    <w:basedOn w:val="DefaultParagraphFont"/>
    <w:rsid w:val="00BA2E1A"/>
    <w:rPr>
      <w:sz w:val="16"/>
      <w:vertAlign w:val="superscript"/>
    </w:rPr>
  </w:style>
  <w:style w:type="character" w:customStyle="1" w:styleId="Symbols">
    <w:name w:val="Symbols"/>
    <w:basedOn w:val="DefaultParagraphFont"/>
    <w:rsid w:val="00BA2E1A"/>
    <w:rPr>
      <w:rFonts w:ascii="Symbol" w:hAnsi="Symbol"/>
    </w:rPr>
  </w:style>
  <w:style w:type="character" w:customStyle="1" w:styleId="MenuOptions">
    <w:name w:val="Menu Options"/>
    <w:basedOn w:val="DefaultParagraphFont"/>
    <w:rsid w:val="00BA2E1A"/>
    <w:rPr>
      <w:rFonts w:ascii="Arial Narrow" w:hAnsi="Arial Narrow"/>
      <w:smallCaps/>
    </w:rPr>
  </w:style>
  <w:style w:type="character" w:customStyle="1" w:styleId="Buttons">
    <w:name w:val="Buttons"/>
    <w:basedOn w:val="DefaultParagraphFont"/>
    <w:rsid w:val="00BA2E1A"/>
    <w:rPr>
      <w:b/>
    </w:rPr>
  </w:style>
  <w:style w:type="character" w:customStyle="1" w:styleId="Underlined">
    <w:name w:val="Underlined"/>
    <w:basedOn w:val="DefaultParagraphFont"/>
    <w:rsid w:val="00BA2E1A"/>
    <w:rPr>
      <w:u w:val="single"/>
    </w:rPr>
  </w:style>
  <w:style w:type="paragraph" w:customStyle="1" w:styleId="TableBodyTextRight">
    <w:name w:val="Table Body Text Right"/>
    <w:basedOn w:val="TableBodyText"/>
    <w:rsid w:val="00BA2E1A"/>
    <w:pPr>
      <w:widowControl w:val="0"/>
      <w:autoSpaceDE w:val="0"/>
      <w:autoSpaceDN w:val="0"/>
      <w:adjustRightInd w:val="0"/>
      <w:jc w:val="right"/>
    </w:pPr>
    <w:rPr>
      <w:rFonts w:cs="Arial"/>
      <w:szCs w:val="18"/>
    </w:rPr>
  </w:style>
  <w:style w:type="paragraph" w:customStyle="1" w:styleId="CopyrightText">
    <w:name w:val="Copyright Text"/>
    <w:basedOn w:val="BodyText"/>
    <w:rsid w:val="00BA2E1A"/>
    <w:rPr>
      <w:sz w:val="18"/>
    </w:rPr>
  </w:style>
  <w:style w:type="paragraph" w:customStyle="1" w:styleId="BodySmallRight">
    <w:name w:val="Body Small Right"/>
    <w:basedOn w:val="BodyTextRight"/>
    <w:rsid w:val="00BA2E1A"/>
    <w:rPr>
      <w:sz w:val="18"/>
      <w:szCs w:val="18"/>
    </w:rPr>
  </w:style>
  <w:style w:type="paragraph" w:customStyle="1" w:styleId="MarginEdition">
    <w:name w:val="Margin Edition"/>
    <w:basedOn w:val="MarginNote"/>
    <w:rsid w:val="00BA2E1A"/>
    <w:pPr>
      <w:spacing w:before="0" w:after="0"/>
    </w:pPr>
    <w:rPr>
      <w:rFonts w:ascii="Times New Roman" w:hAnsi="Times New Roman"/>
      <w:color w:val="999999"/>
    </w:rPr>
  </w:style>
  <w:style w:type="paragraph" w:customStyle="1" w:styleId="Spacer">
    <w:name w:val="Spacer"/>
    <w:basedOn w:val="Normal"/>
    <w:rsid w:val="00BA2E1A"/>
    <w:rPr>
      <w:sz w:val="2"/>
      <w:szCs w:val="2"/>
    </w:rPr>
  </w:style>
  <w:style w:type="character" w:customStyle="1" w:styleId="Small">
    <w:name w:val="Small"/>
    <w:basedOn w:val="DefaultParagraphFont"/>
    <w:rsid w:val="00BA2E1A"/>
    <w:rPr>
      <w:sz w:val="16"/>
    </w:rPr>
  </w:style>
  <w:style w:type="paragraph" w:customStyle="1" w:styleId="WideTable">
    <w:name w:val="Wide Table"/>
    <w:basedOn w:val="Normal"/>
    <w:rsid w:val="00BA2E1A"/>
    <w:pPr>
      <w:ind w:left="-1418"/>
    </w:pPr>
    <w:rPr>
      <w:sz w:val="2"/>
      <w:szCs w:val="2"/>
    </w:rPr>
  </w:style>
  <w:style w:type="character" w:styleId="PageNumber">
    <w:name w:val="page number"/>
    <w:basedOn w:val="DefaultParagraphFont"/>
    <w:rsid w:val="00BA2E1A"/>
  </w:style>
  <w:style w:type="paragraph" w:styleId="Quote">
    <w:name w:val="Quote"/>
    <w:basedOn w:val="Heading1"/>
    <w:link w:val="QuoteChar"/>
    <w:qFormat/>
    <w:rsid w:val="00BA2E1A"/>
    <w:rPr>
      <w:b w:val="0"/>
      <w:sz w:val="72"/>
      <w:szCs w:val="72"/>
      <w:lang w:val="en-NZ"/>
    </w:rPr>
  </w:style>
  <w:style w:type="character" w:customStyle="1" w:styleId="QuoteChar">
    <w:name w:val="Quote Char"/>
    <w:basedOn w:val="DefaultParagraphFont"/>
    <w:link w:val="Quote"/>
    <w:rsid w:val="00BA2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E1A"/>
    <w:pPr>
      <w:pageBreakBefore/>
    </w:pPr>
  </w:style>
  <w:style w:type="paragraph" w:customStyle="1" w:styleId="Border">
    <w:name w:val="Border"/>
    <w:basedOn w:val="Normal"/>
    <w:qFormat/>
    <w:rsid w:val="00BA2E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E1A"/>
    <w:rPr>
      <w:b/>
      <w:bCs/>
      <w:i/>
      <w:iCs/>
      <w:color w:val="auto"/>
    </w:rPr>
  </w:style>
  <w:style w:type="paragraph" w:styleId="IntenseQuote">
    <w:name w:val="Intense Quote"/>
    <w:basedOn w:val="Normal"/>
    <w:next w:val="Normal"/>
    <w:link w:val="IntenseQuoteChar"/>
    <w:uiPriority w:val="30"/>
    <w:qFormat/>
    <w:rsid w:val="00BA2E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E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E1A"/>
    <w:rPr>
      <w:smallCaps/>
      <w:color w:val="auto"/>
      <w:u w:val="single"/>
    </w:rPr>
  </w:style>
  <w:style w:type="character" w:styleId="IntenseReference">
    <w:name w:val="Intense Reference"/>
    <w:basedOn w:val="DefaultParagraphFont"/>
    <w:uiPriority w:val="32"/>
    <w:qFormat/>
    <w:rsid w:val="00BA2E1A"/>
    <w:rPr>
      <w:b/>
      <w:bCs/>
      <w:smallCaps/>
      <w:color w:val="auto"/>
      <w:spacing w:val="5"/>
      <w:u w:val="single"/>
    </w:rPr>
  </w:style>
  <w:style w:type="paragraph" w:customStyle="1" w:styleId="2ColumnHeading">
    <w:name w:val="2Column Heading"/>
    <w:basedOn w:val="BodyText"/>
    <w:qFormat/>
    <w:rsid w:val="00BA2E1A"/>
    <w:pPr>
      <w:spacing w:after="60"/>
      <w:ind w:left="-2268"/>
    </w:pPr>
    <w:rPr>
      <w:b/>
    </w:rPr>
  </w:style>
  <w:style w:type="paragraph" w:customStyle="1" w:styleId="Heading1TOC">
    <w:name w:val="Heading1 TOC"/>
    <w:basedOn w:val="Normal"/>
    <w:qFormat/>
    <w:rsid w:val="00BA2E1A"/>
    <w:pPr>
      <w:spacing w:before="240" w:after="120"/>
    </w:pPr>
    <w:rPr>
      <w:rFonts w:ascii="Times New Roman" w:hAnsi="Times New Roman"/>
      <w:b/>
      <w:sz w:val="32"/>
    </w:rPr>
  </w:style>
  <w:style w:type="paragraph" w:customStyle="1" w:styleId="Heading2TOC">
    <w:name w:val="Heading2 TOC"/>
    <w:basedOn w:val="Normal"/>
    <w:qFormat/>
    <w:rsid w:val="00BA2E1A"/>
    <w:pPr>
      <w:spacing w:before="240" w:after="60"/>
    </w:pPr>
    <w:rPr>
      <w:rFonts w:ascii="Times New Roman" w:hAnsi="Times New Roman"/>
      <w:b/>
      <w:sz w:val="28"/>
    </w:rPr>
  </w:style>
  <w:style w:type="character" w:customStyle="1" w:styleId="Underline">
    <w:name w:val="Underline"/>
    <w:basedOn w:val="DefaultParagraphFont"/>
    <w:qFormat/>
    <w:rsid w:val="00BA2E1A"/>
    <w:rPr>
      <w:u w:val="single"/>
    </w:rPr>
  </w:style>
  <w:style w:type="character" w:customStyle="1" w:styleId="BoldandItalics">
    <w:name w:val="Bold and Italics"/>
    <w:qFormat/>
    <w:rsid w:val="00BA2E1A"/>
    <w:rPr>
      <w:b/>
      <w:i/>
      <w:u w:val="none"/>
    </w:rPr>
  </w:style>
  <w:style w:type="paragraph" w:styleId="BalloonText">
    <w:name w:val="Balloon Text"/>
    <w:basedOn w:val="Normal"/>
    <w:link w:val="BalloonTextChar"/>
    <w:rsid w:val="00BA2E1A"/>
    <w:rPr>
      <w:rFonts w:ascii="Tahoma" w:hAnsi="Tahoma" w:cs="Tahoma"/>
      <w:sz w:val="16"/>
      <w:szCs w:val="16"/>
    </w:rPr>
  </w:style>
  <w:style w:type="character" w:customStyle="1" w:styleId="BalloonTextChar">
    <w:name w:val="Balloon Text Char"/>
    <w:basedOn w:val="DefaultParagraphFont"/>
    <w:link w:val="BalloonText"/>
    <w:rsid w:val="00BA2E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E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E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E1A"/>
    <w:rPr>
      <w:b/>
      <w:color w:val="660033"/>
      <w:spacing w:val="0"/>
    </w:rPr>
  </w:style>
  <w:style w:type="paragraph" w:customStyle="1" w:styleId="Nameditemlist">
    <w:name w:val="Named item list"/>
    <w:basedOn w:val="BodyText"/>
    <w:qFormat/>
    <w:rsid w:val="00BA2E1A"/>
    <w:pPr>
      <w:tabs>
        <w:tab w:val="left" w:pos="2835"/>
      </w:tabs>
      <w:ind w:left="2835" w:hanging="2835"/>
    </w:pPr>
  </w:style>
  <w:style w:type="paragraph" w:customStyle="1" w:styleId="BodyTextnopadding">
    <w:name w:val="Body Text no padding"/>
    <w:basedOn w:val="BodyText"/>
    <w:qFormat/>
    <w:rsid w:val="00BA2E1A"/>
    <w:pPr>
      <w:spacing w:before="0" w:after="0"/>
    </w:pPr>
  </w:style>
  <w:style w:type="paragraph" w:customStyle="1" w:styleId="BodyTextBold">
    <w:name w:val="Body Text Bold"/>
    <w:basedOn w:val="BodyText"/>
    <w:qFormat/>
    <w:rsid w:val="00BA2E1A"/>
    <w:rPr>
      <w:b/>
    </w:rPr>
  </w:style>
  <w:style w:type="character" w:styleId="Hyperlink">
    <w:name w:val="Hyperlink"/>
    <w:basedOn w:val="DefaultParagraphFont"/>
    <w:uiPriority w:val="99"/>
    <w:unhideWhenUsed/>
    <w:rsid w:val="00236A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5195</Characters>
  <Application>Microsoft Office Word</Application>
  <DocSecurity>0</DocSecurity>
  <Lines>225</Lines>
  <Paragraphs>108</Paragraphs>
  <ScaleCrop>false</ScaleCrop>
  <Company>Author-it Software Corporation Ltd.</Company>
  <LinksUpToDate>false</LinksUpToDate>
  <CharactersWithSpaces>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MSMTMREF301 Use and maintain reference standards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2023-02-03T05:42:00Z</dcterms:created>
  <dcterms:modified xsi:type="dcterms:W3CDTF">2023-02-03T05:42:00Z</dcterms:modified>
</cp:coreProperties>
</file>