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20AE" w:rsidP="009620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MSMTMREF301 Use and maintain reference standards</w:t>
      </w:r>
      <w:r>
        <w:fldChar w:fldCharType="end"/>
      </w:r>
    </w:p>
    <w:p w:rsidR="009620AE" w:rsidP="009620AE">
      <w:pPr>
        <w:pStyle w:val="Version"/>
        <w:sectPr w:rsidSect="00536A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36A24" w:rsidP="00536A24">
      <w:pPr>
        <w:pStyle w:val="SuperHeading"/>
      </w:pPr>
      <w:r w:rsidRPr="00536A24">
        <w:t>Assessment Requirements for MSMTMREF301 Use and maintain reference standards</w:t>
      </w:r>
    </w:p>
    <w:p w:rsidR="00000000" w:rsidRPr="00536A24" w:rsidP="00536A24">
      <w:pPr>
        <w:pStyle w:val="Heading1"/>
      </w:pPr>
      <w:bookmarkStart w:id="1" w:name="O_939524"/>
      <w:bookmarkEnd w:id="1"/>
      <w:r w:rsidRPr="00536A24">
        <w:t>Modification History</w:t>
      </w:r>
    </w:p>
    <w:p w:rsidR="00000000" w:rsidRPr="00536A24" w:rsidP="009620AE">
      <w:pPr>
        <w:pStyle w:val="BodyText"/>
      </w:pPr>
      <w:r w:rsidRPr="00536A24">
        <w:t>Release 2. Adjustments to Application and Range of Conditions. Adjustment to Assessment Conditions. Equivalent.</w:t>
      </w:r>
    </w:p>
    <w:p w:rsidR="00000000" w:rsidRPr="00536A24" w:rsidP="009620AE">
      <w:pPr>
        <w:pStyle w:val="BodyText"/>
      </w:pPr>
      <w:r w:rsidRPr="00536A24">
        <w:t>Release 1. Supersedes and is equivalent to MSATMREF301A Use and maintain reference standards</w:t>
      </w:r>
    </w:p>
    <w:p w:rsidR="00000000" w:rsidRPr="00536A24" w:rsidP="00536A24">
      <w:pPr>
        <w:pStyle w:val="Heading1"/>
      </w:pPr>
      <w:bookmarkStart w:id="2" w:name="O_939523"/>
      <w:bookmarkEnd w:id="2"/>
      <w:r w:rsidRPr="00536A24">
        <w:t>Performance Evidence</w:t>
      </w:r>
    </w:p>
    <w:p w:rsidR="00000000" w:rsidRPr="00536A24" w:rsidP="009620AE">
      <w:pPr>
        <w:pStyle w:val="BodyText"/>
      </w:pPr>
      <w:r w:rsidRPr="00536A24">
        <w:t>Evidence required to demonstrate competence in this unit must be relevant to and satisfy all of the requirements of the eleme</w:t>
      </w:r>
      <w:r w:rsidRPr="00536A24">
        <w:t>nts and performance criteria, and include demonstration of:</w:t>
      </w:r>
    </w:p>
    <w:p w:rsidR="00000000" w:rsidRPr="00536A24" w:rsidP="00536A24">
      <w:pPr>
        <w:pStyle w:val="ListBullet"/>
      </w:pPr>
      <w:r w:rsidRPr="00536A24">
        <w:t>selecting, calibrating, using and maintaining appropriate reference standards in accordance with specified procedures on at least three (3) occasions</w:t>
      </w:r>
    </w:p>
    <w:p w:rsidR="00000000" w:rsidRPr="00536A24" w:rsidP="00536A24">
      <w:pPr>
        <w:pStyle w:val="ListBullet"/>
      </w:pPr>
      <w:r w:rsidRPr="00536A24">
        <w:t>maintaining the integrity of reference standa</w:t>
      </w:r>
      <w:r w:rsidRPr="00536A24">
        <w:t>rds by controlling the operating environment and ensuring that all storage, transport and handling is in accordance with organisational procedures and industry best practice</w:t>
      </w:r>
    </w:p>
    <w:p w:rsidR="00000000" w:rsidRPr="00536A24" w:rsidP="00536A24">
      <w:pPr>
        <w:pStyle w:val="ListBullet"/>
      </w:pPr>
      <w:r w:rsidRPr="00536A24">
        <w:t>ensuring that the inspection, maintenance, calibration and documented status of re</w:t>
      </w:r>
      <w:r w:rsidRPr="00536A24">
        <w:t xml:space="preserve">ference standards are completed in accordance with organisational procedures </w:t>
      </w:r>
    </w:p>
    <w:p w:rsidR="00000000" w:rsidRPr="00536A24" w:rsidP="00536A24">
      <w:pPr>
        <w:pStyle w:val="ListBullet"/>
      </w:pPr>
      <w:r w:rsidRPr="00536A24">
        <w:t>selecting appropriate reference standards for specific trade measurement activities after careful consideration of the activity’s scope, and expected outcomes and limitations, in</w:t>
      </w:r>
      <w:r w:rsidRPr="00536A24">
        <w:t>cluding the operating environment</w:t>
      </w:r>
    </w:p>
    <w:p w:rsidR="00000000" w:rsidRPr="00536A24" w:rsidP="00536A24">
      <w:pPr>
        <w:pStyle w:val="ListBullet"/>
      </w:pPr>
      <w:r w:rsidRPr="00536A24">
        <w:t>validating reference standard suitability against the activity’s scope and expected outcomes in accordance with legislative requirements and organisational policy and procedures</w:t>
      </w:r>
    </w:p>
    <w:p w:rsidR="00000000" w:rsidRPr="00536A24" w:rsidP="00536A24">
      <w:pPr>
        <w:pStyle w:val="ListBullet"/>
      </w:pPr>
      <w:r w:rsidRPr="00536A24">
        <w:t>accessing and accurately interpreting refere</w:t>
      </w:r>
      <w:r w:rsidRPr="00536A24">
        <w:t>nce standard Certificates of Verification, information about tolerances and measurement reports</w:t>
      </w:r>
    </w:p>
    <w:p w:rsidR="00000000" w:rsidRPr="00536A24" w:rsidP="00536A24">
      <w:pPr>
        <w:pStyle w:val="ListBullet"/>
      </w:pPr>
      <w:r w:rsidRPr="00536A24">
        <w:t>using the reference standard correctly, including conditioning and applying corrections, as required, to produce consistent and accurate measurements</w:t>
      </w:r>
    </w:p>
    <w:p w:rsidR="00000000" w:rsidRPr="00536A24" w:rsidP="00536A24">
      <w:pPr>
        <w:pStyle w:val="ListBullet"/>
      </w:pPr>
      <w:r w:rsidRPr="00536A24">
        <w:t xml:space="preserve">assessing </w:t>
      </w:r>
      <w:r w:rsidRPr="00536A24">
        <w:t>results of trade measurement activities and analysing any variances from the expected outcomes to identify any isolated or systemic problems linked to the reference standard or its use</w:t>
      </w:r>
    </w:p>
    <w:p w:rsidR="00000000" w:rsidRPr="00536A24" w:rsidP="00536A24">
      <w:pPr>
        <w:pStyle w:val="ListBullet"/>
      </w:pPr>
      <w:r w:rsidRPr="00536A24">
        <w:t>using advanced communication and negotiation skills to:</w:t>
      </w:r>
    </w:p>
    <w:p w:rsidR="00000000" w:rsidRPr="00536A24" w:rsidP="00536A24">
      <w:pPr>
        <w:pStyle w:val="ListBullet2"/>
      </w:pPr>
      <w:r w:rsidRPr="00536A24">
        <w:t>explain the pu</w:t>
      </w:r>
      <w:r w:rsidRPr="00536A24">
        <w:t>rpose of the trade measurement activities</w:t>
      </w:r>
    </w:p>
    <w:p w:rsidR="00000000" w:rsidRPr="00536A24" w:rsidP="00536A24">
      <w:pPr>
        <w:pStyle w:val="ListBullet2"/>
      </w:pPr>
      <w:r w:rsidRPr="00536A24">
        <w:t>access external equipment and resources to complete the activity</w:t>
      </w:r>
    </w:p>
    <w:p w:rsidR="00000000" w:rsidRPr="00536A24" w:rsidP="00536A24">
      <w:pPr>
        <w:pStyle w:val="ListBullet2"/>
      </w:pPr>
      <w:r w:rsidRPr="00536A24">
        <w:t>explain procedures and expected outcomes of activities to traders and managers</w:t>
      </w:r>
    </w:p>
    <w:p w:rsidR="00000000" w:rsidRPr="00536A24" w:rsidP="00536A24">
      <w:pPr>
        <w:pStyle w:val="ListBullet2"/>
      </w:pPr>
      <w:r w:rsidRPr="00536A24">
        <w:t>organise large reference standards to be dispatched ahead of visit to trader</w:t>
      </w:r>
      <w:r>
        <w:t>’</w:t>
      </w:r>
      <w:r w:rsidRPr="00536A24">
        <w:t>s premises</w:t>
      </w:r>
    </w:p>
    <w:p w:rsidR="00000000" w:rsidRPr="00536A24" w:rsidP="00536A24">
      <w:pPr>
        <w:pStyle w:val="ListBullet"/>
      </w:pPr>
      <w:r w:rsidRPr="00536A24">
        <w:t>performing specified calculations involving:</w:t>
      </w:r>
    </w:p>
    <w:p w:rsidR="00000000" w:rsidRPr="00536A24" w:rsidP="00536A24">
      <w:pPr>
        <w:pStyle w:val="ListBullet2"/>
      </w:pPr>
      <w:r w:rsidRPr="00536A24">
        <w:t>fractions, decimals, ratios, proportions and percentages</w:t>
      </w:r>
    </w:p>
    <w:p w:rsidR="00000000" w:rsidRPr="00536A24" w:rsidP="00536A24">
      <w:pPr>
        <w:pStyle w:val="ListBullet2"/>
      </w:pPr>
      <w:r w:rsidRPr="00536A24">
        <w:t>scientific notation, correct units and the correct number of sig</w:t>
      </w:r>
      <w:r w:rsidRPr="00536A24">
        <w:t>nificant figures</w:t>
      </w:r>
    </w:p>
    <w:p w:rsidR="00000000" w:rsidRPr="00536A24" w:rsidP="00536A24">
      <w:pPr>
        <w:pStyle w:val="ListBullet2"/>
      </w:pPr>
      <w:r w:rsidRPr="00536A24">
        <w:t>interpretation of statistical quantities, such as mean, median, mode, range, variance and standard deviation</w:t>
      </w:r>
    </w:p>
    <w:p w:rsidR="00000000" w:rsidRPr="00536A24" w:rsidP="00536A24">
      <w:pPr>
        <w:pStyle w:val="ListBullet"/>
      </w:pPr>
      <w:r w:rsidRPr="00536A24">
        <w:t>maintaining the security and confidentiality of data in accordance with organisational and regulatory requirements</w:t>
      </w:r>
    </w:p>
    <w:p w:rsidR="00000000" w:rsidRPr="00536A24" w:rsidP="00536A24">
      <w:pPr>
        <w:pStyle w:val="ListBullet"/>
      </w:pPr>
      <w:r w:rsidRPr="00536A24">
        <w:t>reporting resu</w:t>
      </w:r>
      <w:r w:rsidRPr="00536A24">
        <w:t>lts in the required formats and expected timeframe</w:t>
      </w:r>
    </w:p>
    <w:p w:rsidR="00000000" w:rsidRPr="00536A24" w:rsidP="00536A24">
      <w:pPr>
        <w:pStyle w:val="ListBullet"/>
      </w:pPr>
      <w:r w:rsidRPr="00536A24">
        <w:t>working safely.</w:t>
      </w:r>
    </w:p>
    <w:p w:rsidR="00000000" w:rsidRPr="00536A24" w:rsidP="00536A24">
      <w:pPr>
        <w:pStyle w:val="AllowPageBreak"/>
      </w:pPr>
    </w:p>
    <w:p w:rsidR="00000000" w:rsidRPr="00536A24" w:rsidP="00536A24">
      <w:pPr>
        <w:pStyle w:val="Heading1"/>
      </w:pPr>
      <w:bookmarkStart w:id="3" w:name="O_939522"/>
      <w:bookmarkEnd w:id="3"/>
      <w:r w:rsidRPr="00536A24">
        <w:t>Knowledge Evidence</w:t>
      </w:r>
    </w:p>
    <w:p w:rsidR="00000000" w:rsidRPr="00536A24" w:rsidP="009620AE">
      <w:pPr>
        <w:pStyle w:val="BodyText"/>
      </w:pPr>
      <w:r w:rsidRPr="00536A24">
        <w:t xml:space="preserve">Must provide evidence that demonstrates knowledge of: </w:t>
      </w:r>
    </w:p>
    <w:p w:rsidR="00000000" w:rsidRPr="00536A24" w:rsidP="00536A24">
      <w:pPr>
        <w:pStyle w:val="ListBullet"/>
      </w:pPr>
      <w:r w:rsidRPr="00536A24">
        <w:t>general physical principles and concepts, including weight, mass, gravity, density, volume, lengt</w:t>
      </w:r>
      <w:r w:rsidRPr="00536A24">
        <w:t>h and area</w:t>
      </w:r>
    </w:p>
    <w:p w:rsidR="00000000" w:rsidRPr="00536A24" w:rsidP="00536A24">
      <w:pPr>
        <w:pStyle w:val="ListBullet"/>
      </w:pPr>
      <w:r w:rsidRPr="00536A24">
        <w:t>metrological terms, including maximum permissible errors, maximum permissible variations, traceability and uncertainty</w:t>
      </w:r>
    </w:p>
    <w:p w:rsidR="00000000" w:rsidRPr="00536A24" w:rsidP="00536A24">
      <w:pPr>
        <w:pStyle w:val="ListBullet"/>
      </w:pPr>
      <w:r w:rsidRPr="00536A24">
        <w:t>Australian legal units of measurement</w:t>
      </w:r>
    </w:p>
    <w:p w:rsidR="00000000" w:rsidRPr="00536A24" w:rsidP="00536A24">
      <w:pPr>
        <w:pStyle w:val="ListBullet"/>
      </w:pPr>
      <w:r w:rsidRPr="00536A24">
        <w:t>organisations involved in legal metrology in Australia</w:t>
      </w:r>
    </w:p>
    <w:p w:rsidR="00000000" w:rsidRPr="00536A24" w:rsidP="00536A24">
      <w:pPr>
        <w:pStyle w:val="ListBullet"/>
      </w:pPr>
      <w:r w:rsidRPr="00536A24">
        <w:t>hierarchy and classes of reference standards used in legal metrology</w:t>
      </w:r>
    </w:p>
    <w:p w:rsidR="00000000" w:rsidRPr="00536A24" w:rsidP="00536A24">
      <w:pPr>
        <w:pStyle w:val="ListBullet"/>
      </w:pPr>
      <w:r w:rsidRPr="00536A24">
        <w:t>purpose of Certificates of Verification issued under the national measurement legislation and the information contained in them</w:t>
      </w:r>
    </w:p>
    <w:p w:rsidR="00000000" w:rsidRPr="00536A24" w:rsidP="00536A24">
      <w:pPr>
        <w:pStyle w:val="ListBullet"/>
      </w:pPr>
      <w:r w:rsidRPr="00536A24">
        <w:t>National Measurement Institute (NMI) policy requirements an</w:t>
      </w:r>
      <w:r w:rsidRPr="00536A24">
        <w:t>d National Instrument Test Procedures and operating procedures for equipment and reference standards used in job role, including:</w:t>
      </w:r>
    </w:p>
    <w:p w:rsidR="00000000" w:rsidRPr="00536A24" w:rsidP="00536A24">
      <w:pPr>
        <w:pStyle w:val="ListBullet2"/>
      </w:pPr>
      <w:r w:rsidRPr="00536A24">
        <w:t>transport/storage specifications and procedures for test/specialised equipment and reference standards, and variations requir</w:t>
      </w:r>
      <w:r w:rsidRPr="00536A24">
        <w:t>ing approval</w:t>
      </w:r>
    </w:p>
    <w:p w:rsidR="00000000" w:rsidRPr="00536A24" w:rsidP="00536A24">
      <w:pPr>
        <w:pStyle w:val="ListBullet2"/>
      </w:pPr>
      <w:r w:rsidRPr="00536A24">
        <w:t>maintenance requirements for reference standards and test equipment, including when manufacturer</w:t>
      </w:r>
      <w:r>
        <w:t>’</w:t>
      </w:r>
      <w:r w:rsidRPr="00536A24">
        <w:t>s requirements are unavailable</w:t>
      </w:r>
    </w:p>
    <w:p w:rsidR="00000000" w:rsidRPr="00536A24" w:rsidP="00536A24">
      <w:pPr>
        <w:pStyle w:val="ListBullet2"/>
      </w:pPr>
      <w:r w:rsidRPr="00536A24">
        <w:t>procedures covering maintenance, recording and reporting faults and calibration</w:t>
      </w:r>
    </w:p>
    <w:p w:rsidR="00000000" w:rsidRPr="00536A24" w:rsidP="00536A24">
      <w:pPr>
        <w:pStyle w:val="ListBullet2"/>
      </w:pPr>
      <w:r w:rsidRPr="00536A24">
        <w:t>actions to be taken where legal tra</w:t>
      </w:r>
      <w:r w:rsidRPr="00536A24">
        <w:t>ceability cannot be confirmed</w:t>
      </w:r>
    </w:p>
    <w:p w:rsidR="00000000" w:rsidRPr="00536A24" w:rsidP="00536A24">
      <w:pPr>
        <w:pStyle w:val="ListBullet2"/>
      </w:pPr>
      <w:r w:rsidRPr="00536A24">
        <w:t>actions to be taken if reference standards and test equipment are found to be defective</w:t>
      </w:r>
    </w:p>
    <w:p w:rsidR="00000000" w:rsidRPr="00536A24" w:rsidP="00536A24">
      <w:pPr>
        <w:pStyle w:val="ListBullet2"/>
      </w:pPr>
      <w:r w:rsidRPr="00536A24">
        <w:t>article measurement and measuring instrument test procedures</w:t>
      </w:r>
    </w:p>
    <w:p w:rsidR="00000000" w:rsidRPr="00536A24" w:rsidP="00536A24">
      <w:pPr>
        <w:pStyle w:val="ListBullet2"/>
      </w:pPr>
      <w:r w:rsidRPr="00536A24">
        <w:t>test conditions and possible environmental impacts on performance of referenc</w:t>
      </w:r>
      <w:r w:rsidRPr="00536A24">
        <w:t>e standards and measuring instruments</w:t>
      </w:r>
    </w:p>
    <w:p w:rsidR="00000000" w:rsidRPr="00536A24" w:rsidP="00536A24">
      <w:pPr>
        <w:pStyle w:val="ListBullet2"/>
      </w:pPr>
      <w:r w:rsidRPr="00536A24">
        <w:t>key preparation/measurement steps in test method</w:t>
      </w:r>
    </w:p>
    <w:p w:rsidR="00000000" w:rsidRPr="00536A24" w:rsidP="00536A24">
      <w:pPr>
        <w:pStyle w:val="ListBullet2"/>
      </w:pPr>
      <w:r w:rsidRPr="00536A24">
        <w:t>calculation steps to give results in appropriate units and precision</w:t>
      </w:r>
    </w:p>
    <w:p w:rsidR="00000000" w:rsidRPr="00536A24" w:rsidP="00536A24">
      <w:pPr>
        <w:pStyle w:val="ListBullet2"/>
      </w:pPr>
      <w:r w:rsidRPr="00536A24">
        <w:t>maximum permissible errors for instruments under test and tolerances for reference standards</w:t>
      </w:r>
    </w:p>
    <w:p w:rsidR="00000000" w:rsidRPr="00536A24" w:rsidP="00536A24">
      <w:pPr>
        <w:pStyle w:val="ListBullet2"/>
      </w:pPr>
      <w:r w:rsidRPr="00536A24">
        <w:t xml:space="preserve">organisational safety procedures and requirements of applicable Commonwealth, state and territory work/occupational health and safety (WHS/OHS) legislation </w:t>
      </w:r>
    </w:p>
    <w:p w:rsidR="00000000" w:rsidRPr="00536A24" w:rsidP="00536A24">
      <w:pPr>
        <w:pStyle w:val="ListBullet"/>
      </w:pPr>
      <w:r w:rsidRPr="00536A24">
        <w:t>basic first aid and site safety induction, if required.</w:t>
      </w:r>
    </w:p>
    <w:p w:rsidR="00000000" w:rsidRPr="00536A24" w:rsidP="00536A24">
      <w:pPr>
        <w:pStyle w:val="AllowPageBreak"/>
      </w:pPr>
    </w:p>
    <w:p w:rsidR="00000000" w:rsidRPr="00536A24" w:rsidP="00536A24">
      <w:pPr>
        <w:pStyle w:val="Heading1"/>
      </w:pPr>
      <w:bookmarkStart w:id="4" w:name="O_939521"/>
      <w:bookmarkEnd w:id="4"/>
      <w:r w:rsidRPr="00536A24">
        <w:t>Assessment Conditions</w:t>
      </w:r>
    </w:p>
    <w:p w:rsidR="00000000" w:rsidRPr="00536A24" w:rsidP="00536A24">
      <w:pPr>
        <w:pStyle w:val="ListBullet"/>
      </w:pPr>
      <w:r w:rsidRPr="00536A24">
        <w:t>Ju</w:t>
      </w:r>
      <w:r w:rsidRPr="00536A24">
        <w:t xml:space="preserve">dgement of competence must be based on holistic assessment of the evidence. Assessment methods must confirm consistency of performance over time, rather than a single assessment event. </w:t>
      </w:r>
    </w:p>
    <w:p w:rsidR="00000000" w:rsidRPr="00536A24" w:rsidP="00536A24">
      <w:pPr>
        <w:pStyle w:val="ListBullet"/>
      </w:pPr>
      <w:r w:rsidRPr="00536A24">
        <w:t>This unit of competency should be assessed in the workplace, or a simu</w:t>
      </w:r>
      <w:r w:rsidRPr="00536A24">
        <w:t>lated workplace environment. A simulated workplace environment must reflect realistic operational workplace conditions that cover all aspects of workplace performance, including the environment, task skills, task management skills, contingency management s</w:t>
      </w:r>
      <w:r w:rsidRPr="00536A24">
        <w:t xml:space="preserve">kills and job role environment skills.  </w:t>
      </w:r>
    </w:p>
    <w:p w:rsidR="00000000" w:rsidRPr="00536A24" w:rsidP="00536A24">
      <w:pPr>
        <w:pStyle w:val="ListBullet"/>
      </w:pPr>
      <w:r w:rsidRPr="00536A24">
        <w:t xml:space="preserve">Foundation skills are integral to competent performance of the unit and should not be assessed separately. </w:t>
      </w:r>
    </w:p>
    <w:p w:rsidR="00000000" w:rsidRPr="00536A24" w:rsidP="00536A24">
      <w:pPr>
        <w:pStyle w:val="ListBullet"/>
      </w:pPr>
      <w:r w:rsidRPr="00536A24">
        <w:t>Assessment processes and techniques must be appropriate to the language, literacy and numeracy requirements</w:t>
      </w:r>
      <w:r w:rsidRPr="00536A24">
        <w:t xml:space="preserve"> of the work being performed and the needs of the candidate.</w:t>
      </w:r>
    </w:p>
    <w:p w:rsidR="00000000" w:rsidRPr="00536A24" w:rsidP="00536A24">
      <w:pPr>
        <w:pStyle w:val="ListBullet"/>
      </w:pPr>
      <w:r w:rsidRPr="00536A24">
        <w:t>Knowledge evidence may be collected concurrently with performance evidence or through an independent process, such as workbooks, written assessments or interviews (provided a record is kept in ea</w:t>
      </w:r>
      <w:r w:rsidRPr="00536A24">
        <w:t>ch case).</w:t>
      </w:r>
    </w:p>
    <w:p w:rsidR="00000000" w:rsidRPr="00536A24" w:rsidP="00536A24">
      <w:pPr>
        <w:pStyle w:val="ListBullet"/>
      </w:pPr>
      <w:r w:rsidRPr="00536A24">
        <w:t>This unit of competency may be assessed with MSMTM units dealing with the inspection or verification of trade measurement instruments and inspection of trading practices and pre-packaged products.</w:t>
      </w:r>
    </w:p>
    <w:p w:rsidR="00000000" w:rsidRPr="00536A24" w:rsidP="00536A24">
      <w:pPr>
        <w:pStyle w:val="ListBullet"/>
      </w:pPr>
      <w:r w:rsidRPr="00536A24">
        <w:t xml:space="preserve">Holistic assessment methods include: </w:t>
      </w:r>
    </w:p>
    <w:p w:rsidR="00000000" w:rsidRPr="00536A24" w:rsidP="00536A24">
      <w:pPr>
        <w:pStyle w:val="ListBullet2"/>
      </w:pPr>
      <w:r w:rsidRPr="00536A24">
        <w:t xml:space="preserve">review of </w:t>
      </w:r>
      <w:r w:rsidRPr="00536A24">
        <w:t>maintenance and calibration records and analysis of results from trade measurement activities prepared by the candidate</w:t>
      </w:r>
    </w:p>
    <w:p w:rsidR="00000000" w:rsidRPr="00536A24" w:rsidP="00536A24">
      <w:pPr>
        <w:pStyle w:val="ListBullet2"/>
      </w:pPr>
      <w:r w:rsidRPr="00536A24">
        <w:t>feedback from supervisors and peers regarding the candidate</w:t>
      </w:r>
      <w:r>
        <w:t>’</w:t>
      </w:r>
      <w:r w:rsidRPr="00536A24">
        <w:t>s ability to use and maintain reference standards in accordance with legisla</w:t>
      </w:r>
      <w:r w:rsidRPr="00536A24">
        <w:t>tive and organisational procedures</w:t>
      </w:r>
    </w:p>
    <w:p w:rsidR="00000000" w:rsidRPr="00536A24" w:rsidP="00536A24">
      <w:pPr>
        <w:pStyle w:val="ListBullet2"/>
      </w:pPr>
      <w:r w:rsidRPr="00536A24">
        <w:t>questions to assess understanding of relevant procedures and specific actions required in response to given reference standard scenarios</w:t>
      </w:r>
    </w:p>
    <w:p w:rsidR="00000000" w:rsidRPr="00536A24" w:rsidP="00536A24">
      <w:pPr>
        <w:pStyle w:val="ListBullet2"/>
      </w:pPr>
      <w:r w:rsidRPr="00536A24">
        <w:t>observation of the candidate using and/or maintaining reference standards.</w:t>
      </w:r>
    </w:p>
    <w:p w:rsidR="00000000" w:rsidRPr="00536A24" w:rsidP="00536A24">
      <w:pPr>
        <w:pStyle w:val="ListBullet"/>
      </w:pPr>
      <w:r w:rsidRPr="00536A24">
        <w:t>Access is required to instruments, equipment, materials, workplace documentation, procedures and specifications associated with this unit, including, but not limited to:</w:t>
      </w:r>
    </w:p>
    <w:p w:rsidR="00000000" w:rsidRPr="00536A24" w:rsidP="00536A24">
      <w:pPr>
        <w:pStyle w:val="ListBullet2"/>
      </w:pPr>
      <w:r w:rsidRPr="00536A24">
        <w:t>latest versions of appropriate documentation, such as Certificates of Verification, N</w:t>
      </w:r>
      <w:r w:rsidRPr="00536A24">
        <w:t>MI policy, National Instrument Test Procedures for using reference standards and relevant legislation</w:t>
      </w:r>
    </w:p>
    <w:p w:rsidR="00000000" w:rsidRPr="00536A24" w:rsidP="00536A24">
      <w:pPr>
        <w:pStyle w:val="ListBullet2"/>
      </w:pPr>
      <w:r w:rsidRPr="00536A24">
        <w:t>equipment manuals, safety data sheets (SDS), safety procedures and safety equipment</w:t>
      </w:r>
    </w:p>
    <w:p w:rsidR="00000000" w:rsidRPr="00536A24" w:rsidP="00536A24">
      <w:pPr>
        <w:pStyle w:val="ListBullet2"/>
      </w:pPr>
      <w:r w:rsidRPr="00536A24">
        <w:t>records, such as test reports, audit reports, instrument history and t</w:t>
      </w:r>
      <w:r w:rsidRPr="00536A24">
        <w:t>est results</w:t>
      </w:r>
    </w:p>
    <w:p w:rsidR="00000000" w:rsidRPr="00536A24" w:rsidP="00536A24">
      <w:pPr>
        <w:pStyle w:val="ListBullet2"/>
      </w:pPr>
      <w:r w:rsidRPr="00536A24">
        <w:t>measuring instruments, test equipment and reference standards</w:t>
      </w:r>
    </w:p>
    <w:p w:rsidR="00000000" w:rsidRPr="00536A24" w:rsidP="00536A24">
      <w:pPr>
        <w:pStyle w:val="ListBullet2"/>
      </w:pPr>
      <w:r w:rsidRPr="00536A24">
        <w:t>computer and relevant software and/or organisation information management system.</w:t>
      </w:r>
    </w:p>
    <w:p w:rsidR="00000000" w:rsidRPr="00536A24" w:rsidP="00536A24">
      <w:pPr>
        <w:pStyle w:val="ListBullet"/>
      </w:pPr>
      <w:r w:rsidRPr="00536A24">
        <w:t>Assessors must satisfy the assessor competency requirements that are in place at the time of the as</w:t>
      </w:r>
      <w:r w:rsidRPr="00536A24">
        <w:t xml:space="preserve">sessment as set by the VET regulator.  </w:t>
      </w:r>
    </w:p>
    <w:p w:rsidR="00000000" w:rsidRPr="00536A24" w:rsidP="00536A24">
      <w:pPr>
        <w:pStyle w:val="ListBullet"/>
      </w:pPr>
      <w:r w:rsidRPr="00536A24">
        <w:t>The assessor must demonstrate both technical competency and currency.</w:t>
      </w:r>
    </w:p>
    <w:p w:rsidR="00000000" w:rsidRPr="00536A24" w:rsidP="00536A24">
      <w:pPr>
        <w:pStyle w:val="ListBullet"/>
      </w:pPr>
      <w:r w:rsidRPr="00536A24">
        <w:t>Technical competence can be demonstrated through:</w:t>
      </w:r>
    </w:p>
    <w:p w:rsidR="00000000" w:rsidRPr="00536A24" w:rsidP="00536A24">
      <w:pPr>
        <w:pStyle w:val="ListBullet2"/>
      </w:pPr>
      <w:r w:rsidRPr="00536A24">
        <w:t>relevant VET or other qualification/Statement of Attainment AND/OR</w:t>
      </w:r>
    </w:p>
    <w:p w:rsidR="00000000" w:rsidRPr="00536A24" w:rsidP="00536A24">
      <w:pPr>
        <w:pStyle w:val="ListBullet2"/>
      </w:pPr>
      <w:r w:rsidRPr="00536A24">
        <w:t>relevant workplace experienc</w:t>
      </w:r>
      <w:r w:rsidRPr="00536A24">
        <w:t>e in trade measurement at least to the level being assessed and broad industry knowledge (such as a relevant industry qualification).</w:t>
      </w:r>
    </w:p>
    <w:p w:rsidR="00000000" w:rsidRPr="00536A24" w:rsidP="00536A24">
      <w:pPr>
        <w:pStyle w:val="ListBullet"/>
      </w:pPr>
      <w:r w:rsidRPr="00536A24">
        <w:t>Currency can be demonstrated through:</w:t>
      </w:r>
    </w:p>
    <w:p w:rsidR="00000000" w:rsidRPr="00536A24" w:rsidP="00536A24">
      <w:pPr>
        <w:pStyle w:val="ListBullet2"/>
      </w:pPr>
      <w:r w:rsidRPr="00536A24">
        <w:t>performing the competency being assessed as part of current employment in trade me</w:t>
      </w:r>
      <w:r w:rsidRPr="00536A24">
        <w:t>asurement OR</w:t>
      </w:r>
    </w:p>
    <w:p w:rsidR="00000000" w:rsidRPr="00536A24" w:rsidP="00536A24">
      <w:pPr>
        <w:pStyle w:val="ListBullet2"/>
      </w:pPr>
      <w:r w:rsidRPr="00536A24">
        <w:t>having consulted with trade measurement inspectors and/or verifiers performing the competency being assessed within the last twelve months.</w:t>
      </w:r>
    </w:p>
    <w:p w:rsidR="00000000" w:rsidRPr="00536A24" w:rsidP="00536A24">
      <w:pPr>
        <w:pStyle w:val="AllowPageBreak"/>
      </w:pPr>
    </w:p>
    <w:p w:rsidR="00000000" w:rsidRPr="00536A24" w:rsidP="00536A24">
      <w:pPr>
        <w:pStyle w:val="Heading1"/>
      </w:pPr>
      <w:bookmarkStart w:id="5" w:name="O_939536"/>
      <w:bookmarkEnd w:id="5"/>
      <w:r w:rsidRPr="00536A24">
        <w:t>Links</w:t>
      </w:r>
    </w:p>
    <w:p w:rsidR="00000000" w:rsidRPr="00536A24" w:rsidP="009620AE">
      <w:pPr>
        <w:pStyle w:val="BodyText"/>
      </w:pPr>
      <w:r w:rsidRPr="00536A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DA50C1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536A24" w:rsidP="00536A24"/>
    <w:sectPr w:rsidSect="00536A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A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A24" w:rsidRPr="009620AE" w:rsidP="009620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A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0AE" w:rsidP="00536A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20AE" w:rsidP="00536A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620AE" w:rsidP="00536A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A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0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6A24" w:rsidRPr="009620AE" w:rsidP="009620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A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0AE" w:rsidRPr="002D2AF8" w:rsidP="00536A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MSMTMREF301 Use and maintain reference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620AE" w:rsidP="00536A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78F1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AA25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625C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A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6A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6A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6A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6A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6A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6A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6A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6A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6A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6A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6A24"/>
  </w:style>
  <w:style w:type="character" w:customStyle="1" w:styleId="Heading1Char">
    <w:name w:val="Heading 1 Char"/>
    <w:basedOn w:val="DefaultParagraphFont"/>
    <w:link w:val="Heading1"/>
    <w:rsid w:val="00536A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6A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6A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6A2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36A2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6A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6A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6A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6A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6A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6A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6A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6A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6A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6A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6A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6A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6A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6A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6A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6A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6A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6A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6A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6A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6A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6A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6A24"/>
    <w:rPr>
      <w:b/>
      <w:spacing w:val="0"/>
    </w:rPr>
  </w:style>
  <w:style w:type="paragraph" w:customStyle="1" w:styleId="SuperTitle">
    <w:name w:val="SuperTitle"/>
    <w:basedOn w:val="Title"/>
    <w:rsid w:val="00536A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6A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6A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6A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6A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6A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6A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6A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6A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6A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6A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6A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6A24"/>
    <w:rPr>
      <w:i/>
    </w:rPr>
  </w:style>
  <w:style w:type="paragraph" w:styleId="Caption">
    <w:name w:val="caption"/>
    <w:basedOn w:val="BodyText"/>
    <w:next w:val="Normal"/>
    <w:qFormat/>
    <w:rsid w:val="00536A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6A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6A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6A24"/>
  </w:style>
  <w:style w:type="paragraph" w:styleId="TableofFigures">
    <w:name w:val="table of figures"/>
    <w:basedOn w:val="Normal"/>
    <w:next w:val="Normal"/>
    <w:semiHidden/>
    <w:rsid w:val="00536A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6A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6A24"/>
    <w:rPr>
      <w:rFonts w:ascii="Wingdings" w:hAnsi="Wingdings"/>
    </w:rPr>
  </w:style>
  <w:style w:type="paragraph" w:customStyle="1" w:styleId="TableHeading">
    <w:name w:val="Table Heading"/>
    <w:basedOn w:val="HeadingBase"/>
    <w:rsid w:val="00536A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6A24"/>
    <w:rPr>
      <w:color w:val="0033CC"/>
      <w:u w:val="none"/>
    </w:rPr>
  </w:style>
  <w:style w:type="paragraph" w:customStyle="1" w:styleId="BodyTextRight">
    <w:name w:val="Body Text Right"/>
    <w:basedOn w:val="BodyText"/>
    <w:rsid w:val="00536A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6A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6A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6A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6A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6A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6A24"/>
    <w:rPr>
      <w:sz w:val="32"/>
    </w:rPr>
  </w:style>
  <w:style w:type="paragraph" w:customStyle="1" w:styleId="HeadingProcedure">
    <w:name w:val="Heading Procedure"/>
    <w:basedOn w:val="HeadingBase"/>
    <w:next w:val="Normal"/>
    <w:rsid w:val="00536A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6A24"/>
    <w:pPr>
      <w:spacing w:before="60" w:after="60"/>
    </w:pPr>
  </w:style>
  <w:style w:type="paragraph" w:styleId="ListContinue">
    <w:name w:val="List Continue"/>
    <w:basedOn w:val="List"/>
    <w:rsid w:val="00536A24"/>
    <w:pPr>
      <w:ind w:firstLine="0"/>
    </w:pPr>
  </w:style>
  <w:style w:type="paragraph" w:customStyle="1" w:styleId="ListNote">
    <w:name w:val="List Note"/>
    <w:basedOn w:val="List"/>
    <w:rsid w:val="00536A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6A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6A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6A24"/>
    <w:rPr>
      <w:rFonts w:ascii="Courier New" w:hAnsi="Courier New"/>
    </w:rPr>
  </w:style>
  <w:style w:type="paragraph" w:customStyle="1" w:styleId="NoteBullet">
    <w:name w:val="Note Bullet"/>
    <w:basedOn w:val="Note"/>
    <w:rsid w:val="00536A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6A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6A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6A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6A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6A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6A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6A24"/>
    <w:rPr>
      <w:b/>
      <w:smallCaps/>
    </w:rPr>
  </w:style>
  <w:style w:type="paragraph" w:customStyle="1" w:styleId="TableListNumber">
    <w:name w:val="Table List Number"/>
    <w:basedOn w:val="ListNumber"/>
    <w:rsid w:val="00536A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6A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6A24"/>
    <w:pPr>
      <w:numPr>
        <w:numId w:val="9"/>
      </w:numPr>
    </w:pPr>
  </w:style>
  <w:style w:type="paragraph" w:customStyle="1" w:styleId="ListAlpha2">
    <w:name w:val="List Alpha 2"/>
    <w:basedOn w:val="List2"/>
    <w:rsid w:val="00536A24"/>
    <w:pPr>
      <w:numPr>
        <w:numId w:val="8"/>
      </w:numPr>
    </w:pPr>
  </w:style>
  <w:style w:type="paragraph" w:styleId="List2">
    <w:name w:val="List 2"/>
    <w:basedOn w:val="BodyText"/>
    <w:rsid w:val="00536A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6A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6A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6A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6A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6A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6A24"/>
    <w:pPr>
      <w:numPr>
        <w:numId w:val="4"/>
      </w:numPr>
    </w:pPr>
  </w:style>
  <w:style w:type="paragraph" w:styleId="ListContinue2">
    <w:name w:val="List Continue 2"/>
    <w:basedOn w:val="List2"/>
    <w:rsid w:val="00536A24"/>
    <w:pPr>
      <w:ind w:firstLine="0"/>
    </w:pPr>
  </w:style>
  <w:style w:type="paragraph" w:styleId="ListContinue3">
    <w:name w:val="List Continue 3"/>
    <w:basedOn w:val="List3"/>
    <w:rsid w:val="00536A24"/>
    <w:pPr>
      <w:ind w:left="1021" w:firstLine="0"/>
    </w:pPr>
  </w:style>
  <w:style w:type="paragraph" w:styleId="ListContinue4">
    <w:name w:val="List Continue 4"/>
    <w:basedOn w:val="List4"/>
    <w:rsid w:val="00536A24"/>
    <w:pPr>
      <w:ind w:firstLine="0"/>
    </w:pPr>
  </w:style>
  <w:style w:type="paragraph" w:styleId="ListContinue5">
    <w:name w:val="List Continue 5"/>
    <w:basedOn w:val="List5"/>
    <w:rsid w:val="00536A24"/>
    <w:pPr>
      <w:ind w:firstLine="0"/>
    </w:pPr>
  </w:style>
  <w:style w:type="paragraph" w:styleId="ListNumber3">
    <w:name w:val="List Number 3"/>
    <w:basedOn w:val="List3"/>
    <w:rsid w:val="00536A24"/>
    <w:pPr>
      <w:numPr>
        <w:numId w:val="5"/>
      </w:numPr>
    </w:pPr>
  </w:style>
  <w:style w:type="paragraph" w:styleId="ListNumber4">
    <w:name w:val="List Number 4"/>
    <w:basedOn w:val="List4"/>
    <w:rsid w:val="00536A24"/>
    <w:pPr>
      <w:numPr>
        <w:numId w:val="6"/>
      </w:numPr>
    </w:pPr>
  </w:style>
  <w:style w:type="paragraph" w:styleId="ListNumber5">
    <w:name w:val="List Number 5"/>
    <w:basedOn w:val="List5"/>
    <w:rsid w:val="00536A24"/>
    <w:pPr>
      <w:numPr>
        <w:numId w:val="7"/>
      </w:numPr>
    </w:pPr>
  </w:style>
  <w:style w:type="paragraph" w:styleId="BlockText">
    <w:name w:val="Block Text"/>
    <w:basedOn w:val="Normal"/>
    <w:rsid w:val="00536A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6A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6A24"/>
    <w:rPr>
      <w:sz w:val="16"/>
      <w:vertAlign w:val="superscript"/>
    </w:rPr>
  </w:style>
  <w:style w:type="character" w:customStyle="1" w:styleId="Symbols">
    <w:name w:val="Symbols"/>
    <w:basedOn w:val="DefaultParagraphFont"/>
    <w:rsid w:val="00536A24"/>
    <w:rPr>
      <w:rFonts w:ascii="Symbol" w:hAnsi="Symbol"/>
    </w:rPr>
  </w:style>
  <w:style w:type="character" w:customStyle="1" w:styleId="MenuOptions">
    <w:name w:val="Menu Options"/>
    <w:basedOn w:val="DefaultParagraphFont"/>
    <w:rsid w:val="00536A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6A24"/>
    <w:rPr>
      <w:b/>
    </w:rPr>
  </w:style>
  <w:style w:type="character" w:customStyle="1" w:styleId="Underlined">
    <w:name w:val="Underlined"/>
    <w:basedOn w:val="DefaultParagraphFont"/>
    <w:rsid w:val="00536A24"/>
    <w:rPr>
      <w:u w:val="single"/>
    </w:rPr>
  </w:style>
  <w:style w:type="paragraph" w:customStyle="1" w:styleId="TableBodyTextRight">
    <w:name w:val="Table Body Text Right"/>
    <w:basedOn w:val="TableBodyText"/>
    <w:rsid w:val="00536A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6A24"/>
    <w:rPr>
      <w:sz w:val="18"/>
    </w:rPr>
  </w:style>
  <w:style w:type="paragraph" w:customStyle="1" w:styleId="BodySmallRight">
    <w:name w:val="Body Small Right"/>
    <w:basedOn w:val="BodyTextRight"/>
    <w:rsid w:val="00536A24"/>
    <w:rPr>
      <w:sz w:val="18"/>
      <w:szCs w:val="18"/>
    </w:rPr>
  </w:style>
  <w:style w:type="paragraph" w:customStyle="1" w:styleId="MarginEdition">
    <w:name w:val="Margin Edition"/>
    <w:basedOn w:val="MarginNote"/>
    <w:rsid w:val="00536A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6A24"/>
    <w:rPr>
      <w:sz w:val="2"/>
      <w:szCs w:val="2"/>
    </w:rPr>
  </w:style>
  <w:style w:type="character" w:customStyle="1" w:styleId="Small">
    <w:name w:val="Small"/>
    <w:basedOn w:val="DefaultParagraphFont"/>
    <w:rsid w:val="00536A24"/>
    <w:rPr>
      <w:sz w:val="16"/>
    </w:rPr>
  </w:style>
  <w:style w:type="paragraph" w:customStyle="1" w:styleId="WideTable">
    <w:name w:val="Wide Table"/>
    <w:basedOn w:val="Normal"/>
    <w:rsid w:val="00536A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6A24"/>
  </w:style>
  <w:style w:type="paragraph" w:styleId="Quote">
    <w:name w:val="Quote"/>
    <w:basedOn w:val="Heading1"/>
    <w:link w:val="QuoteChar"/>
    <w:qFormat/>
    <w:rsid w:val="00536A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6A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6A24"/>
    <w:pPr>
      <w:pageBreakBefore/>
    </w:pPr>
  </w:style>
  <w:style w:type="paragraph" w:customStyle="1" w:styleId="Border">
    <w:name w:val="Border"/>
    <w:basedOn w:val="Normal"/>
    <w:qFormat/>
    <w:rsid w:val="00536A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6A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6A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6A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6A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6A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6A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6A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6A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6A24"/>
    <w:rPr>
      <w:u w:val="single"/>
    </w:rPr>
  </w:style>
  <w:style w:type="character" w:customStyle="1" w:styleId="BoldandItalics">
    <w:name w:val="Bold and Italics"/>
    <w:qFormat/>
    <w:rsid w:val="00536A24"/>
    <w:rPr>
      <w:b/>
      <w:i/>
      <w:u w:val="none"/>
    </w:rPr>
  </w:style>
  <w:style w:type="paragraph" w:styleId="BalloonText">
    <w:name w:val="Balloon Text"/>
    <w:basedOn w:val="Normal"/>
    <w:link w:val="BalloonTextChar"/>
    <w:rsid w:val="00536A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6A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6A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6A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6A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6A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6A24"/>
    <w:pPr>
      <w:spacing w:before="0" w:after="0"/>
    </w:pPr>
  </w:style>
  <w:style w:type="paragraph" w:customStyle="1" w:styleId="BodyTextBold">
    <w:name w:val="Body Text Bold"/>
    <w:basedOn w:val="BodyText"/>
    <w:qFormat/>
    <w:rsid w:val="00536A24"/>
    <w:rPr>
      <w:b/>
    </w:rPr>
  </w:style>
  <w:style w:type="character" w:styleId="Hyperlink">
    <w:name w:val="Hyperlink"/>
    <w:basedOn w:val="DefaultParagraphFont"/>
    <w:uiPriority w:val="99"/>
    <w:unhideWhenUsed/>
    <w:rsid w:val="009620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1059</Words>
  <Characters>7213</Characters>
  <Application>Microsoft Office Word</Application>
  <DocSecurity>0</DocSecurity>
  <Lines>138</Lines>
  <Paragraphs>88</Paragraphs>
  <ScaleCrop>false</ScaleCrop>
  <Company>Author-it Software Corporation Ltd.</Company>
  <LinksUpToDate>false</LinksUpToDate>
  <CharactersWithSpaces>8184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MSMTMREF301 Use and maintain reference standards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2023-02-03T05:52:00Z</dcterms:created>
  <dcterms:modified xsi:type="dcterms:W3CDTF">2023-02-03T05:52:00Z</dcterms:modified>
</cp:coreProperties>
</file>