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305" w:rsidP="00332305">
      <w:pPr>
        <w:pStyle w:val="Title"/>
      </w:pPr>
      <w:r>
        <w:fldChar w:fldCharType="begin"/>
      </w:r>
      <w:r>
        <w:instrText xml:space="preserve"> TITLE   \* MERGEFORMAT </w:instrText>
      </w:r>
      <w:r>
        <w:fldChar w:fldCharType="separate"/>
      </w:r>
      <w:r>
        <w:t>MSMTMINS501 Inspect a range of complex measuring instruments</w:t>
      </w:r>
      <w:r>
        <w:fldChar w:fldCharType="end"/>
      </w:r>
    </w:p>
    <w:p w:rsidR="00332305" w:rsidP="00332305">
      <w:pPr>
        <w:pStyle w:val="Version"/>
        <w:sectPr w:rsidSect="004D4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4D3C" w:rsidP="004D4D3C">
      <w:pPr>
        <w:pStyle w:val="SuperHeading"/>
      </w:pPr>
      <w:r w:rsidRPr="004D4D3C">
        <w:t>MSMTMINS501 Inspect a range of complex measuring instruments</w:t>
      </w:r>
    </w:p>
    <w:p w:rsidR="00000000" w:rsidRPr="004D4D3C" w:rsidP="004D4D3C">
      <w:pPr>
        <w:pStyle w:val="Heading1"/>
      </w:pPr>
      <w:bookmarkStart w:id="1" w:name="O_939399"/>
      <w:bookmarkEnd w:id="1"/>
      <w:r w:rsidRPr="004D4D3C">
        <w:t>Modification History</w:t>
      </w:r>
    </w:p>
    <w:p w:rsidR="00000000" w:rsidRPr="004D4D3C" w:rsidP="00332305">
      <w:pPr>
        <w:pStyle w:val="BodyText"/>
      </w:pPr>
      <w:r w:rsidRPr="004D4D3C">
        <w:t>Release 2. Adjustments to the Application, Performance Criteria, Range of Conditions, Adjustments to Performance Evidence, Assessment Conditions and minor corrections. Equivalent.</w:t>
      </w:r>
    </w:p>
    <w:p w:rsidR="00000000" w:rsidRPr="004D4D3C" w:rsidP="00332305">
      <w:pPr>
        <w:pStyle w:val="BodyText"/>
      </w:pPr>
      <w:r w:rsidRPr="004D4D3C">
        <w:t>Release 1. Supersedes and is equivalent</w:t>
      </w:r>
      <w:r w:rsidRPr="004D4D3C">
        <w:t xml:space="preserve"> to MSATMINS501A Inspect a range of complex measuring instruments</w:t>
      </w:r>
    </w:p>
    <w:p w:rsidR="00000000" w:rsidRPr="004D4D3C" w:rsidP="004D4D3C">
      <w:pPr>
        <w:pStyle w:val="Heading1"/>
      </w:pPr>
      <w:bookmarkStart w:id="2" w:name="O_939398"/>
      <w:bookmarkEnd w:id="2"/>
      <w:r w:rsidRPr="004D4D3C">
        <w:t>Application</w:t>
      </w:r>
    </w:p>
    <w:p w:rsidR="00000000" w:rsidRPr="004D4D3C" w:rsidP="00332305">
      <w:pPr>
        <w:pStyle w:val="BodyText"/>
      </w:pPr>
      <w:r w:rsidRPr="004D4D3C">
        <w:t>This unit of competency covers the ability to apply National Instrument Test Procedures to determine whether complex measuring instruments are suitable for trade</w:t>
      </w:r>
      <w:r w:rsidRPr="004D4D3C">
        <w:t xml:space="preserve"> use. It involves the ability to perform significant calculations to assess instrument performance and conduct tests that may require coordination of a range of resources over extended durations in hazardous environments. This unit also involves auditing t</w:t>
      </w:r>
      <w:r w:rsidRPr="004D4D3C">
        <w:t>he performance of verifiers who have previously tested and verified instruments for trade use.</w:t>
      </w:r>
    </w:p>
    <w:p w:rsidR="00000000" w:rsidRPr="004D4D3C" w:rsidP="00332305">
      <w:pPr>
        <w:pStyle w:val="BodyText"/>
      </w:pPr>
      <w:r w:rsidRPr="004D4D3C">
        <w:t>This unit of competency is applicable to trade measurement inspectors appointed under national measurement legislation who may inspect a range of complex measur</w:t>
      </w:r>
      <w:r w:rsidRPr="004D4D3C">
        <w:t>ing instruments as part of their duties. Complex measuring instruments are used in a wide range of industrial environments. For example, automatic rail weighbridges, belt weighers, totalising hoppers, bulk fuel and liquid petroleum gas (LPG) flowmeters are</w:t>
      </w:r>
      <w:r w:rsidRPr="004D4D3C">
        <w:t xml:space="preserve"> used throughout the mining, road/rail freight and petroleum/gas industry sectors.</w:t>
      </w:r>
    </w:p>
    <w:p w:rsidR="00000000" w:rsidRPr="004D4D3C" w:rsidP="00332305">
      <w:pPr>
        <w:pStyle w:val="BodyText"/>
      </w:pPr>
      <w:r w:rsidRPr="004D4D3C">
        <w:t xml:space="preserve">Inspections may be performed over extended durations up to five days in non-routine and hazardous environments. Inspectors must work safely which may include using correct </w:t>
      </w:r>
      <w:r w:rsidRPr="004D4D3C">
        <w:t>manual handling techniques, applying basic first aid, identifying confined spaces, working with hazardous materials, working safely in hazardous environments, working with heavy machinery, use of appropriate workplace clearance forms, safety induction, ris</w:t>
      </w:r>
      <w:r w:rsidRPr="004D4D3C">
        <w:t>k assessment, working at heights and biosecurity issues.</w:t>
      </w:r>
    </w:p>
    <w:p w:rsidR="00000000" w:rsidRPr="004D4D3C" w:rsidP="00332305">
      <w:pPr>
        <w:pStyle w:val="BodyText"/>
      </w:pPr>
      <w:r w:rsidRPr="004D4D3C">
        <w:t xml:space="preserve">While no specific licensing or certification requirements apply to this unit at the time of publication, all inspection activity is legislated under the </w:t>
      </w:r>
      <w:r w:rsidRPr="004D4D3C">
        <w:rPr>
          <w:rStyle w:val="Emphasis"/>
        </w:rPr>
        <w:t>National Measurement Act 1960.</w:t>
      </w:r>
    </w:p>
    <w:p w:rsidR="00000000" w:rsidRPr="004D4D3C" w:rsidP="004D4D3C">
      <w:pPr>
        <w:pStyle w:val="Heading1"/>
      </w:pPr>
      <w:bookmarkStart w:id="3" w:name="O_939397"/>
      <w:bookmarkEnd w:id="3"/>
      <w:r w:rsidRPr="004D4D3C">
        <w:t>Pre-requisite Unit</w:t>
      </w:r>
    </w:p>
    <w:p w:rsidR="00000000" w:rsidRPr="004D4D3C" w:rsidP="00332305">
      <w:pPr>
        <w:pStyle w:val="BodyText"/>
      </w:pPr>
      <w:r w:rsidRPr="004D4D3C">
        <w:t>Nil</w:t>
      </w:r>
    </w:p>
    <w:p w:rsidR="00000000" w:rsidRPr="004D4D3C" w:rsidP="004D4D3C">
      <w:pPr>
        <w:pStyle w:val="Heading1"/>
      </w:pPr>
      <w:bookmarkStart w:id="4" w:name="O_939396"/>
      <w:bookmarkEnd w:id="4"/>
      <w:r w:rsidRPr="004D4D3C">
        <w:t>Competency Field</w:t>
      </w:r>
    </w:p>
    <w:p w:rsidR="00000000" w:rsidRPr="004D4D3C" w:rsidP="00332305">
      <w:pPr>
        <w:pStyle w:val="BodyText"/>
      </w:pPr>
      <w:r w:rsidRPr="004D4D3C">
        <w:t>Trade measurement</w:t>
      </w:r>
    </w:p>
    <w:p w:rsidR="00000000" w:rsidRPr="004D4D3C" w:rsidP="004D4D3C">
      <w:pPr>
        <w:pStyle w:val="Heading1"/>
      </w:pPr>
      <w:bookmarkStart w:id="5" w:name="O_939395"/>
      <w:bookmarkEnd w:id="5"/>
      <w:r w:rsidRPr="004D4D3C">
        <w:t>Unit Sector</w:t>
      </w:r>
    </w:p>
    <w:p w:rsidR="00000000" w:rsidRPr="004D4D3C" w:rsidP="004D4D3C">
      <w:pPr>
        <w:pStyle w:val="Heading1"/>
      </w:pPr>
      <w:bookmarkStart w:id="6" w:name="O_939394"/>
      <w:bookmarkEnd w:id="6"/>
      <w:r w:rsidRPr="004D4D3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Performance criteria describe the performance needed to d</w:t>
            </w:r>
            <w:r w:rsidRPr="004D4D3C">
              <w:t>emonstrate achievement of the element</w:t>
            </w:r>
          </w:p>
        </w:tc>
      </w:tr>
      <w:tr w:rsidTr="004D4D3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Prepare for inspection</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and evaluate the type of instrument to be inspected</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Access and review any history of previous inspection outcomes for the trader and instrument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Access and correctly interpret documentation required for the inspection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Identify and access test equipment, products and consumables required for the inspection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1.5</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Ensure test equipment is fit for purpose in accordance with applicable legisla</w:t>
            </w:r>
            <w:r w:rsidRPr="004D4D3C">
              <w:t xml:space="preserve">tion and organisational procedures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1.6</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Store and transport equipment in accordance with organisational procedures and industry best practice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1.7</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workplace health and safety issues relevant to the inspection</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1.8</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Develop an inspection strategy to maximise resources and minimise time required to complete the inspection</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Liaise with the trader to schedule complex tests</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Discuss inspection arrangements with site controller where applicable</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relevant local workplace, health and safety issues and implement appropriate control strategies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Discuss the inspection strategy with the trader to minimise its impact on the trader</w:t>
            </w:r>
            <w:r>
              <w:t>’</w:t>
            </w:r>
            <w:r w:rsidRPr="004D4D3C">
              <w:t>s normal operations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Arrange site clearances and suit</w:t>
            </w:r>
            <w:r w:rsidRPr="004D4D3C">
              <w:t>able scheduling for tests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2.5</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Negotiate access to trader</w:t>
            </w:r>
            <w:r>
              <w:t>’</w:t>
            </w:r>
            <w:r w:rsidRPr="004D4D3C">
              <w:t>s equipment, materials and support personnel required for testing to be available on site</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2.6</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Arrange for any equipment to be provided by the trader, if required.</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Initiate inspection</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the site controller, explain/review the purpose of the inspection and, if required, produce formal identification</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Review inspection strategy to ensure there is minimal disruption to the public and/or trader</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Communicate inspection strategy to all personnel involved</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locations for product return or disposal if applicable</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3.5</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Evaluate the impacts of the operating environment on the instrument performance or test results and, where applicable, implement corrective actions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3.6</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Identify operational factors impacting on instrument performance or test result and, where applicable</w:t>
            </w:r>
            <w:r w:rsidRPr="004D4D3C">
              <w:t>, implement corrective actions</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Evaluate complex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the maximum permissible errors for the instrument from the legislative requirements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Manage and review resources to maintain inspection timelines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Provide effective communication to ensure relevant personnel are informed of variations to the inspection strategy and inspection progress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Check instrument for compliance with the appropriate Certificates of Approval</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4.5</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Inspect the instrument in accordance with relevant National Instrument Test Procedures and appropriate National Measurement Institute (NMI) policy</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Analyse inspection results</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Perform specified calculations to determine a performance result for the i</w:t>
            </w:r>
            <w:r w:rsidRPr="004D4D3C">
              <w:t>nstrument with appropriate accuracy, precision and significant figures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Use graphical and statistical analysis to analyse results as necessary</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Analyse inspection data for unacceptable performance trends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Ensure results are consistent with reasonable expectations and estimations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5.5</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Evaluate results against prescribed performance criteria and determine if the instrument is suitable for trade use in accordance with legislative requirements</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Evaluate v</w:t>
            </w:r>
            <w:r w:rsidRPr="004D4D3C">
              <w:t>erifier performance</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Analyse verifiers’ complex instrument test reports to identify potential verifier performance deficiencies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the scope of the verifier performance audit</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Identify the expected outcomes of the verifier performance audit</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Communicate the scope and process of the performance audit to the verifier</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6.5</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Assess the verifier</w:t>
            </w:r>
            <w:r>
              <w:t>’</w:t>
            </w:r>
            <w:r w:rsidRPr="004D4D3C">
              <w:t>s performance against the expected outcome</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6.6</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Analyse any variances from the expected outcomes to identify any isolated or systemic problems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6.7</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Clearly communicate the results of the performance audit to the verifier, including any rectification requirements, in accordance with legislative require</w:t>
            </w:r>
            <w:r w:rsidRPr="004D4D3C">
              <w:t>ments and organisational policies and procedures</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Report inspection results</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If required, display the inspection result on the instrument in accordance with legislative requirements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Use test reports to present inspection results in the required format</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Complete inspection documentation in accordance with legislative requirements and organisational procedures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7.4</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Communicate inspection results within the specified time and in accordance with organisational guidelines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7.5</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Recommend corrective actions as appropriate</w:t>
            </w:r>
          </w:p>
        </w:tc>
      </w:tr>
    </w:tbl>
    <w:p w:rsidR="00000000" w:rsidRPr="004D4D3C" w:rsidP="004D4D3C">
      <w:pPr>
        <w:pStyle w:val="BodyText"/>
      </w:pPr>
    </w:p>
    <w:tbl>
      <w:tblPr>
        <w:tblW w:w="0" w:type="auto"/>
        <w:tblLayout w:type="fixed"/>
        <w:tblCellMar>
          <w:left w:w="62" w:type="dxa"/>
          <w:right w:w="62" w:type="dxa"/>
        </w:tblCellMar>
        <w:tblLook w:val="0000"/>
      </w:tblPr>
      <w:tblGrid>
        <w:gridCol w:w="616"/>
        <w:gridCol w:w="1962"/>
        <w:gridCol w:w="770"/>
        <w:gridCol w:w="5610"/>
      </w:tblGrid>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8</w:t>
            </w:r>
          </w:p>
        </w:tc>
        <w:tc>
          <w:tcPr>
            <w:tcW w:w="1962" w:type="dxa"/>
            <w:vMerge w:val="restart"/>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Act on non-compliance</w:t>
            </w: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8.1</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Select applicable enforcement action for the non-compliance in accord</w:t>
            </w:r>
            <w:r w:rsidRPr="004D4D3C">
              <w:t xml:space="preserve">ance with legislative requirements and organisational policy and procedures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8.2</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 xml:space="preserve">Inform traders of non-compliances and consequences of failing to have them corrected </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8.3</w:t>
            </w:r>
          </w:p>
        </w:tc>
        <w:tc>
          <w:tcPr>
            <w:tcW w:w="561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Implement enfo</w:t>
            </w:r>
            <w:r w:rsidRPr="004D4D3C">
              <w:t>rcement action in accordance with legislative requirements and organisational policy and procedures</w:t>
            </w:r>
          </w:p>
        </w:tc>
      </w:tr>
      <w:tr w:rsidTr="004D4D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8.4</w:t>
            </w:r>
          </w:p>
        </w:tc>
        <w:tc>
          <w:tcPr>
            <w:tcW w:w="5610"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Respect the rights of the trader at all times</w:t>
            </w:r>
          </w:p>
        </w:tc>
      </w:tr>
    </w:tbl>
    <w:p w:rsidR="00000000" w:rsidRPr="004D4D3C" w:rsidP="004D4D3C">
      <w:pPr>
        <w:pStyle w:val="BodyText"/>
      </w:pPr>
    </w:p>
    <w:p w:rsidR="00000000" w:rsidRPr="004D4D3C" w:rsidP="004D4D3C">
      <w:pPr>
        <w:pStyle w:val="AllowPageBreak"/>
      </w:pPr>
    </w:p>
    <w:p w:rsidR="00000000" w:rsidRPr="004D4D3C" w:rsidP="004D4D3C">
      <w:pPr>
        <w:pStyle w:val="Heading1"/>
      </w:pPr>
      <w:bookmarkStart w:id="7" w:name="O_939393"/>
      <w:bookmarkEnd w:id="7"/>
      <w:r w:rsidRPr="004D4D3C">
        <w:t>Foundation Skills</w:t>
      </w:r>
    </w:p>
    <w:p w:rsidR="00000000" w:rsidRPr="004D4D3C" w:rsidP="00332305">
      <w:pPr>
        <w:pStyle w:val="BodyText"/>
      </w:pPr>
      <w:r w:rsidRPr="004D4D3C">
        <w:t>This section describes those language, literacy, numeracy and empl</w:t>
      </w:r>
      <w:r w:rsidRPr="004D4D3C">
        <w:t>oyment skills that are essential to performance.</w:t>
      </w:r>
    </w:p>
    <w:p w:rsidR="00000000" w:rsidRPr="004D4D3C" w:rsidP="00332305">
      <w:pPr>
        <w:pStyle w:val="BodyText"/>
      </w:pPr>
      <w:r w:rsidRPr="004D4D3C">
        <w:t>Foundation skills essential to performance are explicit in the performance criteria of this unit of competency.</w:t>
      </w:r>
    </w:p>
    <w:p w:rsidR="00000000" w:rsidRPr="004D4D3C" w:rsidP="004D4D3C">
      <w:pPr>
        <w:pStyle w:val="Heading1"/>
      </w:pPr>
      <w:bookmarkStart w:id="8" w:name="O_939392"/>
      <w:bookmarkEnd w:id="8"/>
      <w:r w:rsidRPr="004D4D3C">
        <w:t>Range of Conditions</w:t>
      </w:r>
    </w:p>
    <w:tbl>
      <w:tblPr>
        <w:tblW w:w="0" w:type="auto"/>
        <w:tblLayout w:type="fixed"/>
        <w:tblCellMar>
          <w:left w:w="62" w:type="dxa"/>
          <w:right w:w="62" w:type="dxa"/>
        </w:tblCellMar>
        <w:tblLook w:val="0000"/>
      </w:tblPr>
      <w:tblGrid>
        <w:gridCol w:w="2963"/>
        <w:gridCol w:w="6109"/>
      </w:tblGrid>
      <w:tr w:rsidTr="004D4D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t>This field allows for different work environments an</w:t>
            </w:r>
            <w:r w:rsidRPr="004D4D3C">
              <w:t>d conditions that may affect performance. Essential operating conditions that may be present (depending on the work situation, needs of the candidate, accessibility of the item, and local industry and regional contexts) are included.</w:t>
            </w: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 xml:space="preserve">National Instrument </w:t>
            </w:r>
            <w:r w:rsidRPr="004D4D3C">
              <w:rPr>
                <w:rStyle w:val="SpecialBold"/>
              </w:rPr>
              <w:t>Test Procedures include one or more of:</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 xml:space="preserve">measurement instrument test procedures </w:t>
            </w:r>
          </w:p>
          <w:p w:rsidR="00000000" w:rsidRPr="004D4D3C" w:rsidP="004D4D3C">
            <w:pPr>
              <w:pStyle w:val="ListBullet"/>
            </w:pPr>
            <w:r w:rsidRPr="004D4D3C">
              <w:t>any other test procedure prescribed by the NMI</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Classes of complex measuring instruments include one or more of:</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non-automatic weighing machines &gt;3 tonne</w:t>
            </w:r>
          </w:p>
          <w:p w:rsidR="00000000" w:rsidRPr="004D4D3C" w:rsidP="004D4D3C">
            <w:pPr>
              <w:pStyle w:val="ListBullet"/>
            </w:pPr>
            <w:r w:rsidRPr="004D4D3C">
              <w:t>LPG dispensers</w:t>
            </w:r>
          </w:p>
          <w:p w:rsidR="00000000" w:rsidRPr="004D4D3C" w:rsidP="004D4D3C">
            <w:pPr>
              <w:pStyle w:val="ListBullet"/>
            </w:pPr>
            <w:r w:rsidRPr="004D4D3C">
              <w:t>bulk LPG flowmetering systems</w:t>
            </w:r>
          </w:p>
          <w:p w:rsidR="00000000" w:rsidRPr="004D4D3C" w:rsidP="004D4D3C">
            <w:pPr>
              <w:pStyle w:val="ListBullet"/>
            </w:pPr>
            <w:r w:rsidRPr="004D4D3C">
              <w:t>bulk flowmetering systems for liquid hydrocarbons other than LPG</w:t>
            </w:r>
          </w:p>
          <w:p w:rsidR="00000000" w:rsidRPr="004D4D3C" w:rsidP="004D4D3C">
            <w:pPr>
              <w:pStyle w:val="ListBullet"/>
            </w:pPr>
            <w:r w:rsidRPr="004D4D3C">
              <w:t xml:space="preserve">bulk flowmetering systems for liquid products </w:t>
            </w:r>
            <w:r w:rsidRPr="004D4D3C">
              <w:rPr>
                <w:rStyle w:val="SpecialBold"/>
              </w:rPr>
              <w:t>other than</w:t>
            </w:r>
            <w:r w:rsidRPr="004D4D3C">
              <w:t xml:space="preserve"> liquid hydrocarbons</w:t>
            </w:r>
          </w:p>
          <w:p w:rsidR="00000000" w:rsidRPr="004D4D3C" w:rsidP="004D4D3C">
            <w:pPr>
              <w:pStyle w:val="ListBullet"/>
            </w:pPr>
            <w:r w:rsidRPr="004D4D3C">
              <w:t>dispensers and flowmetering systems for gaseous products (excluding utility meters)</w:t>
            </w:r>
          </w:p>
          <w:p w:rsidR="00000000" w:rsidRPr="004D4D3C" w:rsidP="004D4D3C">
            <w:pPr>
              <w:pStyle w:val="ListBullet"/>
            </w:pPr>
            <w:r w:rsidRPr="004D4D3C">
              <w:t>automatic rail weighbridges</w:t>
            </w:r>
          </w:p>
          <w:p w:rsidR="00000000" w:rsidRPr="004D4D3C" w:rsidP="004D4D3C">
            <w:pPr>
              <w:pStyle w:val="ListBullet"/>
            </w:pPr>
            <w:r w:rsidRPr="004D4D3C">
              <w:t>continuous totalising automatic weighing instruments (belt weighers)</w:t>
            </w:r>
          </w:p>
          <w:p w:rsidR="00000000" w:rsidRPr="004D4D3C" w:rsidP="004D4D3C">
            <w:pPr>
              <w:pStyle w:val="ListBullet"/>
            </w:pPr>
            <w:r w:rsidRPr="004D4D3C">
              <w:t>discontinuous totalising hopper weighing instruments</w:t>
            </w:r>
          </w:p>
          <w:p w:rsidR="00000000" w:rsidRPr="004D4D3C" w:rsidP="004D4D3C">
            <w:pPr>
              <w:pStyle w:val="ListBullet"/>
            </w:pPr>
            <w:r w:rsidRPr="004D4D3C">
              <w:t>any other complex measuring instrument prescribed by the NMI</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Test equipment includes:</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reference standards of measurement</w:t>
            </w:r>
          </w:p>
          <w:p w:rsidR="00000000" w:rsidRPr="004D4D3C" w:rsidP="004D4D3C">
            <w:pPr>
              <w:pStyle w:val="ListBullet"/>
            </w:pPr>
            <w:r w:rsidRPr="004D4D3C">
              <w:t>equipment, such as weighing instruments, pumping units, two-way communication, LPG cylinders, hoses, fittings, rail wagons, trains and tankers</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Certificates of Approval include:</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any Certificate issued by the Chief Metro</w:t>
            </w:r>
            <w:r w:rsidRPr="004D4D3C">
              <w:t xml:space="preserve">logist under Regulation 60 of the </w:t>
            </w:r>
            <w:r w:rsidRPr="004D4D3C">
              <w:rPr>
                <w:rStyle w:val="Emphasis"/>
              </w:rPr>
              <w:t xml:space="preserve">National Measurement Regulations 1999 </w:t>
            </w:r>
            <w:r w:rsidRPr="004D4D3C">
              <w:t>approving the pattern of a complex weighing instrument as being suitable for trade</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Prescribed performance criteria for complex measuring instruments include:</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 xml:space="preserve">that the instrument is </w:t>
            </w:r>
            <w:r w:rsidRPr="004D4D3C">
              <w:t xml:space="preserve">of an approved pattern </w:t>
            </w:r>
          </w:p>
          <w:p w:rsidR="00000000" w:rsidRPr="004D4D3C" w:rsidP="004D4D3C">
            <w:pPr>
              <w:pStyle w:val="ListBullet"/>
            </w:pPr>
            <w:r w:rsidRPr="004D4D3C">
              <w:t>that the instrument operates within the appropriate limits of error permitted by legislation</w:t>
            </w:r>
          </w:p>
          <w:p w:rsidR="00000000" w:rsidRPr="004D4D3C" w:rsidP="004D4D3C">
            <w:pPr>
              <w:pStyle w:val="ListBullet"/>
            </w:pPr>
            <w:r w:rsidRPr="004D4D3C">
              <w:t>that the instrument is used in accordance with any legislative requirements</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Verification</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 xml:space="preserve">Has the same meaning as Section 18GG of the </w:t>
            </w:r>
            <w:r w:rsidRPr="004D4D3C">
              <w:rPr>
                <w:rStyle w:val="Emphasis"/>
              </w:rPr>
              <w:t>National Measurement Act 1960</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Verification marks</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BodyText"/>
            </w:pPr>
            <w:r w:rsidRPr="004D4D3C">
              <w:t xml:space="preserve">Verification marks for different instruments are defined in Regulations 2.28 and 2.29 of the </w:t>
            </w:r>
            <w:r w:rsidRPr="004D4D3C">
              <w:rPr>
                <w:rStyle w:val="Emphasis"/>
              </w:rPr>
              <w:t>National Trade Measurement Regulations 2009</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Trading practices include one or more of:</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methods used for the sa</w:t>
            </w:r>
            <w:r w:rsidRPr="004D4D3C">
              <w:t>le of goods</w:t>
            </w:r>
          </w:p>
          <w:p w:rsidR="00000000" w:rsidRPr="004D4D3C" w:rsidP="004D4D3C">
            <w:pPr>
              <w:pStyle w:val="ListBullet"/>
            </w:pPr>
            <w:r w:rsidRPr="004D4D3C">
              <w:t>using measuring instruments</w:t>
            </w:r>
          </w:p>
          <w:p w:rsidR="00000000" w:rsidRPr="004D4D3C" w:rsidP="004D4D3C">
            <w:pPr>
              <w:pStyle w:val="ListBullet"/>
            </w:pPr>
            <w:r w:rsidRPr="004D4D3C">
              <w:t>position of measuring instruments</w:t>
            </w:r>
          </w:p>
          <w:p w:rsidR="00000000" w:rsidRPr="004D4D3C" w:rsidP="004D4D3C">
            <w:pPr>
              <w:pStyle w:val="ListBullet"/>
            </w:pPr>
            <w:r w:rsidRPr="004D4D3C">
              <w:t>environmental factors</w:t>
            </w:r>
          </w:p>
          <w:p w:rsidR="00000000" w:rsidRPr="004D4D3C" w:rsidP="004D4D3C">
            <w:pPr>
              <w:pStyle w:val="ListBullet"/>
            </w:pPr>
            <w:r w:rsidRPr="004D4D3C">
              <w:t>suitability of instrument</w:t>
            </w:r>
          </w:p>
          <w:p w:rsidR="00000000" w:rsidRPr="004D4D3C" w:rsidP="004D4D3C">
            <w:pPr>
              <w:pStyle w:val="ListBullet"/>
            </w:pPr>
            <w:r w:rsidRPr="004D4D3C">
              <w:t>incorrect measurement</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Enforcement actions include one or more of:</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formal warnings, infringement notices, undertakings, injunction and prosecutions</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Legislation includes:</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national measurement legislation</w:t>
            </w:r>
          </w:p>
          <w:p w:rsidR="00000000" w:rsidRPr="004D4D3C" w:rsidP="004D4D3C">
            <w:pPr>
              <w:pStyle w:val="ListBullet"/>
            </w:pPr>
            <w:r w:rsidRPr="004D4D3C">
              <w:t>applicable Commonwealth, state and territory work/occupational health and safety (WHS/OHS) legislation</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NMI policy i</w:t>
            </w:r>
            <w:r w:rsidRPr="004D4D3C">
              <w:rPr>
                <w:rStyle w:val="SpecialBold"/>
              </w:rPr>
              <w:t>ncludes:</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test procedure variations between a verification, in-service or audit inspection</w:t>
            </w:r>
          </w:p>
          <w:p w:rsidR="00000000" w:rsidRPr="004D4D3C" w:rsidP="004D4D3C">
            <w:pPr>
              <w:pStyle w:val="ListBullet"/>
            </w:pPr>
            <w:r w:rsidRPr="004D4D3C">
              <w:t>bulletins</w:t>
            </w:r>
          </w:p>
          <w:p w:rsidR="00000000" w:rsidRPr="004D4D3C" w:rsidP="004D4D3C">
            <w:pPr>
              <w:pStyle w:val="ListBullet"/>
            </w:pPr>
            <w:r w:rsidRPr="004D4D3C">
              <w:t>instructions</w:t>
            </w:r>
          </w:p>
          <w:p w:rsidR="00000000" w:rsidRPr="004D4D3C" w:rsidP="004D4D3C">
            <w:pPr>
              <w:pStyle w:val="ListBullet"/>
            </w:pPr>
            <w:r w:rsidRPr="004D4D3C">
              <w:t>determinations</w:t>
            </w:r>
          </w:p>
          <w:p w:rsidR="00000000" w:rsidP="004D4D3C">
            <w:pPr>
              <w:pStyle w:val="BodyText"/>
              <w:rPr>
                <w:lang w:val="en-NZ"/>
              </w:rPr>
            </w:pPr>
          </w:p>
        </w:tc>
      </w:tr>
      <w:tr w:rsidTr="004D4D3C">
        <w:tblPrEx>
          <w:tblW w:w="0" w:type="auto"/>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4D4D3C">
            <w:pPr>
              <w:pStyle w:val="BodyText"/>
              <w:rPr>
                <w:lang w:val="en-NZ"/>
              </w:rPr>
            </w:pPr>
            <w:r w:rsidRPr="004D4D3C">
              <w:rPr>
                <w:rStyle w:val="SpecialBold"/>
              </w:rPr>
              <w:t>WHS/OHS and environmental management requirements include:</w:t>
            </w:r>
          </w:p>
        </w:tc>
        <w:tc>
          <w:tcPr>
            <w:tcW w:w="6109" w:type="dxa"/>
            <w:tcBorders>
              <w:top w:val="nil"/>
              <w:left w:val="nil"/>
              <w:bottom w:val="nil"/>
              <w:right w:val="nil"/>
            </w:tcBorders>
            <w:tcMar>
              <w:top w:w="0" w:type="dxa"/>
              <w:left w:w="62" w:type="dxa"/>
              <w:bottom w:w="0" w:type="dxa"/>
              <w:right w:w="62" w:type="dxa"/>
            </w:tcMar>
          </w:tcPr>
          <w:p w:rsidR="00000000" w:rsidRPr="004D4D3C" w:rsidP="004D4D3C">
            <w:pPr>
              <w:pStyle w:val="ListBullet"/>
            </w:pPr>
            <w:r w:rsidRPr="004D4D3C">
              <w:t>complying with WHS/OHS and environmental management requirements at all times, which may be imposed through state/territory or federal legislation. These requirements must not be compromised at any time</w:t>
            </w:r>
          </w:p>
          <w:p w:rsidR="00000000" w:rsidRPr="004D4D3C" w:rsidP="004D4D3C">
            <w:pPr>
              <w:pStyle w:val="ListBullet"/>
            </w:pPr>
            <w:r w:rsidRPr="004D4D3C">
              <w:t>applying standard precautions relating to the potenti</w:t>
            </w:r>
            <w:r w:rsidRPr="004D4D3C">
              <w:t>ally hazardous nature of material/product measured</w:t>
            </w:r>
          </w:p>
          <w:p w:rsidR="00000000" w:rsidRPr="004D4D3C" w:rsidP="004D4D3C">
            <w:pPr>
              <w:pStyle w:val="ListBullet"/>
            </w:pPr>
            <w:r w:rsidRPr="004D4D3C">
              <w:t>applying any necessary hygiene controls</w:t>
            </w:r>
          </w:p>
        </w:tc>
      </w:tr>
    </w:tbl>
    <w:p w:rsidR="00000000" w:rsidRPr="004D4D3C" w:rsidP="004D4D3C">
      <w:pPr>
        <w:pStyle w:val="BodyText"/>
      </w:pPr>
    </w:p>
    <w:p w:rsidR="00000000" w:rsidRPr="004D4D3C" w:rsidP="004D4D3C">
      <w:pPr>
        <w:pStyle w:val="AllowPageBreak"/>
      </w:pPr>
    </w:p>
    <w:p w:rsidR="00000000" w:rsidRPr="004D4D3C" w:rsidP="004D4D3C">
      <w:pPr>
        <w:pStyle w:val="Heading1"/>
      </w:pPr>
      <w:bookmarkStart w:id="9" w:name="O_939391"/>
      <w:bookmarkEnd w:id="9"/>
      <w:r w:rsidRPr="004D4D3C">
        <w:t>Unit Mapping Information</w:t>
      </w:r>
    </w:p>
    <w:p w:rsidR="00000000" w:rsidRPr="004D4D3C" w:rsidP="00332305">
      <w:pPr>
        <w:pStyle w:val="BodyText"/>
      </w:pPr>
      <w:r w:rsidRPr="004D4D3C">
        <w:t>Release 2. Adjustments to the Application, Performance Criteria, Range of Conditions, Adjustments to Performance Evidence, Assessment Conditions and minor corrections. Equivalent.</w:t>
      </w:r>
    </w:p>
    <w:p w:rsidR="00000000" w:rsidRPr="004D4D3C" w:rsidP="00332305">
      <w:pPr>
        <w:pStyle w:val="BodyText"/>
      </w:pPr>
      <w:r w:rsidRPr="004D4D3C">
        <w:t>Release 1. Supersedes and is equivalent to MSATMINS501A Inspect a range of c</w:t>
      </w:r>
      <w:r w:rsidRPr="004D4D3C">
        <w:t>omplex measuring instruments</w:t>
      </w:r>
    </w:p>
    <w:p w:rsidR="00000000" w:rsidRPr="004D4D3C" w:rsidP="004D4D3C">
      <w:pPr>
        <w:pStyle w:val="Heading1"/>
      </w:pPr>
      <w:bookmarkStart w:id="10" w:name="O_939400"/>
      <w:bookmarkEnd w:id="10"/>
      <w:r w:rsidRPr="004D4D3C">
        <w:t>Links</w:t>
      </w:r>
    </w:p>
    <w:p w:rsidR="00000000" w:rsidRPr="004D4D3C" w:rsidP="00332305">
      <w:pPr>
        <w:pStyle w:val="BodyText"/>
      </w:pPr>
      <w:r w:rsidRPr="004D4D3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91F78">
        <w:rPr>
          <w:rStyle w:val="Hyperlink"/>
        </w:rPr>
        <w:t>https://vetnet.gov.au/Pages/TrainingDocs.aspx?q=d1287d36-dff4-4e9f-ad2c-9d6270054027</w:t>
      </w:r>
      <w:r>
        <w:fldChar w:fldCharType="end"/>
      </w:r>
    </w:p>
    <w:p w:rsidR="00000000" w:rsidRPr="004D4D3C" w:rsidP="00332305">
      <w:pPr>
        <w:pStyle w:val="BodyText"/>
        <w:sectPr w:rsidSect="004D4D3C">
          <w:headerReference w:type="default" r:id="rId10"/>
          <w:footerReference w:type="default" r:id="rId11"/>
          <w:pgSz w:w="11908" w:h="16833"/>
          <w:pgMar w:top="1702" w:right="1418" w:bottom="1702" w:left="1418" w:header="992" w:footer="992" w:gutter="0"/>
          <w:cols w:space="720"/>
          <w:noEndnote/>
          <w:docGrid w:linePitch="299"/>
        </w:sectPr>
      </w:pPr>
    </w:p>
    <w:p w:rsidR="00000000" w:rsidRPr="004D4D3C" w:rsidP="004D4D3C">
      <w:pPr>
        <w:pStyle w:val="SuperHeading"/>
      </w:pPr>
      <w:r w:rsidRPr="004D4D3C">
        <w:t xml:space="preserve">Assessment </w:t>
      </w:r>
      <w:r w:rsidRPr="004D4D3C">
        <w:t>Requirements for MSMTMINS501 Inspect a range of complex measuring instruments</w:t>
      </w:r>
    </w:p>
    <w:p w:rsidR="00000000" w:rsidRPr="004D4D3C" w:rsidP="004D4D3C">
      <w:pPr>
        <w:pStyle w:val="Heading1"/>
      </w:pPr>
      <w:bookmarkStart w:id="11" w:name="O_939389"/>
      <w:bookmarkEnd w:id="11"/>
      <w:r w:rsidRPr="004D4D3C">
        <w:t>Modification History</w:t>
      </w:r>
    </w:p>
    <w:p w:rsidR="00000000" w:rsidRPr="004D4D3C" w:rsidP="00332305">
      <w:pPr>
        <w:pStyle w:val="BodyText"/>
      </w:pPr>
      <w:r w:rsidRPr="004D4D3C">
        <w:t>Release 2. Adjustments to the Application, Performance Criteria, Range of Conditions, Adjustments to Performance Evidence, Assessment Conditi</w:t>
      </w:r>
      <w:r w:rsidRPr="004D4D3C">
        <w:t>ons and minor corrections. Equivalent.</w:t>
      </w:r>
    </w:p>
    <w:p w:rsidR="00000000" w:rsidRPr="004D4D3C" w:rsidP="00332305">
      <w:pPr>
        <w:pStyle w:val="BodyText"/>
      </w:pPr>
      <w:r w:rsidRPr="004D4D3C">
        <w:t>Release 1. Supersedes and is equivalent to MSATMINS501A Inspect a range of complex measuring instruments</w:t>
      </w:r>
    </w:p>
    <w:p w:rsidR="00000000" w:rsidRPr="004D4D3C" w:rsidP="004D4D3C">
      <w:pPr>
        <w:pStyle w:val="Heading1"/>
      </w:pPr>
      <w:bookmarkStart w:id="12" w:name="O_939388"/>
      <w:bookmarkEnd w:id="12"/>
      <w:r w:rsidRPr="004D4D3C">
        <w:t>Performance Evidence</w:t>
      </w:r>
    </w:p>
    <w:p w:rsidR="00000000" w:rsidRPr="004D4D3C" w:rsidP="00332305">
      <w:pPr>
        <w:pStyle w:val="BodyText"/>
      </w:pPr>
      <w:r w:rsidRPr="004D4D3C">
        <w:t>Evidence of competence in this unit must satisfy all of the requirements o</w:t>
      </w:r>
      <w:r w:rsidRPr="004D4D3C">
        <w:t>f the elements and performance criteria, and include demonstration of:</w:t>
      </w:r>
    </w:p>
    <w:p w:rsidR="00000000" w:rsidRPr="004D4D3C" w:rsidP="004D4D3C">
      <w:pPr>
        <w:pStyle w:val="ListBullet"/>
      </w:pPr>
      <w:r w:rsidRPr="004D4D3C">
        <w:t>completing initial verification testing of one or more of the following complex weighing instruments:</w:t>
      </w:r>
    </w:p>
    <w:p w:rsidR="00000000" w:rsidRPr="004D4D3C" w:rsidP="004D4D3C">
      <w:pPr>
        <w:pStyle w:val="ListBullet2"/>
      </w:pPr>
      <w:r w:rsidRPr="004D4D3C">
        <w:t>non-automatic weighing machines &gt;3 tonne</w:t>
      </w:r>
    </w:p>
    <w:p w:rsidR="00000000" w:rsidRPr="004D4D3C" w:rsidP="004D4D3C">
      <w:pPr>
        <w:pStyle w:val="ListBullet2"/>
      </w:pPr>
      <w:r w:rsidRPr="004D4D3C">
        <w:t>automatic rail weighbridges</w:t>
      </w:r>
    </w:p>
    <w:p w:rsidR="00000000" w:rsidRPr="004D4D3C" w:rsidP="004D4D3C">
      <w:pPr>
        <w:pStyle w:val="ListBullet2"/>
      </w:pPr>
      <w:r w:rsidRPr="004D4D3C">
        <w:t>continuous totalising automatic weighing instruments (belt weighers)</w:t>
      </w:r>
    </w:p>
    <w:p w:rsidR="00000000" w:rsidRPr="004D4D3C" w:rsidP="004D4D3C">
      <w:pPr>
        <w:pStyle w:val="ListBullet2"/>
      </w:pPr>
      <w:r w:rsidRPr="004D4D3C">
        <w:t>discontinuous totalising hopper weighing instruments</w:t>
      </w:r>
    </w:p>
    <w:p w:rsidR="00000000" w:rsidRPr="004D4D3C" w:rsidP="004D4D3C">
      <w:pPr>
        <w:pStyle w:val="ListBullet"/>
      </w:pPr>
      <w:r w:rsidRPr="004D4D3C">
        <w:t>completing initial verification testing of one or more of the following complex fuel instruments:</w:t>
      </w:r>
    </w:p>
    <w:p w:rsidR="00000000" w:rsidRPr="004D4D3C" w:rsidP="004D4D3C">
      <w:pPr>
        <w:pStyle w:val="ListBullet2"/>
      </w:pPr>
      <w:r w:rsidRPr="004D4D3C">
        <w:t>LPG dispensers</w:t>
      </w:r>
    </w:p>
    <w:p w:rsidR="00000000" w:rsidRPr="004D4D3C" w:rsidP="004D4D3C">
      <w:pPr>
        <w:pStyle w:val="ListBullet2"/>
      </w:pPr>
      <w:r w:rsidRPr="004D4D3C">
        <w:t>bulk flowmetering s</w:t>
      </w:r>
      <w:r w:rsidRPr="004D4D3C">
        <w:t>ystems for liquid hydrocarbons other than LPG</w:t>
      </w:r>
    </w:p>
    <w:p w:rsidR="00000000" w:rsidRPr="004D4D3C" w:rsidP="004D4D3C">
      <w:pPr>
        <w:pStyle w:val="ListBullet2"/>
      </w:pPr>
      <w:r w:rsidRPr="004D4D3C">
        <w:t>bulk LPG flowmetering systems</w:t>
      </w:r>
    </w:p>
    <w:p w:rsidR="00000000" w:rsidRPr="004D4D3C" w:rsidP="004D4D3C">
      <w:pPr>
        <w:pStyle w:val="ListBullet2"/>
      </w:pPr>
      <w:r w:rsidRPr="004D4D3C">
        <w:t>bulk flowmetering systems for liquid products other than liquid hydrocarbons</w:t>
      </w:r>
    </w:p>
    <w:p w:rsidR="00000000" w:rsidRPr="004D4D3C" w:rsidP="004D4D3C">
      <w:pPr>
        <w:pStyle w:val="ListBullet2"/>
      </w:pPr>
      <w:r w:rsidRPr="004D4D3C">
        <w:t>dispensers and flowmetering systems for gaseous products (excluding utility meters)</w:t>
      </w:r>
    </w:p>
    <w:p w:rsidR="00000000" w:rsidRPr="004D4D3C" w:rsidP="004D4D3C">
      <w:pPr>
        <w:pStyle w:val="ListBullet2"/>
      </w:pPr>
      <w:r w:rsidRPr="004D4D3C">
        <w:t>any other complex m</w:t>
      </w:r>
      <w:r w:rsidRPr="004D4D3C">
        <w:t>easuring instrument prescribed by the NMI</w:t>
      </w:r>
    </w:p>
    <w:p w:rsidR="00000000" w:rsidRPr="004D4D3C" w:rsidP="004D4D3C">
      <w:pPr>
        <w:pStyle w:val="ListBullet"/>
      </w:pPr>
      <w:r w:rsidRPr="004D4D3C">
        <w:t>accessing and correctly interpreting documentation required for inspections, evaluation of instruments and verifier audits</w:t>
      </w:r>
    </w:p>
    <w:p w:rsidR="00000000" w:rsidRPr="004D4D3C" w:rsidP="004D4D3C">
      <w:pPr>
        <w:pStyle w:val="ListBullet"/>
      </w:pPr>
      <w:r w:rsidRPr="004D4D3C">
        <w:t>ensuring test equipment and reference standards are fit for purpose in accordance with app</w:t>
      </w:r>
      <w:r w:rsidRPr="004D4D3C">
        <w:t>licable legislation and organisational procedures</w:t>
      </w:r>
    </w:p>
    <w:p w:rsidR="00000000" w:rsidRPr="004D4D3C" w:rsidP="004D4D3C">
      <w:pPr>
        <w:pStyle w:val="ListBullet"/>
      </w:pPr>
      <w:r w:rsidRPr="004D4D3C">
        <w:t>planning, scheduling, preparing for and safely conducting inspections to optimise use of resources, maximise outcomes and minimise disruption to the public and trader</w:t>
      </w:r>
    </w:p>
    <w:p w:rsidR="00000000" w:rsidRPr="004D4D3C" w:rsidP="004D4D3C">
      <w:pPr>
        <w:pStyle w:val="ListBullet"/>
      </w:pPr>
      <w:r w:rsidRPr="004D4D3C">
        <w:t>checking compliance and evaluating the performance of complex measuring instruments using appropriate Certificates of Approval, NMI policy and National Instrument Test Procedures, and adjusting for any impact of the operating environment</w:t>
      </w:r>
    </w:p>
    <w:p w:rsidR="00000000" w:rsidRPr="004D4D3C" w:rsidP="004D4D3C">
      <w:pPr>
        <w:pStyle w:val="ListBullet"/>
      </w:pPr>
      <w:r w:rsidRPr="004D4D3C">
        <w:t>using specified ca</w:t>
      </w:r>
      <w:r w:rsidRPr="004D4D3C">
        <w:t>lculations, graphical and statistical analysis to determine a performance result for a complex measuring instrument</w:t>
      </w:r>
    </w:p>
    <w:p w:rsidR="00000000" w:rsidRPr="004D4D3C" w:rsidP="004D4D3C">
      <w:pPr>
        <w:pStyle w:val="ListBullet"/>
      </w:pPr>
      <w:r w:rsidRPr="004D4D3C">
        <w:t>reliably determining if complex measuring instruments are suitable for trade use in accordance with legislative requirements</w:t>
      </w:r>
    </w:p>
    <w:p w:rsidR="00000000" w:rsidRPr="004D4D3C" w:rsidP="004D4D3C">
      <w:pPr>
        <w:pStyle w:val="ListBullet"/>
      </w:pPr>
      <w:r w:rsidRPr="004D4D3C">
        <w:t>conducting at l</w:t>
      </w:r>
      <w:r w:rsidRPr="004D4D3C">
        <w:t>east one (1) verifier performance audit, to assess the performance of verifiers who test and mark measuring instruments for trade use</w:t>
      </w:r>
    </w:p>
    <w:p w:rsidR="00000000" w:rsidRPr="004D4D3C" w:rsidP="004D4D3C">
      <w:pPr>
        <w:pStyle w:val="ListBullet"/>
      </w:pPr>
      <w:r w:rsidRPr="004D4D3C">
        <w:t>assessing verifier performance against expected outcomes and analysing any variances to identify isolated or systemic prob</w:t>
      </w:r>
      <w:r w:rsidRPr="004D4D3C">
        <w:t>lems</w:t>
      </w:r>
    </w:p>
    <w:p w:rsidR="00000000" w:rsidRPr="004D4D3C" w:rsidP="004D4D3C">
      <w:pPr>
        <w:pStyle w:val="ListBullet"/>
      </w:pPr>
      <w:r w:rsidRPr="004D4D3C">
        <w:t>identifying potential non-compliance of trading practices (applicable to instruments) with national measurement legislation and initiating an efficient inspection strategy that has a limited impact on others</w:t>
      </w:r>
    </w:p>
    <w:p w:rsidR="00000000" w:rsidRPr="004D4D3C" w:rsidP="004D4D3C">
      <w:pPr>
        <w:pStyle w:val="ListBullet"/>
      </w:pPr>
      <w:r w:rsidRPr="004D4D3C">
        <w:t>recognising and acting on non-compliance of</w:t>
      </w:r>
      <w:r w:rsidRPr="004D4D3C">
        <w:t xml:space="preserve"> complex measuring instrument or verifier performance and/or trading practices with national measurement legislation and initiating appropriate enforcement action</w:t>
      </w:r>
    </w:p>
    <w:p w:rsidR="00000000" w:rsidRPr="004D4D3C" w:rsidP="004D4D3C">
      <w:pPr>
        <w:pStyle w:val="ListBullet"/>
      </w:pPr>
      <w:r w:rsidRPr="004D4D3C">
        <w:t>demonstrating professionalism and respecting the rights of the trader at all times</w:t>
      </w:r>
    </w:p>
    <w:p w:rsidR="00000000" w:rsidRPr="004D4D3C" w:rsidP="004D4D3C">
      <w:pPr>
        <w:pStyle w:val="ListBullet"/>
      </w:pPr>
      <w:r w:rsidRPr="004D4D3C">
        <w:t>using adva</w:t>
      </w:r>
      <w:r w:rsidRPr="004D4D3C">
        <w:t>nced communication and negotiation skills to:</w:t>
      </w:r>
    </w:p>
    <w:p w:rsidR="00000000" w:rsidRPr="004D4D3C" w:rsidP="004D4D3C">
      <w:pPr>
        <w:pStyle w:val="ListBullet2"/>
      </w:pPr>
      <w:r w:rsidRPr="004D4D3C">
        <w:t>explain the purpose of inspection</w:t>
      </w:r>
    </w:p>
    <w:p w:rsidR="00000000" w:rsidRPr="004D4D3C" w:rsidP="004D4D3C">
      <w:pPr>
        <w:pStyle w:val="ListBullet2"/>
      </w:pPr>
      <w:r w:rsidRPr="004D4D3C">
        <w:t>arrange site clearances, gain cooperation of site controllers and schedule complex tests</w:t>
      </w:r>
    </w:p>
    <w:p w:rsidR="00000000" w:rsidRPr="004D4D3C" w:rsidP="004D4D3C">
      <w:pPr>
        <w:pStyle w:val="ListBullet2"/>
      </w:pPr>
      <w:r w:rsidRPr="004D4D3C">
        <w:t>access trader’s equipment and equipment, materials and support personnel to complete t</w:t>
      </w:r>
      <w:r w:rsidRPr="004D4D3C">
        <w:t>he inspection, when necessary</w:t>
      </w:r>
    </w:p>
    <w:p w:rsidR="00000000" w:rsidRPr="004D4D3C" w:rsidP="004D4D3C">
      <w:pPr>
        <w:pStyle w:val="ListBullet2"/>
      </w:pPr>
      <w:r w:rsidRPr="004D4D3C">
        <w:t>inform traders of non-compliances and consequences of failing to rectify them</w:t>
      </w:r>
    </w:p>
    <w:p w:rsidR="00000000" w:rsidRPr="004D4D3C" w:rsidP="004D4D3C">
      <w:pPr>
        <w:pStyle w:val="ListBullet2"/>
      </w:pPr>
      <w:r w:rsidRPr="004D4D3C">
        <w:t>explain inspection procedures and outcomes to traders, verifiers and managers</w:t>
      </w:r>
    </w:p>
    <w:p w:rsidR="00000000" w:rsidRPr="004D4D3C" w:rsidP="004D4D3C">
      <w:pPr>
        <w:pStyle w:val="ListBullet2"/>
      </w:pPr>
      <w:r w:rsidRPr="004D4D3C">
        <w:t>organise large equipment to be dispatched ahead of inspection visit, when necessary</w:t>
      </w:r>
    </w:p>
    <w:p w:rsidR="00000000" w:rsidRPr="004D4D3C" w:rsidP="004D4D3C">
      <w:pPr>
        <w:pStyle w:val="ListBullet"/>
      </w:pPr>
      <w:r w:rsidRPr="004D4D3C">
        <w:t>performing specified calculations involving:</w:t>
      </w:r>
    </w:p>
    <w:p w:rsidR="00000000" w:rsidRPr="004D4D3C" w:rsidP="004D4D3C">
      <w:pPr>
        <w:pStyle w:val="ListBullet2"/>
      </w:pPr>
      <w:r w:rsidRPr="004D4D3C">
        <w:t>fractions, decimals, ratios, proportions and percentages</w:t>
      </w:r>
    </w:p>
    <w:p w:rsidR="00000000" w:rsidRPr="004D4D3C" w:rsidP="004D4D3C">
      <w:pPr>
        <w:pStyle w:val="ListBullet2"/>
      </w:pPr>
      <w:r w:rsidRPr="004D4D3C">
        <w:t>scientific notation, correct units and the correct number of signifi</w:t>
      </w:r>
      <w:r w:rsidRPr="004D4D3C">
        <w:t>cant figures, calculation of uncertainties</w:t>
      </w:r>
    </w:p>
    <w:p w:rsidR="00000000" w:rsidRPr="004D4D3C" w:rsidP="004D4D3C">
      <w:pPr>
        <w:pStyle w:val="ListBullet2"/>
      </w:pPr>
      <w:r w:rsidRPr="004D4D3C">
        <w:t>evaluation of formulae containing powers, exponents and logarithms functions</w:t>
      </w:r>
    </w:p>
    <w:p w:rsidR="00000000" w:rsidRPr="004D4D3C" w:rsidP="004D4D3C">
      <w:pPr>
        <w:pStyle w:val="ListBullet2"/>
      </w:pPr>
      <w:r w:rsidRPr="004D4D3C">
        <w:t>preparation and interpretation of linear graphs</w:t>
      </w:r>
    </w:p>
    <w:p w:rsidR="00000000" w:rsidRPr="004D4D3C" w:rsidP="004D4D3C">
      <w:pPr>
        <w:pStyle w:val="ListBullet"/>
      </w:pPr>
      <w:r w:rsidRPr="004D4D3C">
        <w:t xml:space="preserve">maintaining the security and confidentiality of data in accordance with organisational </w:t>
      </w:r>
      <w:r w:rsidRPr="004D4D3C">
        <w:t>and regulatory requirements</w:t>
      </w:r>
    </w:p>
    <w:p w:rsidR="00000000" w:rsidRPr="004D4D3C" w:rsidP="004D4D3C">
      <w:pPr>
        <w:pStyle w:val="ListBullet"/>
      </w:pPr>
      <w:r w:rsidRPr="004D4D3C">
        <w:t>reporting results in the required formats and expected timeframe</w:t>
      </w:r>
    </w:p>
    <w:p w:rsidR="00000000" w:rsidRPr="004D4D3C" w:rsidP="004D4D3C">
      <w:pPr>
        <w:pStyle w:val="ListBullet"/>
      </w:pPr>
      <w:r w:rsidRPr="004D4D3C">
        <w:t>working safely.</w:t>
      </w:r>
    </w:p>
    <w:p w:rsidR="00000000" w:rsidRPr="004D4D3C" w:rsidP="004D4D3C">
      <w:pPr>
        <w:pStyle w:val="AllowPageBreak"/>
      </w:pPr>
    </w:p>
    <w:p w:rsidR="00000000" w:rsidRPr="004D4D3C" w:rsidP="004D4D3C">
      <w:pPr>
        <w:pStyle w:val="Heading1"/>
      </w:pPr>
      <w:bookmarkStart w:id="13" w:name="O_939387"/>
      <w:bookmarkEnd w:id="13"/>
      <w:r w:rsidRPr="004D4D3C">
        <w:t>Knowledge Evidence</w:t>
      </w:r>
    </w:p>
    <w:p w:rsidR="00000000" w:rsidRPr="004D4D3C" w:rsidP="00332305">
      <w:pPr>
        <w:pStyle w:val="BodyText"/>
      </w:pPr>
      <w:r w:rsidRPr="004D4D3C">
        <w:t xml:space="preserve">Must provide evidence that demonstrates knowledge of: </w:t>
      </w:r>
    </w:p>
    <w:p w:rsidR="00000000" w:rsidRPr="004D4D3C" w:rsidP="004D4D3C">
      <w:pPr>
        <w:pStyle w:val="ListBullet"/>
      </w:pPr>
      <w:r w:rsidRPr="004D4D3C">
        <w:t xml:space="preserve">general science principles and concepts, including: </w:t>
      </w:r>
    </w:p>
    <w:p w:rsidR="00000000" w:rsidRPr="004D4D3C" w:rsidP="004D4D3C">
      <w:pPr>
        <w:pStyle w:val="ListBullet2"/>
      </w:pPr>
      <w:r w:rsidRPr="004D4D3C">
        <w:t>physical states (solid, liquid and gas), weight, mass, gravity and density</w:t>
      </w:r>
    </w:p>
    <w:p w:rsidR="00000000" w:rsidRPr="004D4D3C" w:rsidP="004D4D3C">
      <w:pPr>
        <w:pStyle w:val="ListBullet2"/>
      </w:pPr>
      <w:r w:rsidRPr="004D4D3C">
        <w:t>pressure, pressure differential, backpressure and head pressure, fluid flow and viscosity</w:t>
      </w:r>
    </w:p>
    <w:p w:rsidR="00000000" w:rsidRPr="004D4D3C" w:rsidP="004D4D3C">
      <w:pPr>
        <w:pStyle w:val="ListBullet2"/>
      </w:pPr>
      <w:r w:rsidRPr="004D4D3C">
        <w:t>temperature effects and coefficients of expansion, flashpoint, boiling point and ice point</w:t>
      </w:r>
    </w:p>
    <w:p w:rsidR="00000000" w:rsidRPr="004D4D3C" w:rsidP="004D4D3C">
      <w:pPr>
        <w:pStyle w:val="ListBullet"/>
      </w:pPr>
      <w:r w:rsidRPr="004D4D3C">
        <w:t>metrological terms and terminology of specific instruments, such as maximum permissible errors, maximum permissible difference and maximum permissible variation, traceability, repeatability, uncertainty, error of measurement and error of indication, meter</w:t>
      </w:r>
      <w:r w:rsidRPr="004D4D3C">
        <w:t xml:space="preserve"> creep, hose dilation, temperature correction, linearization and gas elimination</w:t>
      </w:r>
    </w:p>
    <w:p w:rsidR="00000000" w:rsidRPr="004D4D3C" w:rsidP="004D4D3C">
      <w:pPr>
        <w:pStyle w:val="ListBullet"/>
      </w:pPr>
      <w:r w:rsidRPr="004D4D3C">
        <w:t>details of the design and applications for one (1) complex measuring instrument in each class, the major instrument components and their function</w:t>
      </w:r>
    </w:p>
    <w:p w:rsidR="00000000" w:rsidRPr="004D4D3C" w:rsidP="004D4D3C">
      <w:pPr>
        <w:pStyle w:val="ListBullet"/>
      </w:pPr>
      <w:r w:rsidRPr="004D4D3C">
        <w:t>national measurement legislat</w:t>
      </w:r>
      <w:r w:rsidRPr="004D4D3C">
        <w:t>ion applicable to complex measuring instruments</w:t>
      </w:r>
    </w:p>
    <w:p w:rsidR="00000000" w:rsidRPr="004D4D3C" w:rsidP="004D4D3C">
      <w:pPr>
        <w:pStyle w:val="ListBullet"/>
      </w:pPr>
      <w:r w:rsidRPr="004D4D3C">
        <w:t>safe work method statements (SWMS) for a range of trading environments, such as laboratories, retail, commercial, office, manufacturing, industrial, mining, construction, medical, chemical and petroleum</w:t>
      </w:r>
    </w:p>
    <w:p w:rsidR="00000000" w:rsidRPr="004D4D3C" w:rsidP="004D4D3C">
      <w:pPr>
        <w:pStyle w:val="ListBullet"/>
      </w:pPr>
      <w:r w:rsidRPr="004D4D3C">
        <w:t>NMI p</w:t>
      </w:r>
      <w:r w:rsidRPr="004D4D3C">
        <w:t>olicy requirements, including test procedure variations between a verification, in-service or audit inspection, bulletins, instructions and determinations</w:t>
      </w:r>
    </w:p>
    <w:p w:rsidR="00000000" w:rsidRPr="004D4D3C" w:rsidP="004D4D3C">
      <w:pPr>
        <w:pStyle w:val="ListBullet"/>
      </w:pPr>
      <w:r w:rsidRPr="004D4D3C">
        <w:t>National Instrument Test Procedures and operating procedures for equipment and reference standards us</w:t>
      </w:r>
      <w:r w:rsidRPr="004D4D3C">
        <w:t>ed in job role, including:</w:t>
      </w:r>
    </w:p>
    <w:p w:rsidR="00000000" w:rsidRPr="004D4D3C" w:rsidP="004D4D3C">
      <w:pPr>
        <w:pStyle w:val="ListBullet2"/>
      </w:pPr>
      <w:r w:rsidRPr="004D4D3C">
        <w:t>test conditions and possible environmental impacts on performance of the instrument</w:t>
      </w:r>
    </w:p>
    <w:p w:rsidR="00000000" w:rsidRPr="004D4D3C" w:rsidP="004D4D3C">
      <w:pPr>
        <w:pStyle w:val="ListBullet2"/>
      </w:pPr>
      <w:r w:rsidRPr="004D4D3C">
        <w:t>key preparation/measurement steps in test method</w:t>
      </w:r>
    </w:p>
    <w:p w:rsidR="00000000" w:rsidRPr="004D4D3C" w:rsidP="004D4D3C">
      <w:pPr>
        <w:pStyle w:val="ListBullet2"/>
      </w:pPr>
      <w:r w:rsidRPr="004D4D3C">
        <w:t>calculation steps to give results in appropriate units and precision</w:t>
      </w:r>
    </w:p>
    <w:p w:rsidR="00000000" w:rsidRPr="004D4D3C" w:rsidP="004D4D3C">
      <w:pPr>
        <w:pStyle w:val="ListBullet2"/>
      </w:pPr>
      <w:r w:rsidRPr="004D4D3C">
        <w:t>maximum permissible errors for instruments being inspected</w:t>
      </w:r>
    </w:p>
    <w:p w:rsidR="00000000" w:rsidRPr="004D4D3C" w:rsidP="004D4D3C">
      <w:pPr>
        <w:pStyle w:val="ListBullet2"/>
      </w:pPr>
      <w:r w:rsidRPr="004D4D3C">
        <w:t>safety principles and procedures relevant to instruments</w:t>
      </w:r>
    </w:p>
    <w:p w:rsidR="00000000" w:rsidRPr="004D4D3C" w:rsidP="004D4D3C">
      <w:pPr>
        <w:pStyle w:val="ListBullet2"/>
      </w:pPr>
      <w:r w:rsidRPr="004D4D3C">
        <w:t>organisational policy and procedures for inspecting complex measuring instruments including completing inspection documentation</w:t>
      </w:r>
    </w:p>
    <w:p w:rsidR="00000000" w:rsidRPr="004D4D3C" w:rsidP="004D4D3C">
      <w:pPr>
        <w:pStyle w:val="ListBullet2"/>
      </w:pPr>
      <w:r w:rsidRPr="004D4D3C">
        <w:t>organisation</w:t>
      </w:r>
      <w:r w:rsidRPr="004D4D3C">
        <w:t>al safety procedures and requirements of applicable Commonwealth, state and territory WHS/OHS legislation</w:t>
      </w:r>
    </w:p>
    <w:p w:rsidR="00000000" w:rsidRPr="004D4D3C" w:rsidP="004D4D3C">
      <w:pPr>
        <w:pStyle w:val="ListBullet"/>
      </w:pPr>
      <w:r w:rsidRPr="004D4D3C">
        <w:t>basic first aid and site safety induction, if required.</w:t>
      </w:r>
    </w:p>
    <w:p w:rsidR="00000000" w:rsidRPr="004D4D3C" w:rsidP="004D4D3C">
      <w:pPr>
        <w:pStyle w:val="AllowPageBreak"/>
      </w:pPr>
    </w:p>
    <w:p w:rsidR="00000000" w:rsidRPr="004D4D3C" w:rsidP="004D4D3C">
      <w:pPr>
        <w:pStyle w:val="Heading1"/>
      </w:pPr>
      <w:bookmarkStart w:id="14" w:name="O_939386"/>
      <w:bookmarkEnd w:id="14"/>
      <w:r w:rsidRPr="004D4D3C">
        <w:t>Assessment Conditions</w:t>
      </w:r>
    </w:p>
    <w:p w:rsidR="00000000" w:rsidRPr="004D4D3C" w:rsidP="004D4D3C">
      <w:pPr>
        <w:pStyle w:val="ListBullet"/>
      </w:pPr>
      <w:r w:rsidRPr="004D4D3C">
        <w:t>Judgement of competence must be based on holistic ass</w:t>
      </w:r>
      <w:r w:rsidRPr="004D4D3C">
        <w:t xml:space="preserve">essment of the evidence. Assessment methods must confirm consistency of performance over time, rather than a single assessment event. </w:t>
      </w:r>
    </w:p>
    <w:p w:rsidR="00000000" w:rsidRPr="004D4D3C" w:rsidP="004D4D3C">
      <w:pPr>
        <w:pStyle w:val="ListBullet"/>
      </w:pPr>
      <w:r w:rsidRPr="004D4D3C">
        <w:t xml:space="preserve">This unit of competency should be assessed in the workplace, or a simulated workplace environment. A simulated workplace </w:t>
      </w:r>
      <w:r w:rsidRPr="004D4D3C">
        <w:t xml:space="preserve">environment must reflect realistic operational workplace conditions that cover all aspects of workplace performance, including the environment, task skills, task management skills, contingency management skills and job role environment skills.  </w:t>
      </w:r>
    </w:p>
    <w:p w:rsidR="00000000" w:rsidRPr="004D4D3C" w:rsidP="004D4D3C">
      <w:pPr>
        <w:pStyle w:val="ListBullet"/>
      </w:pPr>
      <w:r w:rsidRPr="004D4D3C">
        <w:t>Foundation</w:t>
      </w:r>
      <w:r w:rsidRPr="004D4D3C">
        <w:t xml:space="preserve"> skills are integral to competent performance of the unit and should not be assessed separately. </w:t>
      </w:r>
    </w:p>
    <w:p w:rsidR="00000000" w:rsidRPr="004D4D3C" w:rsidP="004D4D3C">
      <w:pPr>
        <w:pStyle w:val="ListBullet"/>
      </w:pPr>
      <w:r w:rsidRPr="004D4D3C">
        <w:t>Assessment processes and techniques must be appropriate to the language, literacy and numeracy requirements of the work being performed and the needs of the c</w:t>
      </w:r>
      <w:r w:rsidRPr="004D4D3C">
        <w:t>andidate.</w:t>
      </w:r>
    </w:p>
    <w:p w:rsidR="00000000" w:rsidRPr="004D4D3C" w:rsidP="004D4D3C">
      <w:pPr>
        <w:pStyle w:val="ListBullet"/>
      </w:pPr>
      <w:r w:rsidRPr="004D4D3C">
        <w:t>Knowledge evidence may be collected concurrently with performance evidence or through an independent process, such as workbooks, written assessments or interviews (provided a record is kept in each case).</w:t>
      </w:r>
    </w:p>
    <w:p w:rsidR="00000000" w:rsidRPr="004D4D3C" w:rsidP="004D4D3C">
      <w:pPr>
        <w:pStyle w:val="ListBullet"/>
      </w:pPr>
      <w:r w:rsidRPr="004D4D3C">
        <w:t>This unit of competency may be assessed w</w:t>
      </w:r>
      <w:r w:rsidRPr="004D4D3C">
        <w:t>ith:</w:t>
      </w:r>
    </w:p>
    <w:p w:rsidR="00000000" w:rsidRPr="004D4D3C" w:rsidP="004D4D3C">
      <w:pPr>
        <w:pStyle w:val="ListBullet2"/>
      </w:pPr>
      <w:r w:rsidRPr="004D4D3C">
        <w:rPr>
          <w:rStyle w:val="Emphasis"/>
        </w:rPr>
        <w:t>MSMTMREF301 Use and maintain reference standards</w:t>
      </w:r>
    </w:p>
    <w:p w:rsidR="00000000" w:rsidRPr="004D4D3C" w:rsidP="004D4D3C">
      <w:pPr>
        <w:pStyle w:val="ListBullet"/>
      </w:pPr>
      <w:r w:rsidRPr="004D4D3C">
        <w:t xml:space="preserve">Holistic assessment methods include: </w:t>
      </w:r>
    </w:p>
    <w:p w:rsidR="00000000" w:rsidRPr="004D4D3C" w:rsidP="004D4D3C">
      <w:pPr>
        <w:pStyle w:val="ListBullet2"/>
      </w:pPr>
      <w:r w:rsidRPr="004D4D3C">
        <w:t>review of test results, inspection reports and verifier performance reports prepared by the candidate</w:t>
      </w:r>
    </w:p>
    <w:p w:rsidR="00000000" w:rsidRPr="004D4D3C" w:rsidP="004D4D3C">
      <w:pPr>
        <w:pStyle w:val="ListBullet2"/>
      </w:pPr>
      <w:r w:rsidRPr="004D4D3C">
        <w:t>feedback from supervisors and peers regarding the candidate</w:t>
      </w:r>
      <w:r>
        <w:t>’</w:t>
      </w:r>
      <w:r w:rsidRPr="004D4D3C">
        <w:t>s ability to conduct inspections, evaluate the performance of complex measuring instruments and audit verifier’s performance in accordance with legislative and organisational procedures</w:t>
      </w:r>
    </w:p>
    <w:p w:rsidR="00000000" w:rsidRPr="004D4D3C" w:rsidP="004D4D3C">
      <w:pPr>
        <w:pStyle w:val="ListBullet2"/>
      </w:pPr>
      <w:r w:rsidRPr="004D4D3C">
        <w:t xml:space="preserve">questions </w:t>
      </w:r>
      <w:r w:rsidRPr="004D4D3C">
        <w:t>to assess understanding of relevant procedures, licensing requirements, trader obligations and remedial actions</w:t>
      </w:r>
    </w:p>
    <w:p w:rsidR="00000000" w:rsidRPr="004D4D3C" w:rsidP="004D4D3C">
      <w:pPr>
        <w:pStyle w:val="ListBullet2"/>
      </w:pPr>
      <w:r w:rsidRPr="004D4D3C">
        <w:t>review of candidate’s responses to inspection scenarios, such as: potential/actual non-compliances and appropriate actions, common issues and pr</w:t>
      </w:r>
      <w:r w:rsidRPr="004D4D3C">
        <w:t>oblems</w:t>
      </w:r>
    </w:p>
    <w:p w:rsidR="00000000" w:rsidRPr="004D4D3C" w:rsidP="004D4D3C">
      <w:pPr>
        <w:pStyle w:val="ListBullet2"/>
      </w:pPr>
      <w:r w:rsidRPr="004D4D3C">
        <w:t>observation of the candidate conducting an inspection.</w:t>
      </w:r>
    </w:p>
    <w:p w:rsidR="00000000" w:rsidRPr="004D4D3C" w:rsidP="004D4D3C">
      <w:pPr>
        <w:pStyle w:val="ListBullet"/>
      </w:pPr>
      <w:r w:rsidRPr="004D4D3C">
        <w:t>Access is required to instruments, equipment, materials, workplace documentation, procedures, and specifications associated with this unit including, but not limited to:</w:t>
      </w:r>
    </w:p>
    <w:p w:rsidR="00000000" w:rsidRPr="004D4D3C" w:rsidP="004D4D3C">
      <w:pPr>
        <w:pStyle w:val="ListBullet2"/>
      </w:pPr>
      <w:r w:rsidRPr="004D4D3C">
        <w:t>latest versions of app</w:t>
      </w:r>
      <w:r w:rsidRPr="004D4D3C">
        <w:t>ropriate documentation, such as Certificates of Verification and Approval, NMI policy, National Instrument Test Procedures for verifying complex measuring instruments and relevant legislation</w:t>
      </w:r>
    </w:p>
    <w:p w:rsidR="00000000" w:rsidRPr="004D4D3C" w:rsidP="004D4D3C">
      <w:pPr>
        <w:pStyle w:val="ListBullet2"/>
      </w:pPr>
      <w:r w:rsidRPr="004D4D3C">
        <w:t>equipment manuals, safety data sheets (SDS), safety procedures a</w:t>
      </w:r>
      <w:r w:rsidRPr="004D4D3C">
        <w:t>nd safety equipment</w:t>
      </w:r>
    </w:p>
    <w:p w:rsidR="00000000" w:rsidRPr="004D4D3C" w:rsidP="004D4D3C">
      <w:pPr>
        <w:pStyle w:val="ListBullet2"/>
      </w:pPr>
      <w:r w:rsidRPr="004D4D3C">
        <w:t>records, such as test reports; audit reports; instrument history and test results; and correction tables for volume, density and pressure for a range of liquids</w:t>
      </w:r>
    </w:p>
    <w:p w:rsidR="00000000" w:rsidRPr="004D4D3C" w:rsidP="004D4D3C">
      <w:pPr>
        <w:pStyle w:val="ListBullet2"/>
      </w:pPr>
      <w:r w:rsidRPr="004D4D3C">
        <w:t>complex measuring instruments, test equipment and reference standards</w:t>
      </w:r>
    </w:p>
    <w:p w:rsidR="00000000" w:rsidRPr="004D4D3C" w:rsidP="004D4D3C">
      <w:pPr>
        <w:pStyle w:val="ListBullet2"/>
      </w:pPr>
      <w:r w:rsidRPr="004D4D3C">
        <w:t>compu</w:t>
      </w:r>
      <w:r w:rsidRPr="004D4D3C">
        <w:t>ter and relevant software and/or organisation information management system.</w:t>
      </w:r>
    </w:p>
    <w:p w:rsidR="00000000" w:rsidRPr="004D4D3C" w:rsidP="004D4D3C">
      <w:pPr>
        <w:pStyle w:val="ListBullet"/>
      </w:pPr>
      <w:r w:rsidRPr="004D4D3C">
        <w:t xml:space="preserve">Assessors must satisfy the assessor competency requirements that are in place at the time of the assessment as set by the VET regulator.  </w:t>
      </w:r>
    </w:p>
    <w:p w:rsidR="00000000" w:rsidRPr="004D4D3C" w:rsidP="004D4D3C">
      <w:pPr>
        <w:pStyle w:val="ListBullet"/>
      </w:pPr>
      <w:r w:rsidRPr="004D4D3C">
        <w:t>The assessor must demonstrate both technical competency and currency.</w:t>
      </w:r>
    </w:p>
    <w:p w:rsidR="00000000" w:rsidRPr="004D4D3C" w:rsidP="004D4D3C">
      <w:pPr>
        <w:pStyle w:val="ListBullet"/>
      </w:pPr>
      <w:r w:rsidRPr="004D4D3C">
        <w:t>Technical competence can be demonstrated through:</w:t>
      </w:r>
    </w:p>
    <w:p w:rsidR="00000000" w:rsidRPr="004D4D3C" w:rsidP="004D4D3C">
      <w:pPr>
        <w:pStyle w:val="ListBullet2"/>
      </w:pPr>
      <w:r w:rsidRPr="004D4D3C">
        <w:t>relevant VET or other qualification/Statement of Attainment AND/OR</w:t>
      </w:r>
    </w:p>
    <w:p w:rsidR="00000000" w:rsidRPr="004D4D3C" w:rsidP="004D4D3C">
      <w:pPr>
        <w:pStyle w:val="ListBullet2"/>
      </w:pPr>
      <w:r w:rsidRPr="004D4D3C">
        <w:t>relevant workplace experience in trade measurement at least to the l</w:t>
      </w:r>
      <w:r w:rsidRPr="004D4D3C">
        <w:t>evel being assessed and broad industry knowledge (such as a relevant industry qualification).</w:t>
      </w:r>
    </w:p>
    <w:p w:rsidR="00000000" w:rsidRPr="004D4D3C" w:rsidP="004D4D3C">
      <w:pPr>
        <w:pStyle w:val="ListBullet"/>
      </w:pPr>
      <w:r w:rsidRPr="004D4D3C">
        <w:t>Currency can be demonstrated through:</w:t>
      </w:r>
    </w:p>
    <w:p w:rsidR="00000000" w:rsidRPr="004D4D3C" w:rsidP="004D4D3C">
      <w:pPr>
        <w:pStyle w:val="ListBullet2"/>
      </w:pPr>
      <w:r w:rsidRPr="004D4D3C">
        <w:t>performing the competency being assessed as part of current employment in trade measurement OR</w:t>
      </w:r>
    </w:p>
    <w:p w:rsidR="00000000" w:rsidRPr="004D4D3C" w:rsidP="004D4D3C">
      <w:pPr>
        <w:pStyle w:val="ListBullet2"/>
      </w:pPr>
      <w:r w:rsidRPr="004D4D3C">
        <w:t>having consulted with trade</w:t>
      </w:r>
      <w:r w:rsidRPr="004D4D3C">
        <w:t xml:space="preserve"> measurement inspectors and/or verifiers performing the competency being assessed within the last twelve months.</w:t>
      </w:r>
    </w:p>
    <w:p w:rsidR="00000000" w:rsidRPr="004D4D3C" w:rsidP="004D4D3C">
      <w:pPr>
        <w:pStyle w:val="AllowPageBreak"/>
      </w:pPr>
    </w:p>
    <w:p w:rsidR="00000000" w:rsidRPr="004D4D3C" w:rsidP="004D4D3C">
      <w:pPr>
        <w:pStyle w:val="Heading1"/>
      </w:pPr>
      <w:bookmarkStart w:id="15" w:name="O_939401"/>
      <w:bookmarkEnd w:id="15"/>
      <w:r w:rsidRPr="004D4D3C">
        <w:t>Links</w:t>
      </w:r>
    </w:p>
    <w:p w:rsidR="00000000" w:rsidRPr="004D4D3C" w:rsidP="00332305">
      <w:pPr>
        <w:pStyle w:val="BodyText"/>
      </w:pPr>
      <w:r w:rsidRPr="004D4D3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91F78">
        <w:rPr>
          <w:rStyle w:val="Hyperlink"/>
        </w:rPr>
        <w:t>https://vetnet.gov.au/Pages/TrainingDocs.aspx?q=d1287d36-dff4-4e9f-ad2c-9d6270054027</w:t>
      </w:r>
      <w:r>
        <w:fldChar w:fldCharType="end"/>
      </w:r>
    </w:p>
    <w:p w:rsidR="00000000" w:rsidRPr="004D4D3C" w:rsidP="004D4D3C"/>
    <w:sectPr w:rsidSect="004D4D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rsidRPr="00332305" w:rsidP="00332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05" w:rsidP="004D4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32305" w:rsidP="004D4D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2305" w:rsidP="004D4D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rsidP="004D4D3C">
    <w:pPr>
      <w:pStyle w:val="Footer"/>
      <w:framePr w:wrap="around"/>
    </w:pPr>
    <w:r>
      <w:fldChar w:fldCharType="begin"/>
    </w:r>
    <w:r>
      <w:instrText xml:space="preserve"> DOCPROPERTY  Subject  \* MERGEFORMAT </w:instrText>
    </w:r>
    <w:r>
      <w:fldChar w:fldCharType="separate"/>
    </w:r>
    <w:r w:rsidR="00332305">
      <w:t>Approved</w:t>
    </w:r>
    <w:r w:rsidR="00332305">
      <w:fldChar w:fldCharType="end"/>
    </w:r>
    <w:r>
      <w:tab/>
      <w:t xml:space="preserve">Page </w:t>
    </w:r>
    <w:r>
      <w:fldChar w:fldCharType="begin"/>
    </w:r>
    <w:r>
      <w:instrText xml:space="preserve"> PAGE  \* Arabic  \* MERGEFORMAT </w:instrText>
    </w:r>
    <w:r>
      <w:fldChar w:fldCharType="separate"/>
    </w:r>
    <w:r w:rsidR="0033230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305">
      <w:rPr>
        <w:noProof/>
      </w:rPr>
      <w:t>9</w:t>
    </w:r>
    <w:r>
      <w:rPr>
        <w:noProof/>
      </w:rPr>
      <w:fldChar w:fldCharType="end"/>
    </w:r>
  </w:p>
  <w:p w:rsidR="004D4D3C" w:rsidP="004D4D3C">
    <w:pPr>
      <w:pStyle w:val="Footer"/>
      <w:framePr w:wrap="around"/>
    </w:pPr>
    <w:r>
      <w:t xml:space="preserve">© Commonwealth of Australia, </w:t>
    </w:r>
    <w:r>
      <w:fldChar w:fldCharType="begin"/>
    </w:r>
    <w:r>
      <w:instrText xml:space="preserve"> DATE  \@ "yyyy"  \* MERGEFORMAT </w:instrText>
    </w:r>
    <w:r>
      <w:fldChar w:fldCharType="separate"/>
    </w:r>
    <w:r w:rsidR="00332305">
      <w:rPr>
        <w:noProof/>
      </w:rPr>
      <w:t>2025</w:t>
    </w:r>
    <w:r>
      <w:fldChar w:fldCharType="end"/>
    </w:r>
    <w:r>
      <w:tab/>
    </w:r>
    <w:r>
      <w:fldChar w:fldCharType="begin"/>
    </w:r>
    <w:r>
      <w:instrText xml:space="preserve"> DOCPROPERTY  Author  \* MERGEFORMAT </w:instrText>
    </w:r>
    <w:r>
      <w:fldChar w:fldCharType="separate"/>
    </w:r>
    <w:r w:rsidR="00332305">
      <w:t>Manufacturing Industry Skills Alliance</w:t>
    </w:r>
    <w:r w:rsidR="00332305">
      <w:fldChar w:fldCharType="end"/>
    </w:r>
  </w:p>
  <w:p w:rsidR="004D4D3C" w:rsidP="004D4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D3C" w:rsidRPr="00332305" w:rsidP="00332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05" w:rsidRPr="002D2AF8" w:rsidP="004D4D3C">
    <w:pPr>
      <w:pStyle w:val="Header"/>
      <w:framePr w:wrap="around"/>
    </w:pPr>
    <w:r>
      <w:fldChar w:fldCharType="begin"/>
    </w:r>
    <w:r>
      <w:instrText xml:space="preserve"> TITLE   \* MERGEFORMAT </w:instrText>
    </w:r>
    <w:r>
      <w:fldChar w:fldCharType="separate"/>
    </w:r>
    <w:r>
      <w:t>MSMTMINS501 Inspect a range of complex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2305" w:rsidP="004D4D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D3C" w:rsidRPr="002D2AF8" w:rsidP="004D4D3C">
    <w:pPr>
      <w:pStyle w:val="Header"/>
      <w:framePr w:wrap="around"/>
    </w:pPr>
    <w:r>
      <w:fldChar w:fldCharType="begin"/>
    </w:r>
    <w:r>
      <w:instrText xml:space="preserve"> TITLE   \* MERGEFORMAT </w:instrText>
    </w:r>
    <w:r>
      <w:fldChar w:fldCharType="separate"/>
    </w:r>
    <w:r w:rsidR="00332305">
      <w:t>MSMTMINS501 Inspect a range of complex measuring instruments</w:t>
    </w:r>
    <w:r w:rsidR="00332305">
      <w:fldChar w:fldCharType="end"/>
    </w:r>
    <w:r>
      <w:tab/>
      <w:t xml:space="preserve">Date this document was generated: </w:t>
    </w:r>
    <w:r>
      <w:fldChar w:fldCharType="begin"/>
    </w:r>
    <w:r>
      <w:instrText xml:space="preserve"> CREATEDATE  \@ "d MMMM yyyy"  \* MERGEFORMAT </w:instrText>
    </w:r>
    <w:r>
      <w:fldChar w:fldCharType="separate"/>
    </w:r>
    <w:r w:rsidR="00332305">
      <w:rPr>
        <w:noProof/>
      </w:rPr>
      <w:t>1 March 2025</w:t>
    </w:r>
    <w:r>
      <w:fldChar w:fldCharType="end"/>
    </w:r>
  </w:p>
  <w:p w:rsidR="004D4D3C" w:rsidP="004D4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86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2E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45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D3C"/>
    <w:pPr>
      <w:spacing w:before="360" w:after="60"/>
      <w:outlineLvl w:val="0"/>
    </w:pPr>
    <w:rPr>
      <w:sz w:val="32"/>
    </w:rPr>
  </w:style>
  <w:style w:type="paragraph" w:styleId="Heading2">
    <w:name w:val="heading 2"/>
    <w:basedOn w:val="HeadingBase"/>
    <w:next w:val="BodyText"/>
    <w:link w:val="Heading2Char"/>
    <w:qFormat/>
    <w:rsid w:val="004D4D3C"/>
    <w:pPr>
      <w:keepLines/>
      <w:spacing w:before="240" w:after="120"/>
      <w:outlineLvl w:val="1"/>
    </w:pPr>
    <w:rPr>
      <w:sz w:val="28"/>
      <w:szCs w:val="40"/>
    </w:rPr>
  </w:style>
  <w:style w:type="paragraph" w:styleId="Heading3">
    <w:name w:val="heading 3"/>
    <w:basedOn w:val="HeadingBase"/>
    <w:next w:val="BodyText"/>
    <w:link w:val="Heading3Char"/>
    <w:qFormat/>
    <w:rsid w:val="004D4D3C"/>
    <w:pPr>
      <w:spacing w:before="180" w:after="120"/>
      <w:outlineLvl w:val="2"/>
    </w:pPr>
    <w:rPr>
      <w:spacing w:val="-10"/>
      <w:kern w:val="32"/>
    </w:rPr>
  </w:style>
  <w:style w:type="paragraph" w:styleId="Heading4">
    <w:name w:val="heading 4"/>
    <w:basedOn w:val="HeadingBase"/>
    <w:next w:val="BodyText"/>
    <w:link w:val="Heading4Char"/>
    <w:qFormat/>
    <w:rsid w:val="004D4D3C"/>
    <w:pPr>
      <w:spacing w:before="160" w:after="120"/>
      <w:outlineLvl w:val="3"/>
    </w:pPr>
    <w:rPr>
      <w:sz w:val="22"/>
    </w:rPr>
  </w:style>
  <w:style w:type="paragraph" w:styleId="Heading5">
    <w:name w:val="heading 5"/>
    <w:basedOn w:val="HeadingBase"/>
    <w:next w:val="Normal"/>
    <w:link w:val="Heading5Char"/>
    <w:qFormat/>
    <w:rsid w:val="004D4D3C"/>
    <w:pPr>
      <w:spacing w:before="80"/>
      <w:outlineLvl w:val="4"/>
    </w:pPr>
    <w:rPr>
      <w:color w:val="918585"/>
      <w:sz w:val="20"/>
    </w:rPr>
  </w:style>
  <w:style w:type="paragraph" w:styleId="Heading6">
    <w:name w:val="heading 6"/>
    <w:basedOn w:val="HeadingBase"/>
    <w:next w:val="Normal"/>
    <w:link w:val="Heading6Char"/>
    <w:qFormat/>
    <w:rsid w:val="004D4D3C"/>
    <w:pPr>
      <w:spacing w:before="60"/>
      <w:outlineLvl w:val="5"/>
    </w:pPr>
    <w:rPr>
      <w:color w:val="918585"/>
      <w:sz w:val="20"/>
    </w:rPr>
  </w:style>
  <w:style w:type="paragraph" w:styleId="Heading7">
    <w:name w:val="heading 7"/>
    <w:basedOn w:val="Normal"/>
    <w:next w:val="Normal"/>
    <w:link w:val="Heading7Char"/>
    <w:qFormat/>
    <w:rsid w:val="004D4D3C"/>
    <w:pPr>
      <w:ind w:left="720"/>
      <w:outlineLvl w:val="6"/>
    </w:pPr>
    <w:rPr>
      <w:i/>
    </w:rPr>
  </w:style>
  <w:style w:type="paragraph" w:styleId="Heading8">
    <w:name w:val="heading 8"/>
    <w:basedOn w:val="Normal"/>
    <w:next w:val="Normal"/>
    <w:link w:val="Heading8Char"/>
    <w:qFormat/>
    <w:rsid w:val="004D4D3C"/>
    <w:pPr>
      <w:ind w:left="720"/>
      <w:outlineLvl w:val="7"/>
    </w:pPr>
    <w:rPr>
      <w:i/>
    </w:rPr>
  </w:style>
  <w:style w:type="paragraph" w:styleId="Heading9">
    <w:name w:val="heading 9"/>
    <w:basedOn w:val="Normal"/>
    <w:next w:val="Normal"/>
    <w:link w:val="Heading9Char"/>
    <w:qFormat/>
    <w:rsid w:val="004D4D3C"/>
    <w:pPr>
      <w:ind w:left="720"/>
      <w:outlineLvl w:val="8"/>
    </w:pPr>
    <w:rPr>
      <w:i/>
    </w:rPr>
  </w:style>
  <w:style w:type="character" w:default="1" w:styleId="DefaultParagraphFont">
    <w:name w:val="Default Paragraph Font"/>
    <w:uiPriority w:val="1"/>
    <w:unhideWhenUsed/>
    <w:rsid w:val="004D4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D3C"/>
  </w:style>
  <w:style w:type="character" w:customStyle="1" w:styleId="Heading1Char">
    <w:name w:val="Heading 1 Char"/>
    <w:basedOn w:val="DefaultParagraphFont"/>
    <w:link w:val="Heading1"/>
    <w:rsid w:val="004D4D3C"/>
    <w:rPr>
      <w:rFonts w:ascii="Times New Roman" w:eastAsia="Times New Roman" w:hAnsi="Times New Roman" w:cs="Times New Roman"/>
      <w:b/>
      <w:sz w:val="32"/>
      <w:szCs w:val="20"/>
      <w:lang w:eastAsia="en-US"/>
    </w:rPr>
  </w:style>
  <w:style w:type="paragraph" w:styleId="BodyText">
    <w:name w:val="Body Text"/>
    <w:basedOn w:val="Normal"/>
    <w:link w:val="BodyTextChar"/>
    <w:rsid w:val="004D4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D3C"/>
    <w:rPr>
      <w:rFonts w:ascii="Times New Roman" w:eastAsia="Times New Roman" w:hAnsi="Times New Roman" w:cs="Times New Roman"/>
      <w:sz w:val="24"/>
      <w:lang w:eastAsia="en-US"/>
    </w:rPr>
  </w:style>
  <w:style w:type="paragraph" w:styleId="ListBullet">
    <w:name w:val="List Bullet"/>
    <w:basedOn w:val="List"/>
    <w:rsid w:val="004D4D3C"/>
    <w:pPr>
      <w:numPr>
        <w:numId w:val="12"/>
      </w:numPr>
      <w:tabs>
        <w:tab w:val="clear" w:pos="340"/>
      </w:tabs>
      <w:spacing w:before="40" w:after="40"/>
    </w:pPr>
  </w:style>
  <w:style w:type="character" w:customStyle="1" w:styleId="SpecialBold">
    <w:name w:val="Special Bold"/>
    <w:basedOn w:val="DefaultParagraphFont"/>
    <w:rsid w:val="004D4D3C"/>
    <w:rPr>
      <w:b/>
      <w:spacing w:val="0"/>
    </w:rPr>
  </w:style>
  <w:style w:type="paragraph" w:styleId="ListBullet2">
    <w:name w:val="List Bullet 2"/>
    <w:basedOn w:val="List2"/>
    <w:rsid w:val="004D4D3C"/>
    <w:pPr>
      <w:numPr>
        <w:numId w:val="13"/>
      </w:numPr>
      <w:tabs>
        <w:tab w:val="clear" w:pos="680"/>
      </w:tabs>
    </w:pPr>
  </w:style>
  <w:style w:type="character" w:styleId="Emphasis">
    <w:name w:val="Emphasis"/>
    <w:basedOn w:val="DefaultParagraphFont"/>
    <w:qFormat/>
    <w:rsid w:val="004D4D3C"/>
    <w:rPr>
      <w:i/>
    </w:rPr>
  </w:style>
  <w:style w:type="paragraph" w:customStyle="1" w:styleId="SuperHeading">
    <w:name w:val="SuperHeading"/>
    <w:basedOn w:val="Normal"/>
    <w:rsid w:val="004D4D3C"/>
    <w:pPr>
      <w:spacing w:before="240" w:after="120"/>
      <w:outlineLvl w:val="0"/>
    </w:pPr>
    <w:rPr>
      <w:rFonts w:ascii="Times New Roman" w:hAnsi="Times New Roman"/>
      <w:b/>
      <w:sz w:val="32"/>
    </w:rPr>
  </w:style>
  <w:style w:type="paragraph" w:customStyle="1" w:styleId="AllowPageBreak">
    <w:name w:val="AllowPageBreak"/>
    <w:rsid w:val="004D4D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D3C"/>
    <w:rPr>
      <w:rFonts w:ascii="Courier New" w:eastAsia="Times New Roman" w:hAnsi="Courier New" w:cs="Times New Roman"/>
      <w:i/>
      <w:szCs w:val="20"/>
      <w:lang w:eastAsia="en-US"/>
    </w:rPr>
  </w:style>
  <w:style w:type="paragraph" w:customStyle="1" w:styleId="HeadingBase">
    <w:name w:val="Heading Base"/>
    <w:rsid w:val="004D4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D3C"/>
    <w:pPr>
      <w:tabs>
        <w:tab w:val="right" w:leader="dot" w:pos="9072"/>
      </w:tabs>
      <w:ind w:left="567"/>
    </w:pPr>
    <w:rPr>
      <w:szCs w:val="22"/>
    </w:rPr>
  </w:style>
  <w:style w:type="paragraph" w:customStyle="1" w:styleId="TOCBase">
    <w:name w:val="TOC Base"/>
    <w:rsid w:val="004D4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D3C"/>
    <w:pPr>
      <w:tabs>
        <w:tab w:val="right" w:leader="dot" w:pos="9072"/>
      </w:tabs>
      <w:spacing w:before="40" w:after="40"/>
      <w:ind w:left="284"/>
    </w:pPr>
    <w:rPr>
      <w:rFonts w:ascii="Times New Roman" w:hAnsi="Times New Roman"/>
    </w:rPr>
  </w:style>
  <w:style w:type="paragraph" w:styleId="TOC1">
    <w:name w:val="toc 1"/>
    <w:basedOn w:val="TOCBase"/>
    <w:next w:val="Normal"/>
    <w:rsid w:val="004D4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D3C"/>
    <w:rPr>
      <w:rFonts w:ascii="Times New Roman" w:eastAsia="Times New Roman" w:hAnsi="Times New Roman" w:cs="Times New Roman"/>
      <w:sz w:val="16"/>
      <w:lang w:eastAsia="en-US"/>
    </w:rPr>
  </w:style>
  <w:style w:type="paragraph" w:styleId="Title">
    <w:name w:val="Title"/>
    <w:basedOn w:val="HeadingBase"/>
    <w:link w:val="TitleChar"/>
    <w:qFormat/>
    <w:rsid w:val="004D4D3C"/>
    <w:pPr>
      <w:spacing w:before="5040"/>
      <w:jc w:val="center"/>
    </w:pPr>
    <w:rPr>
      <w:sz w:val="48"/>
      <w:szCs w:val="72"/>
      <w:lang w:val="en-US"/>
    </w:rPr>
  </w:style>
  <w:style w:type="character" w:customStyle="1" w:styleId="TitleChar">
    <w:name w:val="Title Char"/>
    <w:basedOn w:val="DefaultParagraphFont"/>
    <w:link w:val="Title"/>
    <w:rsid w:val="004D4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D3C"/>
    <w:pPr>
      <w:tabs>
        <w:tab w:val="left" w:pos="3600"/>
        <w:tab w:val="left" w:pos="3958"/>
      </w:tabs>
    </w:pPr>
  </w:style>
  <w:style w:type="paragraph" w:styleId="List">
    <w:name w:val="List"/>
    <w:basedOn w:val="BodyText"/>
    <w:next w:val="BodyText"/>
    <w:rsid w:val="004D4D3C"/>
    <w:pPr>
      <w:tabs>
        <w:tab w:val="left" w:pos="340"/>
      </w:tabs>
      <w:spacing w:before="60" w:after="60"/>
      <w:ind w:left="340" w:hanging="340"/>
    </w:pPr>
  </w:style>
  <w:style w:type="paragraph" w:customStyle="1" w:styleId="Note">
    <w:name w:val="Note"/>
    <w:basedOn w:val="BodyText"/>
    <w:rsid w:val="004D4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D3C"/>
    <w:pPr>
      <w:framePr w:wrap="auto" w:hAnchor="text" w:y="6049"/>
    </w:pPr>
    <w:rPr>
      <w:color w:val="000000"/>
      <w:sz w:val="40"/>
    </w:rPr>
  </w:style>
  <w:style w:type="paragraph" w:customStyle="1" w:styleId="TOCTitle">
    <w:name w:val="TOCTitle"/>
    <w:basedOn w:val="Heading1"/>
    <w:rsid w:val="004D4D3C"/>
    <w:pPr>
      <w:spacing w:after="240"/>
      <w:jc w:val="center"/>
      <w:outlineLvl w:val="9"/>
    </w:pPr>
    <w:rPr>
      <w:caps/>
    </w:rPr>
  </w:style>
  <w:style w:type="paragraph" w:customStyle="1" w:styleId="Version">
    <w:name w:val="Version"/>
    <w:rsid w:val="004D4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D3C"/>
    <w:pPr>
      <w:keepNext w:val="0"/>
      <w:tabs>
        <w:tab w:val="right" w:pos="4176"/>
      </w:tabs>
      <w:ind w:left="198" w:hanging="198"/>
    </w:pPr>
    <w:rPr>
      <w:rFonts w:ascii="Garamond" w:hAnsi="Garamond"/>
    </w:rPr>
  </w:style>
  <w:style w:type="paragraph" w:styleId="IndexHeading">
    <w:name w:val="index heading"/>
    <w:basedOn w:val="Normal"/>
    <w:next w:val="Index1"/>
    <w:semiHidden/>
    <w:rsid w:val="004D4D3C"/>
    <w:pPr>
      <w:spacing w:before="120" w:after="120"/>
    </w:pPr>
    <w:rPr>
      <w:rFonts w:ascii="Arial" w:hAnsi="Arial"/>
      <w:b/>
      <w:color w:val="918585"/>
      <w:sz w:val="24"/>
    </w:rPr>
  </w:style>
  <w:style w:type="paragraph" w:styleId="Header">
    <w:name w:val="header"/>
    <w:basedOn w:val="Normal"/>
    <w:link w:val="HeaderChar"/>
    <w:rsid w:val="004D4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D3C"/>
    <w:rPr>
      <w:rFonts w:ascii="Times New Roman" w:eastAsia="Times New Roman" w:hAnsi="Times New Roman" w:cs="Times New Roman"/>
      <w:sz w:val="16"/>
      <w:szCs w:val="20"/>
      <w:lang w:val="en-GB" w:eastAsia="en-US"/>
    </w:rPr>
  </w:style>
  <w:style w:type="paragraph" w:customStyle="1" w:styleId="Chapter">
    <w:name w:val="Chapter"/>
    <w:basedOn w:val="Normal"/>
    <w:rsid w:val="004D4D3C"/>
    <w:pPr>
      <w:spacing w:before="240"/>
    </w:pPr>
    <w:rPr>
      <w:rFonts w:ascii="Times New Roman" w:hAnsi="Times New Roman"/>
      <w:smallCaps/>
      <w:spacing w:val="80"/>
      <w:sz w:val="28"/>
    </w:rPr>
  </w:style>
  <w:style w:type="paragraph" w:customStyle="1" w:styleId="InChapter">
    <w:name w:val="InChapter"/>
    <w:basedOn w:val="Heading3"/>
    <w:rsid w:val="004D4D3C"/>
    <w:pPr>
      <w:spacing w:after="240"/>
      <w:outlineLvl w:val="9"/>
    </w:pPr>
    <w:rPr>
      <w:noProof/>
    </w:rPr>
  </w:style>
  <w:style w:type="paragraph" w:styleId="Index2">
    <w:name w:val="index 2"/>
    <w:basedOn w:val="Normal"/>
    <w:next w:val="Normal"/>
    <w:semiHidden/>
    <w:rsid w:val="004D4D3C"/>
    <w:pPr>
      <w:tabs>
        <w:tab w:val="right" w:pos="4176"/>
      </w:tabs>
      <w:ind w:left="568" w:hanging="284"/>
    </w:pPr>
    <w:rPr>
      <w:rFonts w:ascii="Garamond" w:hAnsi="Garamond"/>
    </w:rPr>
  </w:style>
  <w:style w:type="paragraph" w:customStyle="1" w:styleId="Byline">
    <w:name w:val="Byline"/>
    <w:rsid w:val="004D4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D3C"/>
    <w:pPr>
      <w:tabs>
        <w:tab w:val="clear" w:pos="3600"/>
        <w:tab w:val="clear" w:pos="3958"/>
      </w:tabs>
      <w:jc w:val="right"/>
    </w:pPr>
  </w:style>
  <w:style w:type="paragraph" w:styleId="Caption">
    <w:name w:val="caption"/>
    <w:basedOn w:val="BodyText"/>
    <w:next w:val="Normal"/>
    <w:qFormat/>
    <w:rsid w:val="004D4D3C"/>
    <w:pPr>
      <w:framePr w:w="2268" w:hSpace="181" w:vSpace="181" w:wrap="around" w:vAnchor="text" w:hAnchor="page" w:x="1135" w:y="285" w:anchorLock="1"/>
    </w:pPr>
    <w:rPr>
      <w:i/>
    </w:rPr>
  </w:style>
  <w:style w:type="paragraph" w:customStyle="1" w:styleId="MiniTOCTitle">
    <w:name w:val="MiniTOCTitle"/>
    <w:basedOn w:val="Heading4"/>
    <w:rsid w:val="004D4D3C"/>
    <w:pPr>
      <w:spacing w:before="240"/>
      <w:outlineLvl w:val="9"/>
    </w:pPr>
    <w:rPr>
      <w:noProof/>
      <w:sz w:val="24"/>
    </w:rPr>
  </w:style>
  <w:style w:type="paragraph" w:customStyle="1" w:styleId="MiniTOCItem">
    <w:name w:val="MiniTOCItem"/>
    <w:basedOn w:val="ListBullet"/>
    <w:rsid w:val="004D4D3C"/>
    <w:pPr>
      <w:numPr>
        <w:numId w:val="0"/>
      </w:numPr>
      <w:tabs>
        <w:tab w:val="right" w:leader="dot" w:pos="6521"/>
      </w:tabs>
      <w:spacing w:before="0" w:after="0"/>
    </w:pPr>
  </w:style>
  <w:style w:type="paragraph" w:customStyle="1" w:styleId="TOFTitle">
    <w:name w:val="TOFTitle"/>
    <w:basedOn w:val="TOCTitle"/>
    <w:rsid w:val="004D4D3C"/>
  </w:style>
  <w:style w:type="paragraph" w:styleId="TableofFigures">
    <w:name w:val="table of figures"/>
    <w:basedOn w:val="Normal"/>
    <w:next w:val="Normal"/>
    <w:semiHidden/>
    <w:rsid w:val="004D4D3C"/>
    <w:pPr>
      <w:tabs>
        <w:tab w:val="right" w:leader="dot" w:pos="9072"/>
      </w:tabs>
      <w:ind w:left="970" w:hanging="403"/>
    </w:pPr>
    <w:rPr>
      <w:rFonts w:ascii="Times New Roman" w:hAnsi="Times New Roman"/>
      <w:b/>
    </w:rPr>
  </w:style>
  <w:style w:type="paragraph" w:styleId="ListNumber">
    <w:name w:val="List Number"/>
    <w:basedOn w:val="List"/>
    <w:rsid w:val="004D4D3C"/>
    <w:pPr>
      <w:numPr>
        <w:numId w:val="15"/>
      </w:numPr>
      <w:tabs>
        <w:tab w:val="clear" w:pos="340"/>
      </w:tabs>
    </w:pPr>
  </w:style>
  <w:style w:type="character" w:customStyle="1" w:styleId="WingdingSymbols">
    <w:name w:val="Wingding Symbols"/>
    <w:rsid w:val="004D4D3C"/>
    <w:rPr>
      <w:rFonts w:ascii="Wingdings" w:hAnsi="Wingdings"/>
    </w:rPr>
  </w:style>
  <w:style w:type="paragraph" w:customStyle="1" w:styleId="TableHeading">
    <w:name w:val="Table Heading"/>
    <w:basedOn w:val="HeadingBase"/>
    <w:rsid w:val="004D4D3C"/>
    <w:pPr>
      <w:keepLines/>
      <w:pBdr>
        <w:bottom w:val="single" w:sz="6" w:space="1" w:color="918585"/>
      </w:pBdr>
      <w:spacing w:before="240"/>
    </w:pPr>
  </w:style>
  <w:style w:type="character" w:customStyle="1" w:styleId="HotSpot">
    <w:name w:val="HotSpot"/>
    <w:rsid w:val="004D4D3C"/>
    <w:rPr>
      <w:color w:val="0033CC"/>
      <w:u w:val="none"/>
    </w:rPr>
  </w:style>
  <w:style w:type="paragraph" w:customStyle="1" w:styleId="BodyTextRight">
    <w:name w:val="Body Text Right"/>
    <w:basedOn w:val="BodyText"/>
    <w:rsid w:val="004D4D3C"/>
    <w:pPr>
      <w:spacing w:before="0" w:after="0"/>
      <w:jc w:val="right"/>
    </w:pPr>
  </w:style>
  <w:style w:type="paragraph" w:styleId="Index3">
    <w:name w:val="index 3"/>
    <w:basedOn w:val="ListNumber2"/>
    <w:next w:val="Normal"/>
    <w:semiHidden/>
    <w:rsid w:val="004D4D3C"/>
    <w:pPr>
      <w:numPr>
        <w:numId w:val="0"/>
      </w:numPr>
      <w:tabs>
        <w:tab w:val="right" w:leader="dot" w:pos="4176"/>
      </w:tabs>
    </w:pPr>
  </w:style>
  <w:style w:type="paragraph" w:styleId="ListNumber2">
    <w:name w:val="List Number 2"/>
    <w:basedOn w:val="List2"/>
    <w:rsid w:val="004D4D3C"/>
    <w:pPr>
      <w:numPr>
        <w:numId w:val="10"/>
      </w:numPr>
      <w:tabs>
        <w:tab w:val="clear" w:pos="1060"/>
      </w:tabs>
    </w:pPr>
  </w:style>
  <w:style w:type="paragraph" w:customStyle="1" w:styleId="MarginNote">
    <w:name w:val="Margin Note"/>
    <w:basedOn w:val="BodyText"/>
    <w:rsid w:val="004D4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D3C"/>
    <w:rPr>
      <w:sz w:val="32"/>
    </w:rPr>
  </w:style>
  <w:style w:type="paragraph" w:customStyle="1" w:styleId="HeadingProcedure">
    <w:name w:val="Heading Procedure"/>
    <w:basedOn w:val="HeadingBase"/>
    <w:next w:val="Normal"/>
    <w:rsid w:val="004D4D3C"/>
    <w:pPr>
      <w:tabs>
        <w:tab w:val="left" w:pos="0"/>
      </w:tabs>
      <w:spacing w:before="120" w:after="60"/>
    </w:pPr>
    <w:rPr>
      <w:i/>
      <w:color w:val="918585"/>
      <w:sz w:val="22"/>
    </w:rPr>
  </w:style>
  <w:style w:type="paragraph" w:customStyle="1" w:styleId="TableBodyText">
    <w:name w:val="Table Body Text"/>
    <w:basedOn w:val="BodyText"/>
    <w:rsid w:val="004D4D3C"/>
    <w:pPr>
      <w:spacing w:before="60" w:after="60"/>
    </w:pPr>
  </w:style>
  <w:style w:type="paragraph" w:styleId="ListContinue">
    <w:name w:val="List Continue"/>
    <w:basedOn w:val="List"/>
    <w:rsid w:val="004D4D3C"/>
    <w:pPr>
      <w:ind w:firstLine="0"/>
    </w:pPr>
  </w:style>
  <w:style w:type="paragraph" w:customStyle="1" w:styleId="ListNote">
    <w:name w:val="List Note"/>
    <w:basedOn w:val="List"/>
    <w:rsid w:val="004D4D3C"/>
    <w:pPr>
      <w:pBdr>
        <w:top w:val="single" w:sz="6" w:space="2" w:color="918585"/>
        <w:bottom w:val="single" w:sz="6" w:space="2" w:color="918585"/>
      </w:pBdr>
      <w:tabs>
        <w:tab w:val="left" w:pos="1021"/>
      </w:tabs>
      <w:ind w:firstLine="0"/>
    </w:pPr>
  </w:style>
  <w:style w:type="paragraph" w:customStyle="1" w:styleId="Warning">
    <w:name w:val="Warning"/>
    <w:basedOn w:val="BodyText"/>
    <w:rsid w:val="004D4D3C"/>
    <w:pPr>
      <w:shd w:val="clear" w:color="auto" w:fill="D9D9D9"/>
      <w:tabs>
        <w:tab w:val="left" w:pos="992"/>
      </w:tabs>
      <w:ind w:left="119" w:right="119"/>
    </w:pPr>
    <w:rPr>
      <w:sz w:val="20"/>
    </w:rPr>
  </w:style>
  <w:style w:type="paragraph" w:customStyle="1" w:styleId="MarginIcons">
    <w:name w:val="Margin Icons"/>
    <w:basedOn w:val="BodyText"/>
    <w:rsid w:val="004D4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D3C"/>
    <w:rPr>
      <w:rFonts w:ascii="Courier New" w:hAnsi="Courier New"/>
    </w:rPr>
  </w:style>
  <w:style w:type="paragraph" w:customStyle="1" w:styleId="NoteBullet">
    <w:name w:val="Note Bullet"/>
    <w:basedOn w:val="Note"/>
    <w:rsid w:val="004D4D3C"/>
    <w:pPr>
      <w:tabs>
        <w:tab w:val="clear" w:pos="680"/>
      </w:tabs>
      <w:spacing w:before="60" w:after="60"/>
    </w:pPr>
  </w:style>
  <w:style w:type="paragraph" w:customStyle="1" w:styleId="SubHeading2">
    <w:name w:val="SubHeading2"/>
    <w:basedOn w:val="HeadingBase"/>
    <w:rsid w:val="004D4D3C"/>
    <w:pPr>
      <w:spacing w:before="240" w:after="60"/>
    </w:pPr>
    <w:rPr>
      <w:sz w:val="20"/>
    </w:rPr>
  </w:style>
  <w:style w:type="paragraph" w:customStyle="1" w:styleId="SubHeading1">
    <w:name w:val="SubHeading1"/>
    <w:basedOn w:val="HeadingBase"/>
    <w:rsid w:val="004D4D3C"/>
    <w:pPr>
      <w:spacing w:before="240" w:after="60"/>
    </w:pPr>
    <w:rPr>
      <w:color w:val="918585"/>
      <w:sz w:val="22"/>
    </w:rPr>
  </w:style>
  <w:style w:type="paragraph" w:customStyle="1" w:styleId="SideHeading">
    <w:name w:val="Side Heading"/>
    <w:basedOn w:val="HeadingBase"/>
    <w:rsid w:val="004D4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D3C"/>
    <w:pPr>
      <w:tabs>
        <w:tab w:val="num" w:pos="360"/>
      </w:tabs>
    </w:pPr>
  </w:style>
  <w:style w:type="paragraph" w:styleId="PlainText">
    <w:name w:val="Plain Text"/>
    <w:basedOn w:val="Normal"/>
    <w:link w:val="PlainTextChar"/>
    <w:rsid w:val="004D4D3C"/>
    <w:rPr>
      <w:sz w:val="20"/>
    </w:rPr>
  </w:style>
  <w:style w:type="character" w:customStyle="1" w:styleId="PlainTextChar">
    <w:name w:val="Plain Text Char"/>
    <w:basedOn w:val="DefaultParagraphFont"/>
    <w:link w:val="PlainText"/>
    <w:rsid w:val="004D4D3C"/>
    <w:rPr>
      <w:rFonts w:ascii="Courier New" w:eastAsia="Times New Roman" w:hAnsi="Courier New" w:cs="Times New Roman"/>
      <w:sz w:val="20"/>
      <w:szCs w:val="20"/>
      <w:lang w:eastAsia="en-US"/>
    </w:rPr>
  </w:style>
  <w:style w:type="character" w:customStyle="1" w:styleId="MenuOption">
    <w:name w:val="Menu Option"/>
    <w:basedOn w:val="DefaultParagraphFont"/>
    <w:rsid w:val="004D4D3C"/>
    <w:rPr>
      <w:b/>
      <w:smallCaps/>
    </w:rPr>
  </w:style>
  <w:style w:type="paragraph" w:customStyle="1" w:styleId="TableListNumber">
    <w:name w:val="Table List Number"/>
    <w:basedOn w:val="ListNumber"/>
    <w:rsid w:val="004D4D3C"/>
    <w:pPr>
      <w:numPr>
        <w:numId w:val="0"/>
      </w:numPr>
    </w:pPr>
  </w:style>
  <w:style w:type="paragraph" w:styleId="TOC4">
    <w:name w:val="toc 4"/>
    <w:basedOn w:val="TOCBase"/>
    <w:next w:val="Normal"/>
    <w:semiHidden/>
    <w:rsid w:val="004D4D3C"/>
    <w:pPr>
      <w:tabs>
        <w:tab w:val="right" w:leader="dot" w:pos="9071"/>
      </w:tabs>
      <w:ind w:left="1701"/>
    </w:pPr>
  </w:style>
  <w:style w:type="paragraph" w:customStyle="1" w:styleId="ListAlpha">
    <w:name w:val="List Alpha"/>
    <w:basedOn w:val="List"/>
    <w:rsid w:val="004D4D3C"/>
    <w:pPr>
      <w:numPr>
        <w:numId w:val="9"/>
      </w:numPr>
    </w:pPr>
  </w:style>
  <w:style w:type="paragraph" w:customStyle="1" w:styleId="ListAlpha2">
    <w:name w:val="List Alpha 2"/>
    <w:basedOn w:val="List2"/>
    <w:rsid w:val="004D4D3C"/>
    <w:pPr>
      <w:numPr>
        <w:numId w:val="8"/>
      </w:numPr>
    </w:pPr>
  </w:style>
  <w:style w:type="paragraph" w:styleId="List2">
    <w:name w:val="List 2"/>
    <w:basedOn w:val="BodyText"/>
    <w:rsid w:val="004D4D3C"/>
    <w:pPr>
      <w:tabs>
        <w:tab w:val="left" w:pos="680"/>
      </w:tabs>
      <w:spacing w:before="60" w:after="60"/>
      <w:ind w:left="680" w:hanging="340"/>
    </w:pPr>
  </w:style>
  <w:style w:type="paragraph" w:styleId="List3">
    <w:name w:val="List 3"/>
    <w:basedOn w:val="BodyText"/>
    <w:rsid w:val="004D4D3C"/>
    <w:pPr>
      <w:tabs>
        <w:tab w:val="left" w:pos="1021"/>
      </w:tabs>
      <w:spacing w:before="60" w:after="60"/>
      <w:ind w:left="1020" w:hanging="340"/>
    </w:pPr>
  </w:style>
  <w:style w:type="paragraph" w:styleId="List4">
    <w:name w:val="List 4"/>
    <w:basedOn w:val="BodyText"/>
    <w:rsid w:val="004D4D3C"/>
    <w:pPr>
      <w:tabs>
        <w:tab w:val="left" w:pos="1361"/>
      </w:tabs>
      <w:spacing w:before="60" w:after="60"/>
      <w:ind w:left="1361" w:hanging="340"/>
    </w:pPr>
  </w:style>
  <w:style w:type="paragraph" w:styleId="List5">
    <w:name w:val="List 5"/>
    <w:basedOn w:val="BodyText"/>
    <w:rsid w:val="004D4D3C"/>
    <w:pPr>
      <w:tabs>
        <w:tab w:val="left" w:pos="1701"/>
      </w:tabs>
      <w:spacing w:before="60" w:after="60"/>
      <w:ind w:left="1701" w:hanging="340"/>
    </w:pPr>
  </w:style>
  <w:style w:type="paragraph" w:styleId="ListBullet3">
    <w:name w:val="List Bullet 3"/>
    <w:basedOn w:val="List3"/>
    <w:rsid w:val="004D4D3C"/>
    <w:pPr>
      <w:numPr>
        <w:numId w:val="14"/>
      </w:numPr>
      <w:tabs>
        <w:tab w:val="clear" w:pos="1021"/>
      </w:tabs>
      <w:ind w:left="1037" w:hanging="357"/>
    </w:pPr>
  </w:style>
  <w:style w:type="paragraph" w:styleId="ListBullet4">
    <w:name w:val="List Bullet 4"/>
    <w:basedOn w:val="List4"/>
    <w:rsid w:val="004D4D3C"/>
    <w:pPr>
      <w:numPr>
        <w:numId w:val="3"/>
      </w:numPr>
      <w:tabs>
        <w:tab w:val="clear" w:pos="1361"/>
      </w:tabs>
    </w:pPr>
  </w:style>
  <w:style w:type="paragraph" w:styleId="ListBullet5">
    <w:name w:val="List Bullet 5"/>
    <w:basedOn w:val="List5"/>
    <w:rsid w:val="004D4D3C"/>
    <w:pPr>
      <w:numPr>
        <w:numId w:val="4"/>
      </w:numPr>
    </w:pPr>
  </w:style>
  <w:style w:type="paragraph" w:styleId="ListContinue2">
    <w:name w:val="List Continue 2"/>
    <w:basedOn w:val="List2"/>
    <w:rsid w:val="004D4D3C"/>
    <w:pPr>
      <w:ind w:firstLine="0"/>
    </w:pPr>
  </w:style>
  <w:style w:type="paragraph" w:styleId="ListContinue3">
    <w:name w:val="List Continue 3"/>
    <w:basedOn w:val="List3"/>
    <w:rsid w:val="004D4D3C"/>
    <w:pPr>
      <w:ind w:left="1021" w:firstLine="0"/>
    </w:pPr>
  </w:style>
  <w:style w:type="paragraph" w:styleId="ListContinue4">
    <w:name w:val="List Continue 4"/>
    <w:basedOn w:val="List4"/>
    <w:rsid w:val="004D4D3C"/>
    <w:pPr>
      <w:ind w:firstLine="0"/>
    </w:pPr>
  </w:style>
  <w:style w:type="paragraph" w:styleId="ListContinue5">
    <w:name w:val="List Continue 5"/>
    <w:basedOn w:val="List5"/>
    <w:rsid w:val="004D4D3C"/>
    <w:pPr>
      <w:ind w:firstLine="0"/>
    </w:pPr>
  </w:style>
  <w:style w:type="paragraph" w:styleId="ListNumber3">
    <w:name w:val="List Number 3"/>
    <w:basedOn w:val="List3"/>
    <w:rsid w:val="004D4D3C"/>
    <w:pPr>
      <w:numPr>
        <w:numId w:val="5"/>
      </w:numPr>
    </w:pPr>
  </w:style>
  <w:style w:type="paragraph" w:styleId="ListNumber4">
    <w:name w:val="List Number 4"/>
    <w:basedOn w:val="List4"/>
    <w:rsid w:val="004D4D3C"/>
    <w:pPr>
      <w:numPr>
        <w:numId w:val="6"/>
      </w:numPr>
    </w:pPr>
  </w:style>
  <w:style w:type="paragraph" w:styleId="ListNumber5">
    <w:name w:val="List Number 5"/>
    <w:basedOn w:val="List5"/>
    <w:rsid w:val="004D4D3C"/>
    <w:pPr>
      <w:numPr>
        <w:numId w:val="7"/>
      </w:numPr>
    </w:pPr>
  </w:style>
  <w:style w:type="paragraph" w:styleId="BlockText">
    <w:name w:val="Block Text"/>
    <w:basedOn w:val="Normal"/>
    <w:rsid w:val="004D4D3C"/>
    <w:pPr>
      <w:spacing w:after="120"/>
      <w:ind w:left="1440" w:right="1440"/>
    </w:pPr>
  </w:style>
  <w:style w:type="character" w:customStyle="1" w:styleId="Subscript">
    <w:name w:val="Subscript"/>
    <w:basedOn w:val="DefaultParagraphFont"/>
    <w:rsid w:val="004D4D3C"/>
    <w:rPr>
      <w:sz w:val="16"/>
      <w:vertAlign w:val="subscript"/>
    </w:rPr>
  </w:style>
  <w:style w:type="character" w:customStyle="1" w:styleId="Superscript">
    <w:name w:val="Superscript"/>
    <w:basedOn w:val="DefaultParagraphFont"/>
    <w:rsid w:val="004D4D3C"/>
    <w:rPr>
      <w:sz w:val="16"/>
      <w:vertAlign w:val="superscript"/>
    </w:rPr>
  </w:style>
  <w:style w:type="character" w:customStyle="1" w:styleId="Symbols">
    <w:name w:val="Symbols"/>
    <w:basedOn w:val="DefaultParagraphFont"/>
    <w:rsid w:val="004D4D3C"/>
    <w:rPr>
      <w:rFonts w:ascii="Symbol" w:hAnsi="Symbol"/>
    </w:rPr>
  </w:style>
  <w:style w:type="character" w:customStyle="1" w:styleId="MenuOptions">
    <w:name w:val="Menu Options"/>
    <w:basedOn w:val="DefaultParagraphFont"/>
    <w:rsid w:val="004D4D3C"/>
    <w:rPr>
      <w:rFonts w:ascii="Arial Narrow" w:hAnsi="Arial Narrow"/>
      <w:smallCaps/>
    </w:rPr>
  </w:style>
  <w:style w:type="character" w:customStyle="1" w:styleId="Buttons">
    <w:name w:val="Buttons"/>
    <w:basedOn w:val="DefaultParagraphFont"/>
    <w:rsid w:val="004D4D3C"/>
    <w:rPr>
      <w:b/>
    </w:rPr>
  </w:style>
  <w:style w:type="character" w:customStyle="1" w:styleId="Underlined">
    <w:name w:val="Underlined"/>
    <w:basedOn w:val="DefaultParagraphFont"/>
    <w:rsid w:val="004D4D3C"/>
    <w:rPr>
      <w:u w:val="single"/>
    </w:rPr>
  </w:style>
  <w:style w:type="paragraph" w:customStyle="1" w:styleId="TableBodyTextRight">
    <w:name w:val="Table Body Text Right"/>
    <w:basedOn w:val="TableBodyText"/>
    <w:rsid w:val="004D4D3C"/>
    <w:pPr>
      <w:widowControl w:val="0"/>
      <w:autoSpaceDE w:val="0"/>
      <w:autoSpaceDN w:val="0"/>
      <w:adjustRightInd w:val="0"/>
      <w:jc w:val="right"/>
    </w:pPr>
    <w:rPr>
      <w:rFonts w:cs="Arial"/>
      <w:szCs w:val="18"/>
    </w:rPr>
  </w:style>
  <w:style w:type="paragraph" w:customStyle="1" w:styleId="CopyrightText">
    <w:name w:val="Copyright Text"/>
    <w:basedOn w:val="BodyText"/>
    <w:rsid w:val="004D4D3C"/>
    <w:rPr>
      <w:sz w:val="18"/>
    </w:rPr>
  </w:style>
  <w:style w:type="paragraph" w:customStyle="1" w:styleId="BodySmallRight">
    <w:name w:val="Body Small Right"/>
    <w:basedOn w:val="BodyTextRight"/>
    <w:rsid w:val="004D4D3C"/>
    <w:rPr>
      <w:sz w:val="18"/>
      <w:szCs w:val="18"/>
    </w:rPr>
  </w:style>
  <w:style w:type="paragraph" w:customStyle="1" w:styleId="MarginEdition">
    <w:name w:val="Margin Edition"/>
    <w:basedOn w:val="MarginNote"/>
    <w:rsid w:val="004D4D3C"/>
    <w:pPr>
      <w:spacing w:before="0" w:after="0"/>
    </w:pPr>
    <w:rPr>
      <w:rFonts w:ascii="Times New Roman" w:hAnsi="Times New Roman"/>
      <w:color w:val="999999"/>
    </w:rPr>
  </w:style>
  <w:style w:type="paragraph" w:customStyle="1" w:styleId="Spacer">
    <w:name w:val="Spacer"/>
    <w:basedOn w:val="Normal"/>
    <w:rsid w:val="004D4D3C"/>
    <w:rPr>
      <w:sz w:val="2"/>
      <w:szCs w:val="2"/>
    </w:rPr>
  </w:style>
  <w:style w:type="character" w:customStyle="1" w:styleId="Small">
    <w:name w:val="Small"/>
    <w:basedOn w:val="DefaultParagraphFont"/>
    <w:rsid w:val="004D4D3C"/>
    <w:rPr>
      <w:sz w:val="16"/>
    </w:rPr>
  </w:style>
  <w:style w:type="paragraph" w:customStyle="1" w:styleId="WideTable">
    <w:name w:val="Wide Table"/>
    <w:basedOn w:val="Normal"/>
    <w:rsid w:val="004D4D3C"/>
    <w:pPr>
      <w:ind w:left="-1418"/>
    </w:pPr>
    <w:rPr>
      <w:sz w:val="2"/>
      <w:szCs w:val="2"/>
    </w:rPr>
  </w:style>
  <w:style w:type="character" w:styleId="PageNumber">
    <w:name w:val="page number"/>
    <w:basedOn w:val="DefaultParagraphFont"/>
    <w:rsid w:val="004D4D3C"/>
  </w:style>
  <w:style w:type="paragraph" w:styleId="Quote">
    <w:name w:val="Quote"/>
    <w:basedOn w:val="Heading1"/>
    <w:link w:val="QuoteChar"/>
    <w:qFormat/>
    <w:rsid w:val="004D4D3C"/>
    <w:rPr>
      <w:b w:val="0"/>
      <w:sz w:val="72"/>
      <w:szCs w:val="72"/>
      <w:lang w:val="en-NZ"/>
    </w:rPr>
  </w:style>
  <w:style w:type="character" w:customStyle="1" w:styleId="QuoteChar">
    <w:name w:val="Quote Char"/>
    <w:basedOn w:val="DefaultParagraphFont"/>
    <w:link w:val="Quote"/>
    <w:rsid w:val="004D4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D3C"/>
    <w:pPr>
      <w:pageBreakBefore/>
    </w:pPr>
  </w:style>
  <w:style w:type="paragraph" w:customStyle="1" w:styleId="Border">
    <w:name w:val="Border"/>
    <w:basedOn w:val="Normal"/>
    <w:qFormat/>
    <w:rsid w:val="004D4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D3C"/>
    <w:rPr>
      <w:b/>
      <w:bCs/>
      <w:i/>
      <w:iCs/>
      <w:color w:val="auto"/>
    </w:rPr>
  </w:style>
  <w:style w:type="paragraph" w:styleId="IntenseQuote">
    <w:name w:val="Intense Quote"/>
    <w:basedOn w:val="Normal"/>
    <w:next w:val="Normal"/>
    <w:link w:val="IntenseQuoteChar"/>
    <w:uiPriority w:val="30"/>
    <w:qFormat/>
    <w:rsid w:val="004D4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D3C"/>
    <w:rPr>
      <w:smallCaps/>
      <w:color w:val="auto"/>
      <w:u w:val="single"/>
    </w:rPr>
  </w:style>
  <w:style w:type="character" w:styleId="IntenseReference">
    <w:name w:val="Intense Reference"/>
    <w:basedOn w:val="DefaultParagraphFont"/>
    <w:uiPriority w:val="32"/>
    <w:qFormat/>
    <w:rsid w:val="004D4D3C"/>
    <w:rPr>
      <w:b/>
      <w:bCs/>
      <w:smallCaps/>
      <w:color w:val="auto"/>
      <w:spacing w:val="5"/>
      <w:u w:val="single"/>
    </w:rPr>
  </w:style>
  <w:style w:type="paragraph" w:customStyle="1" w:styleId="2ColumnHeading">
    <w:name w:val="2Column Heading"/>
    <w:basedOn w:val="BodyText"/>
    <w:qFormat/>
    <w:rsid w:val="004D4D3C"/>
    <w:pPr>
      <w:spacing w:after="60"/>
      <w:ind w:left="-2268"/>
    </w:pPr>
    <w:rPr>
      <w:b/>
    </w:rPr>
  </w:style>
  <w:style w:type="paragraph" w:customStyle="1" w:styleId="Heading1TOC">
    <w:name w:val="Heading1 TOC"/>
    <w:basedOn w:val="Normal"/>
    <w:qFormat/>
    <w:rsid w:val="004D4D3C"/>
    <w:pPr>
      <w:spacing w:before="240" w:after="120"/>
    </w:pPr>
    <w:rPr>
      <w:rFonts w:ascii="Times New Roman" w:hAnsi="Times New Roman"/>
      <w:b/>
      <w:sz w:val="32"/>
    </w:rPr>
  </w:style>
  <w:style w:type="paragraph" w:customStyle="1" w:styleId="Heading2TOC">
    <w:name w:val="Heading2 TOC"/>
    <w:basedOn w:val="Normal"/>
    <w:qFormat/>
    <w:rsid w:val="004D4D3C"/>
    <w:pPr>
      <w:spacing w:before="240" w:after="60"/>
    </w:pPr>
    <w:rPr>
      <w:rFonts w:ascii="Times New Roman" w:hAnsi="Times New Roman"/>
      <w:b/>
      <w:sz w:val="28"/>
    </w:rPr>
  </w:style>
  <w:style w:type="character" w:customStyle="1" w:styleId="Underline">
    <w:name w:val="Underline"/>
    <w:basedOn w:val="DefaultParagraphFont"/>
    <w:qFormat/>
    <w:rsid w:val="004D4D3C"/>
    <w:rPr>
      <w:u w:val="single"/>
    </w:rPr>
  </w:style>
  <w:style w:type="character" w:customStyle="1" w:styleId="BoldandItalics">
    <w:name w:val="Bold and Italics"/>
    <w:qFormat/>
    <w:rsid w:val="004D4D3C"/>
    <w:rPr>
      <w:b/>
      <w:i/>
      <w:u w:val="none"/>
    </w:rPr>
  </w:style>
  <w:style w:type="paragraph" w:styleId="BalloonText">
    <w:name w:val="Balloon Text"/>
    <w:basedOn w:val="Normal"/>
    <w:link w:val="BalloonTextChar"/>
    <w:rsid w:val="004D4D3C"/>
    <w:rPr>
      <w:rFonts w:ascii="Tahoma" w:hAnsi="Tahoma" w:cs="Tahoma"/>
      <w:sz w:val="16"/>
      <w:szCs w:val="16"/>
    </w:rPr>
  </w:style>
  <w:style w:type="character" w:customStyle="1" w:styleId="BalloonTextChar">
    <w:name w:val="Balloon Text Char"/>
    <w:basedOn w:val="DefaultParagraphFont"/>
    <w:link w:val="BalloonText"/>
    <w:rsid w:val="004D4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D3C"/>
    <w:rPr>
      <w:b/>
      <w:color w:val="660033"/>
      <w:spacing w:val="0"/>
    </w:rPr>
  </w:style>
  <w:style w:type="paragraph" w:customStyle="1" w:styleId="Nameditemlist">
    <w:name w:val="Named item list"/>
    <w:basedOn w:val="BodyText"/>
    <w:qFormat/>
    <w:rsid w:val="004D4D3C"/>
    <w:pPr>
      <w:tabs>
        <w:tab w:val="left" w:pos="2835"/>
      </w:tabs>
      <w:ind w:left="2835" w:hanging="2835"/>
    </w:pPr>
  </w:style>
  <w:style w:type="paragraph" w:customStyle="1" w:styleId="BodyTextnopadding">
    <w:name w:val="Body Text no padding"/>
    <w:basedOn w:val="BodyText"/>
    <w:qFormat/>
    <w:rsid w:val="004D4D3C"/>
    <w:pPr>
      <w:spacing w:before="0" w:after="0"/>
    </w:pPr>
  </w:style>
  <w:style w:type="paragraph" w:customStyle="1" w:styleId="BodyTextBold">
    <w:name w:val="Body Text Bold"/>
    <w:basedOn w:val="BodyText"/>
    <w:qFormat/>
    <w:rsid w:val="004D4D3C"/>
    <w:rPr>
      <w:b/>
    </w:rPr>
  </w:style>
  <w:style w:type="character" w:styleId="Hyperlink">
    <w:name w:val="Hyperlink"/>
    <w:basedOn w:val="DefaultParagraphFont"/>
    <w:uiPriority w:val="99"/>
    <w:unhideWhenUsed/>
    <w:rsid w:val="00332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2747</Words>
  <Characters>18299</Characters>
  <Application>Microsoft Office Word</Application>
  <DocSecurity>0</DocSecurity>
  <Lines>609</Lines>
  <Paragraphs>323</Paragraphs>
  <ScaleCrop>false</ScaleCrop>
  <Company>Author-it Software Corporation Ltd.</Company>
  <LinksUpToDate>false</LinksUpToDate>
  <CharactersWithSpaces>20723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MSMTMINS501 Inspect a range of complex measuring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