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2B2" w:rsidP="00866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MSMTMINS501 Inspect a range of complex measuring instruments</w:t>
      </w:r>
      <w:r>
        <w:fldChar w:fldCharType="end"/>
      </w:r>
    </w:p>
    <w:p w:rsidR="008662B2" w:rsidP="008662B2">
      <w:pPr>
        <w:pStyle w:val="Version"/>
        <w:sectPr w:rsidSect="009B4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45A9" w:rsidP="009B45A9">
      <w:pPr>
        <w:pStyle w:val="SuperHeading"/>
      </w:pPr>
      <w:r w:rsidRPr="009B45A9">
        <w:t>Assessment Requirements for MSMTMINS501 Inspect a range of complex measuring instruments</w:t>
      </w:r>
    </w:p>
    <w:p w:rsidR="00000000" w:rsidRPr="009B45A9" w:rsidP="009B45A9">
      <w:pPr>
        <w:pStyle w:val="Heading1"/>
      </w:pPr>
      <w:bookmarkStart w:id="1" w:name="O_939389"/>
      <w:bookmarkEnd w:id="1"/>
      <w:r w:rsidRPr="009B45A9">
        <w:t>Modification History</w:t>
      </w:r>
    </w:p>
    <w:p w:rsidR="00000000" w:rsidRPr="009B45A9" w:rsidP="008662B2">
      <w:pPr>
        <w:pStyle w:val="BodyText"/>
      </w:pPr>
      <w:r w:rsidRPr="009B45A9">
        <w:t>Release 2. Adjustments to the Appl</w:t>
      </w:r>
      <w:r w:rsidRPr="009B45A9">
        <w:t>ication, Performance Criteria, Range of Conditions, Adjustments to Performance Evidence, Assessment Conditions and minor corrections. Equivalent.</w:t>
      </w:r>
    </w:p>
    <w:p w:rsidR="00000000" w:rsidRPr="009B45A9" w:rsidP="008662B2">
      <w:pPr>
        <w:pStyle w:val="BodyText"/>
      </w:pPr>
      <w:r w:rsidRPr="009B45A9">
        <w:t>Release 1. Supersedes and is equivalent to MSATMINS501A Inspect a range of complex measuring instruments</w:t>
      </w:r>
    </w:p>
    <w:p w:rsidR="00000000" w:rsidRPr="009B45A9" w:rsidP="009B45A9">
      <w:pPr>
        <w:pStyle w:val="Heading1"/>
      </w:pPr>
      <w:bookmarkStart w:id="2" w:name="O_939388"/>
      <w:bookmarkEnd w:id="2"/>
      <w:r w:rsidRPr="009B45A9">
        <w:t>Performance Evidence</w:t>
      </w:r>
    </w:p>
    <w:p w:rsidR="00000000" w:rsidRPr="009B45A9" w:rsidP="008662B2">
      <w:pPr>
        <w:pStyle w:val="BodyText"/>
      </w:pPr>
      <w:r w:rsidRPr="009B45A9">
        <w:t>Evidence of competence in this unit must satisfy all of the requirements of the elements and performance criteria, and include demonstration of:</w:t>
      </w:r>
    </w:p>
    <w:p w:rsidR="00000000" w:rsidRPr="009B45A9" w:rsidP="009B45A9">
      <w:pPr>
        <w:pStyle w:val="ListBullet"/>
      </w:pPr>
      <w:r w:rsidRPr="009B45A9">
        <w:t>completing initial verification testing of one or more of the following compl</w:t>
      </w:r>
      <w:r w:rsidRPr="009B45A9">
        <w:t>ex weighing instruments:</w:t>
      </w:r>
    </w:p>
    <w:p w:rsidR="00000000" w:rsidRPr="009B45A9" w:rsidP="009B45A9">
      <w:pPr>
        <w:pStyle w:val="ListBullet2"/>
      </w:pPr>
      <w:r w:rsidRPr="009B45A9">
        <w:t>non-automatic weighing machines &gt;3 tonne</w:t>
      </w:r>
    </w:p>
    <w:p w:rsidR="00000000" w:rsidRPr="009B45A9" w:rsidP="009B45A9">
      <w:pPr>
        <w:pStyle w:val="ListBullet2"/>
      </w:pPr>
      <w:r w:rsidRPr="009B45A9">
        <w:t>automatic rail weighbridges</w:t>
      </w:r>
    </w:p>
    <w:p w:rsidR="00000000" w:rsidRPr="009B45A9" w:rsidP="009B45A9">
      <w:pPr>
        <w:pStyle w:val="ListBullet2"/>
      </w:pPr>
      <w:r w:rsidRPr="009B45A9">
        <w:t>continuous totalising automatic weighing instruments (belt weighers)</w:t>
      </w:r>
    </w:p>
    <w:p w:rsidR="00000000" w:rsidRPr="009B45A9" w:rsidP="009B45A9">
      <w:pPr>
        <w:pStyle w:val="ListBullet2"/>
      </w:pPr>
      <w:r w:rsidRPr="009B45A9">
        <w:t>discontinuous totalising hopper weighing instruments</w:t>
      </w:r>
    </w:p>
    <w:p w:rsidR="00000000" w:rsidRPr="009B45A9" w:rsidP="009B45A9">
      <w:pPr>
        <w:pStyle w:val="ListBullet"/>
      </w:pPr>
      <w:r w:rsidRPr="009B45A9">
        <w:t>completing initial verification testin</w:t>
      </w:r>
      <w:r w:rsidRPr="009B45A9">
        <w:t>g of one or more of the following complex fuel instruments:</w:t>
      </w:r>
    </w:p>
    <w:p w:rsidR="00000000" w:rsidRPr="009B45A9" w:rsidP="009B45A9">
      <w:pPr>
        <w:pStyle w:val="ListBullet2"/>
      </w:pPr>
      <w:r w:rsidRPr="009B45A9">
        <w:t>LPG dispensers</w:t>
      </w:r>
    </w:p>
    <w:p w:rsidR="00000000" w:rsidRPr="009B45A9" w:rsidP="009B45A9">
      <w:pPr>
        <w:pStyle w:val="ListBullet2"/>
      </w:pPr>
      <w:r w:rsidRPr="009B45A9">
        <w:t>bulk flowmetering systems for liquid hydrocarbons other than LPG</w:t>
      </w:r>
    </w:p>
    <w:p w:rsidR="00000000" w:rsidRPr="009B45A9" w:rsidP="009B45A9">
      <w:pPr>
        <w:pStyle w:val="ListBullet2"/>
      </w:pPr>
      <w:r w:rsidRPr="009B45A9">
        <w:t>bulk LPG flowmetering systems</w:t>
      </w:r>
    </w:p>
    <w:p w:rsidR="00000000" w:rsidRPr="009B45A9" w:rsidP="009B45A9">
      <w:pPr>
        <w:pStyle w:val="ListBullet2"/>
      </w:pPr>
      <w:r w:rsidRPr="009B45A9">
        <w:t>bulk flowmetering systems for liquid products other than liquid hydrocarbons</w:t>
      </w:r>
    </w:p>
    <w:p w:rsidR="00000000" w:rsidRPr="009B45A9" w:rsidP="009B45A9">
      <w:pPr>
        <w:pStyle w:val="ListBullet2"/>
      </w:pPr>
      <w:r w:rsidRPr="009B45A9">
        <w:t>dispensers and flowmetering systems for gaseous products (excluding utility meters)</w:t>
      </w:r>
    </w:p>
    <w:p w:rsidR="00000000" w:rsidRPr="009B45A9" w:rsidP="009B45A9">
      <w:pPr>
        <w:pStyle w:val="ListBullet2"/>
      </w:pPr>
      <w:r w:rsidRPr="009B45A9">
        <w:t>any other complex measuring instrument prescribed by the NMI</w:t>
      </w:r>
    </w:p>
    <w:p w:rsidR="00000000" w:rsidRPr="009B45A9" w:rsidP="009B45A9">
      <w:pPr>
        <w:pStyle w:val="ListBullet"/>
      </w:pPr>
      <w:r w:rsidRPr="009B45A9">
        <w:t>accessing and correctly interpreting documentation required for inspections, evaluation of instruments and ver</w:t>
      </w:r>
      <w:r w:rsidRPr="009B45A9">
        <w:t>ifier audits</w:t>
      </w:r>
    </w:p>
    <w:p w:rsidR="00000000" w:rsidRPr="009B45A9" w:rsidP="009B45A9">
      <w:pPr>
        <w:pStyle w:val="ListBullet"/>
      </w:pPr>
      <w:r w:rsidRPr="009B45A9">
        <w:t>ensuring test equipment and reference standards are fit for purpose in accordance with applicable legislation and organisational procedures</w:t>
      </w:r>
    </w:p>
    <w:p w:rsidR="00000000" w:rsidRPr="009B45A9" w:rsidP="009B45A9">
      <w:pPr>
        <w:pStyle w:val="ListBullet"/>
      </w:pPr>
      <w:r w:rsidRPr="009B45A9">
        <w:t>planning, scheduling, preparing for and safely conducting inspections to optimise use of resources, max</w:t>
      </w:r>
      <w:r w:rsidRPr="009B45A9">
        <w:t>imise outcomes and minimise disruption to the public and trader</w:t>
      </w:r>
    </w:p>
    <w:p w:rsidR="00000000" w:rsidRPr="009B45A9" w:rsidP="009B45A9">
      <w:pPr>
        <w:pStyle w:val="ListBullet"/>
      </w:pPr>
      <w:r w:rsidRPr="009B45A9">
        <w:t>checking compliance and evaluating the performance of complex measuring instruments using appropriate Certificates of Approval, NMI policy and National Instrument Test Procedures, and adjustin</w:t>
      </w:r>
      <w:r w:rsidRPr="009B45A9">
        <w:t>g for any impact of the operating environment</w:t>
      </w:r>
    </w:p>
    <w:p w:rsidR="00000000" w:rsidRPr="009B45A9" w:rsidP="009B45A9">
      <w:pPr>
        <w:pStyle w:val="ListBullet"/>
      </w:pPr>
      <w:r w:rsidRPr="009B45A9">
        <w:t>using specified calculations, graphical and statistical analysis to determine a performance result for a complex measuring instrument</w:t>
      </w:r>
    </w:p>
    <w:p w:rsidR="00000000" w:rsidRPr="009B45A9" w:rsidP="009B45A9">
      <w:pPr>
        <w:pStyle w:val="ListBullet"/>
      </w:pPr>
      <w:r w:rsidRPr="009B45A9">
        <w:t>reliably determining if complex measuring instruments are suitable for trade</w:t>
      </w:r>
      <w:r w:rsidRPr="009B45A9">
        <w:t xml:space="preserve"> use in accordance with legislative requirements</w:t>
      </w:r>
    </w:p>
    <w:p w:rsidR="00000000" w:rsidRPr="009B45A9" w:rsidP="009B45A9">
      <w:pPr>
        <w:pStyle w:val="ListBullet"/>
      </w:pPr>
      <w:r w:rsidRPr="009B45A9">
        <w:t>conducting at least one (1) verifier performance audit, to assess the performance of verifiers who test and mark measuring instruments for trade use</w:t>
      </w:r>
    </w:p>
    <w:p w:rsidR="00000000" w:rsidRPr="009B45A9" w:rsidP="009B45A9">
      <w:pPr>
        <w:pStyle w:val="ListBullet"/>
      </w:pPr>
      <w:r w:rsidRPr="009B45A9">
        <w:t>assessing verifier performance against expected outcomes a</w:t>
      </w:r>
      <w:r w:rsidRPr="009B45A9">
        <w:t>nd analysing any variances to identify isolated or systemic problems</w:t>
      </w:r>
    </w:p>
    <w:p w:rsidR="00000000" w:rsidRPr="009B45A9" w:rsidP="009B45A9">
      <w:pPr>
        <w:pStyle w:val="ListBullet"/>
      </w:pPr>
      <w:r w:rsidRPr="009B45A9">
        <w:t>identifying potential non-compliance of trading practices (applicable to instruments) with national measurement legislation and initiating an efficient inspection strategy that has a limi</w:t>
      </w:r>
      <w:r w:rsidRPr="009B45A9">
        <w:t>ted impact on others</w:t>
      </w:r>
    </w:p>
    <w:p w:rsidR="00000000" w:rsidRPr="009B45A9" w:rsidP="009B45A9">
      <w:pPr>
        <w:pStyle w:val="ListBullet"/>
      </w:pPr>
      <w:r w:rsidRPr="009B45A9">
        <w:t>recognising and acting on non-compliance of complex measuring instrument or verifier performance and/or trading practices with national measurement legislation and initiating appropriate enforcement action</w:t>
      </w:r>
    </w:p>
    <w:p w:rsidR="00000000" w:rsidRPr="009B45A9" w:rsidP="009B45A9">
      <w:pPr>
        <w:pStyle w:val="ListBullet"/>
      </w:pPr>
      <w:r w:rsidRPr="009B45A9">
        <w:t>d</w:t>
      </w:r>
      <w:r w:rsidRPr="009B45A9">
        <w:t>emonstrating professionalism and respecting the rights of the trader at all times</w:t>
      </w:r>
    </w:p>
    <w:p w:rsidR="00000000" w:rsidRPr="009B45A9" w:rsidP="009B45A9">
      <w:pPr>
        <w:pStyle w:val="ListBullet"/>
      </w:pPr>
      <w:r w:rsidRPr="009B45A9">
        <w:t>using advanced communication and negotiation skills to:</w:t>
      </w:r>
    </w:p>
    <w:p w:rsidR="00000000" w:rsidRPr="009B45A9" w:rsidP="009B45A9">
      <w:pPr>
        <w:pStyle w:val="ListBullet2"/>
      </w:pPr>
      <w:r w:rsidRPr="009B45A9">
        <w:t>explain the purpose of inspection</w:t>
      </w:r>
    </w:p>
    <w:p w:rsidR="00000000" w:rsidRPr="009B45A9" w:rsidP="009B45A9">
      <w:pPr>
        <w:pStyle w:val="ListBullet2"/>
      </w:pPr>
      <w:r w:rsidRPr="009B45A9">
        <w:t xml:space="preserve">arrange site clearances, gain cooperation of site controllers and schedule complex </w:t>
      </w:r>
      <w:r w:rsidRPr="009B45A9">
        <w:t>tests</w:t>
      </w:r>
    </w:p>
    <w:p w:rsidR="00000000" w:rsidRPr="009B45A9" w:rsidP="009B45A9">
      <w:pPr>
        <w:pStyle w:val="ListBullet2"/>
      </w:pPr>
      <w:r w:rsidRPr="009B45A9">
        <w:t>access trader’s equipment and equipment, materials and support personnel to complete the inspection, when necessary</w:t>
      </w:r>
    </w:p>
    <w:p w:rsidR="00000000" w:rsidRPr="009B45A9" w:rsidP="009B45A9">
      <w:pPr>
        <w:pStyle w:val="ListBullet2"/>
      </w:pPr>
      <w:r w:rsidRPr="009B45A9">
        <w:t>inform traders of non-compliances and consequences of failing to rectify them</w:t>
      </w:r>
    </w:p>
    <w:p w:rsidR="00000000" w:rsidRPr="009B45A9" w:rsidP="009B45A9">
      <w:pPr>
        <w:pStyle w:val="ListBullet2"/>
      </w:pPr>
      <w:r w:rsidRPr="009B45A9">
        <w:t>explain inspection procedures and outcomes to traders, v</w:t>
      </w:r>
      <w:r w:rsidRPr="009B45A9">
        <w:t>erifiers and managers</w:t>
      </w:r>
    </w:p>
    <w:p w:rsidR="00000000" w:rsidRPr="009B45A9" w:rsidP="009B45A9">
      <w:pPr>
        <w:pStyle w:val="ListBullet2"/>
      </w:pPr>
      <w:r w:rsidRPr="009B45A9">
        <w:t>organise large equipment to be dispatched ahead of inspection visit, when necessary</w:t>
      </w:r>
    </w:p>
    <w:p w:rsidR="00000000" w:rsidRPr="009B45A9" w:rsidP="009B45A9">
      <w:pPr>
        <w:pStyle w:val="ListBullet"/>
      </w:pPr>
      <w:r w:rsidRPr="009B45A9">
        <w:t>performing specified calculations involving:</w:t>
      </w:r>
    </w:p>
    <w:p w:rsidR="00000000" w:rsidRPr="009B45A9" w:rsidP="009B45A9">
      <w:pPr>
        <w:pStyle w:val="ListBullet2"/>
      </w:pPr>
      <w:r w:rsidRPr="009B45A9">
        <w:t>fractions, decimals, ratios, proportions and percentages</w:t>
      </w:r>
    </w:p>
    <w:p w:rsidR="00000000" w:rsidRPr="009B45A9" w:rsidP="009B45A9">
      <w:pPr>
        <w:pStyle w:val="ListBullet2"/>
      </w:pPr>
      <w:r w:rsidRPr="009B45A9">
        <w:t>scientific notation, correct units and the cor</w:t>
      </w:r>
      <w:r w:rsidRPr="009B45A9">
        <w:t>rect number of significant figures, calculation of uncertainties</w:t>
      </w:r>
    </w:p>
    <w:p w:rsidR="00000000" w:rsidRPr="009B45A9" w:rsidP="009B45A9">
      <w:pPr>
        <w:pStyle w:val="ListBullet2"/>
      </w:pPr>
      <w:r w:rsidRPr="009B45A9">
        <w:t>evaluation of formulae containing powers, exponents and logarithms functions</w:t>
      </w:r>
    </w:p>
    <w:p w:rsidR="00000000" w:rsidRPr="009B45A9" w:rsidP="009B45A9">
      <w:pPr>
        <w:pStyle w:val="ListBullet2"/>
      </w:pPr>
      <w:r w:rsidRPr="009B45A9">
        <w:t>preparation and interpretation of linear graphs</w:t>
      </w:r>
    </w:p>
    <w:p w:rsidR="00000000" w:rsidRPr="009B45A9" w:rsidP="009B45A9">
      <w:pPr>
        <w:pStyle w:val="ListBullet"/>
      </w:pPr>
      <w:r w:rsidRPr="009B45A9">
        <w:t>maintaining the security and confidentiality of data in accordanc</w:t>
      </w:r>
      <w:r w:rsidRPr="009B45A9">
        <w:t>e with organisational and regulatory requirements</w:t>
      </w:r>
    </w:p>
    <w:p w:rsidR="00000000" w:rsidRPr="009B45A9" w:rsidP="009B45A9">
      <w:pPr>
        <w:pStyle w:val="ListBullet"/>
      </w:pPr>
      <w:r w:rsidRPr="009B45A9">
        <w:t>reporting results in the required formats and expected timeframe</w:t>
      </w:r>
    </w:p>
    <w:p w:rsidR="00000000" w:rsidRPr="009B45A9" w:rsidP="009B45A9">
      <w:pPr>
        <w:pStyle w:val="ListBullet"/>
      </w:pPr>
      <w:r w:rsidRPr="009B45A9">
        <w:t>working safely.</w:t>
      </w:r>
    </w:p>
    <w:p w:rsidR="00000000" w:rsidRPr="009B45A9" w:rsidP="009B45A9">
      <w:pPr>
        <w:pStyle w:val="AllowPageBreak"/>
      </w:pPr>
    </w:p>
    <w:p w:rsidR="00000000" w:rsidRPr="009B45A9" w:rsidP="009B45A9">
      <w:pPr>
        <w:pStyle w:val="Heading1"/>
      </w:pPr>
      <w:bookmarkStart w:id="3" w:name="O_939387"/>
      <w:bookmarkEnd w:id="3"/>
      <w:r w:rsidRPr="009B45A9">
        <w:t>Knowledge Evidence</w:t>
      </w:r>
    </w:p>
    <w:p w:rsidR="00000000" w:rsidRPr="009B45A9" w:rsidP="008662B2">
      <w:pPr>
        <w:pStyle w:val="BodyText"/>
      </w:pPr>
      <w:r w:rsidRPr="009B45A9">
        <w:t xml:space="preserve">Must provide evidence that demonstrates knowledge of: </w:t>
      </w:r>
    </w:p>
    <w:p w:rsidR="00000000" w:rsidRPr="009B45A9" w:rsidP="009B45A9">
      <w:pPr>
        <w:pStyle w:val="ListBullet"/>
      </w:pPr>
      <w:r w:rsidRPr="009B45A9">
        <w:t>general science principles and c</w:t>
      </w:r>
      <w:r w:rsidRPr="009B45A9">
        <w:t xml:space="preserve">oncepts, including: </w:t>
      </w:r>
    </w:p>
    <w:p w:rsidR="00000000" w:rsidRPr="009B45A9" w:rsidP="009B45A9">
      <w:pPr>
        <w:pStyle w:val="ListBullet2"/>
      </w:pPr>
      <w:r w:rsidRPr="009B45A9">
        <w:t>physical states (solid, liquid and gas), weight, mass, gravity and density</w:t>
      </w:r>
    </w:p>
    <w:p w:rsidR="00000000" w:rsidRPr="009B45A9" w:rsidP="009B45A9">
      <w:pPr>
        <w:pStyle w:val="ListBullet2"/>
      </w:pPr>
      <w:r w:rsidRPr="009B45A9">
        <w:t>pressure, pressure differential, backpressure and head pressure, fluid flow and viscosity</w:t>
      </w:r>
    </w:p>
    <w:p w:rsidR="00000000" w:rsidRPr="009B45A9" w:rsidP="009B45A9">
      <w:pPr>
        <w:pStyle w:val="ListBullet2"/>
      </w:pPr>
      <w:r w:rsidRPr="009B45A9">
        <w:t>temperature effects and coefficients of expansion, flashpoint, boilin</w:t>
      </w:r>
      <w:r w:rsidRPr="009B45A9">
        <w:t>g point and ice point</w:t>
      </w:r>
    </w:p>
    <w:p w:rsidR="00000000" w:rsidRPr="009B45A9" w:rsidP="009B45A9">
      <w:pPr>
        <w:pStyle w:val="ListBullet"/>
      </w:pPr>
      <w:r w:rsidRPr="009B45A9">
        <w:t>metrological terms and terminology of specific instruments, such as maximum permissible errors, maximum permissible difference and maximum permissible variation, traceability, repeatability, uncertainty, error of measurement and erro</w:t>
      </w:r>
      <w:r w:rsidRPr="009B45A9">
        <w:t>r of indication, meter creep, hose dilation, temperature correction, linearization and gas elimination</w:t>
      </w:r>
    </w:p>
    <w:p w:rsidR="00000000" w:rsidRPr="009B45A9" w:rsidP="009B45A9">
      <w:pPr>
        <w:pStyle w:val="ListBullet"/>
      </w:pPr>
      <w:r w:rsidRPr="009B45A9">
        <w:t>details of the design and applications for one (1) complex measuring instrument in each class, the major instrument components and their function</w:t>
      </w:r>
    </w:p>
    <w:p w:rsidR="00000000" w:rsidRPr="009B45A9" w:rsidP="009B45A9">
      <w:pPr>
        <w:pStyle w:val="ListBullet"/>
      </w:pPr>
      <w:r w:rsidRPr="009B45A9">
        <w:t>nationa</w:t>
      </w:r>
      <w:r w:rsidRPr="009B45A9">
        <w:t>l measurement legislation applicable to complex measuring instruments</w:t>
      </w:r>
    </w:p>
    <w:p w:rsidR="00000000" w:rsidRPr="009B45A9" w:rsidP="009B45A9">
      <w:pPr>
        <w:pStyle w:val="ListBullet"/>
      </w:pPr>
      <w:r w:rsidRPr="009B45A9">
        <w:t>safe work method statements (SWMS) for a range of trading environments, such as laboratories, retail, commercial, office, manufacturing, industrial, mining, construction, medical, chemic</w:t>
      </w:r>
      <w:r w:rsidRPr="009B45A9">
        <w:t>al and petroleum</w:t>
      </w:r>
    </w:p>
    <w:p w:rsidR="00000000" w:rsidRPr="009B45A9" w:rsidP="009B45A9">
      <w:pPr>
        <w:pStyle w:val="ListBullet"/>
      </w:pPr>
      <w:r w:rsidRPr="009B45A9">
        <w:t>NMI policy requirements, including test procedure variations between a verification, in-service or audit inspection, bulletins, instructions and determinations</w:t>
      </w:r>
    </w:p>
    <w:p w:rsidR="00000000" w:rsidRPr="009B45A9" w:rsidP="009B45A9">
      <w:pPr>
        <w:pStyle w:val="ListBullet"/>
      </w:pPr>
      <w:r w:rsidRPr="009B45A9">
        <w:t xml:space="preserve">National Instrument Test Procedures and operating procedures for equipment and </w:t>
      </w:r>
      <w:r w:rsidRPr="009B45A9">
        <w:t>reference standards used in job role, including:</w:t>
      </w:r>
    </w:p>
    <w:p w:rsidR="00000000" w:rsidRPr="009B45A9" w:rsidP="009B45A9">
      <w:pPr>
        <w:pStyle w:val="ListBullet2"/>
      </w:pPr>
      <w:r w:rsidRPr="009B45A9">
        <w:t>test conditions and possible environmental impacts on performance of the instrument</w:t>
      </w:r>
    </w:p>
    <w:p w:rsidR="00000000" w:rsidRPr="009B45A9" w:rsidP="009B45A9">
      <w:pPr>
        <w:pStyle w:val="ListBullet2"/>
      </w:pPr>
      <w:r w:rsidRPr="009B45A9">
        <w:t>key preparation/measurement steps in test method</w:t>
      </w:r>
    </w:p>
    <w:p w:rsidR="00000000" w:rsidRPr="009B45A9" w:rsidP="009B45A9">
      <w:pPr>
        <w:pStyle w:val="ListBullet2"/>
      </w:pPr>
      <w:r w:rsidRPr="009B45A9">
        <w:t>calculation steps to give results in appropriate units and precision</w:t>
      </w:r>
    </w:p>
    <w:p w:rsidR="00000000" w:rsidRPr="009B45A9" w:rsidP="009B45A9">
      <w:pPr>
        <w:pStyle w:val="ListBullet2"/>
      </w:pPr>
      <w:r w:rsidRPr="009B45A9">
        <w:t>maximum permissible errors for instruments being inspected</w:t>
      </w:r>
    </w:p>
    <w:p w:rsidR="00000000" w:rsidRPr="009B45A9" w:rsidP="009B45A9">
      <w:pPr>
        <w:pStyle w:val="ListBullet2"/>
      </w:pPr>
      <w:r w:rsidRPr="009B45A9">
        <w:t>safety principles and procedures relevant to instruments</w:t>
      </w:r>
    </w:p>
    <w:p w:rsidR="00000000" w:rsidRPr="009B45A9" w:rsidP="009B45A9">
      <w:pPr>
        <w:pStyle w:val="ListBullet2"/>
      </w:pPr>
      <w:r w:rsidRPr="009B45A9">
        <w:t>organisational policy and procedures for inspecting complex measuring instruments including completing inspection documentation</w:t>
      </w:r>
    </w:p>
    <w:p w:rsidR="00000000" w:rsidRPr="009B45A9" w:rsidP="009B45A9">
      <w:pPr>
        <w:pStyle w:val="ListBullet2"/>
      </w:pPr>
      <w:r w:rsidRPr="009B45A9">
        <w:t>organisation</w:t>
      </w:r>
      <w:r w:rsidRPr="009B45A9">
        <w:t>al safety procedures and requirements of applicable Commonwealth, state and territory WHS/OHS legislation</w:t>
      </w:r>
    </w:p>
    <w:p w:rsidR="00000000" w:rsidRPr="009B45A9" w:rsidP="009B45A9">
      <w:pPr>
        <w:pStyle w:val="ListBullet"/>
      </w:pPr>
      <w:r w:rsidRPr="009B45A9">
        <w:t>basic first aid and site safety induction, if required.</w:t>
      </w:r>
    </w:p>
    <w:p w:rsidR="00000000" w:rsidRPr="009B45A9" w:rsidP="009B45A9">
      <w:pPr>
        <w:pStyle w:val="AllowPageBreak"/>
      </w:pPr>
    </w:p>
    <w:p w:rsidR="00000000" w:rsidRPr="009B45A9" w:rsidP="009B45A9">
      <w:pPr>
        <w:pStyle w:val="Heading1"/>
      </w:pPr>
      <w:bookmarkStart w:id="4" w:name="O_939386"/>
      <w:bookmarkEnd w:id="4"/>
      <w:r w:rsidRPr="009B45A9">
        <w:t>Assessment Conditions</w:t>
      </w:r>
    </w:p>
    <w:p w:rsidR="00000000" w:rsidRPr="009B45A9" w:rsidP="009B45A9">
      <w:pPr>
        <w:pStyle w:val="ListBullet"/>
      </w:pPr>
      <w:r w:rsidRPr="009B45A9">
        <w:t>Judgement of competence must be based on holistic ass</w:t>
      </w:r>
      <w:r w:rsidRPr="009B45A9">
        <w:t xml:space="preserve">essment of the evidence. Assessment methods must confirm consistency of performance over time, rather than a single assessment event. </w:t>
      </w:r>
    </w:p>
    <w:p w:rsidR="00000000" w:rsidRPr="009B45A9" w:rsidP="009B45A9">
      <w:pPr>
        <w:pStyle w:val="ListBullet"/>
      </w:pPr>
      <w:r w:rsidRPr="009B45A9">
        <w:t xml:space="preserve">This unit of competency should be assessed in the workplace, or a simulated workplace environment. A simulated workplace </w:t>
      </w:r>
      <w:r w:rsidRPr="009B45A9">
        <w:t xml:space="preserve">environment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9B45A9" w:rsidP="009B45A9">
      <w:pPr>
        <w:pStyle w:val="ListBullet"/>
      </w:pPr>
      <w:r w:rsidRPr="009B45A9">
        <w:t>Foundation</w:t>
      </w:r>
      <w:r w:rsidRPr="009B45A9">
        <w:t xml:space="preserve"> skills are integral to competent performance of the unit and should not be assessed separately. </w:t>
      </w:r>
    </w:p>
    <w:p w:rsidR="00000000" w:rsidRPr="009B45A9" w:rsidP="009B45A9">
      <w:pPr>
        <w:pStyle w:val="ListBullet"/>
      </w:pPr>
      <w:r w:rsidRPr="009B45A9">
        <w:t>Assessment processes and techniques must be appropriate to the language, literacy and numeracy requirements of the work being performed and the needs of the c</w:t>
      </w:r>
      <w:r w:rsidRPr="009B45A9">
        <w:t>andidate.</w:t>
      </w:r>
    </w:p>
    <w:p w:rsidR="00000000" w:rsidRPr="009B45A9" w:rsidP="009B45A9">
      <w:pPr>
        <w:pStyle w:val="ListBullet"/>
      </w:pPr>
      <w:r w:rsidRPr="009B45A9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9B45A9" w:rsidP="009B45A9">
      <w:pPr>
        <w:pStyle w:val="ListBullet"/>
      </w:pPr>
      <w:r w:rsidRPr="009B45A9">
        <w:t>This unit of competency may be assessed with:</w:t>
      </w:r>
    </w:p>
    <w:p w:rsidR="00000000" w:rsidRPr="009B45A9" w:rsidP="009B45A9">
      <w:pPr>
        <w:pStyle w:val="ListBullet2"/>
      </w:pPr>
      <w:r w:rsidRPr="009B45A9">
        <w:rPr>
          <w:rStyle w:val="Emphasis"/>
        </w:rPr>
        <w:t>MSMTMREF301 Use and maintain reference standards</w:t>
      </w:r>
    </w:p>
    <w:p w:rsidR="00000000" w:rsidRPr="009B45A9" w:rsidP="009B45A9">
      <w:pPr>
        <w:pStyle w:val="ListBullet"/>
      </w:pPr>
      <w:r w:rsidRPr="009B45A9">
        <w:t xml:space="preserve">Holistic assessment methods include: </w:t>
      </w:r>
    </w:p>
    <w:p w:rsidR="00000000" w:rsidRPr="009B45A9" w:rsidP="009B45A9">
      <w:pPr>
        <w:pStyle w:val="ListBullet2"/>
      </w:pPr>
      <w:r w:rsidRPr="009B45A9">
        <w:t>review of test results, inspection reports and verifier performance reports prepared by the candidate</w:t>
      </w:r>
    </w:p>
    <w:p w:rsidR="00000000" w:rsidRPr="009B45A9" w:rsidP="009B45A9">
      <w:pPr>
        <w:pStyle w:val="ListBullet2"/>
      </w:pPr>
      <w:r w:rsidRPr="009B45A9">
        <w:t>feedback from supe</w:t>
      </w:r>
      <w:r w:rsidRPr="009B45A9">
        <w:t>rvisors and peers regarding the candidate</w:t>
      </w:r>
      <w:r>
        <w:t>’</w:t>
      </w:r>
      <w:r w:rsidRPr="009B45A9">
        <w:t>s ability to conduct inspections, evaluate the performance of complex measuring instruments and audit verifier’s performance in accordance with legislative and organisational procedures</w:t>
      </w:r>
    </w:p>
    <w:p w:rsidR="00000000" w:rsidRPr="009B45A9" w:rsidP="009B45A9">
      <w:pPr>
        <w:pStyle w:val="ListBullet2"/>
      </w:pPr>
      <w:r w:rsidRPr="009B45A9">
        <w:t>questions to assess understa</w:t>
      </w:r>
      <w:r w:rsidRPr="009B45A9">
        <w:t>nding of relevant procedures, licensing requirements, trader obligations and remedial actions</w:t>
      </w:r>
    </w:p>
    <w:p w:rsidR="00000000" w:rsidRPr="009B45A9" w:rsidP="009B45A9">
      <w:pPr>
        <w:pStyle w:val="ListBullet2"/>
      </w:pPr>
      <w:r w:rsidRPr="009B45A9">
        <w:t>review of candidate’s responses to inspection scenarios, such as: potential/actual non-compliances and appropriate actions, common issues and problems</w:t>
      </w:r>
    </w:p>
    <w:p w:rsidR="00000000" w:rsidRPr="009B45A9" w:rsidP="009B45A9">
      <w:pPr>
        <w:pStyle w:val="ListBullet2"/>
      </w:pPr>
      <w:r w:rsidRPr="009B45A9">
        <w:t>observation</w:t>
      </w:r>
      <w:r w:rsidRPr="009B45A9">
        <w:t xml:space="preserve"> of the candidate conducting an inspection.</w:t>
      </w:r>
    </w:p>
    <w:p w:rsidR="00000000" w:rsidRPr="009B45A9" w:rsidP="009B45A9">
      <w:pPr>
        <w:pStyle w:val="ListBullet"/>
      </w:pPr>
      <w:r w:rsidRPr="009B45A9">
        <w:t>Access is required to instruments, equipment, materials, workplace documentation, procedures, and specifications associated with this unit including, but not limited to:</w:t>
      </w:r>
    </w:p>
    <w:p w:rsidR="00000000" w:rsidRPr="009B45A9" w:rsidP="009B45A9">
      <w:pPr>
        <w:pStyle w:val="ListBullet2"/>
      </w:pPr>
      <w:r w:rsidRPr="009B45A9">
        <w:t>latest versions of appropriate documenta</w:t>
      </w:r>
      <w:r w:rsidRPr="009B45A9">
        <w:t>tion, such as Certificates of Verification and Approval, NMI policy, National Instrument Test Procedures for verifying complex measuring instruments and relevant legislation</w:t>
      </w:r>
    </w:p>
    <w:p w:rsidR="00000000" w:rsidRPr="009B45A9" w:rsidP="009B45A9">
      <w:pPr>
        <w:pStyle w:val="ListBullet2"/>
      </w:pPr>
      <w:r w:rsidRPr="009B45A9">
        <w:t>equipment manuals, safety data sheets (SDS), safety procedures and safety equipmen</w:t>
      </w:r>
      <w:r w:rsidRPr="009B45A9">
        <w:t>t</w:t>
      </w:r>
    </w:p>
    <w:p w:rsidR="00000000" w:rsidRPr="009B45A9" w:rsidP="009B45A9">
      <w:pPr>
        <w:pStyle w:val="ListBullet2"/>
      </w:pPr>
      <w:r w:rsidRPr="009B45A9">
        <w:t>records, such as test reports; audit reports; instrument history and test results; and correction tables for volume, density and pressure for a range of liquids</w:t>
      </w:r>
    </w:p>
    <w:p w:rsidR="00000000" w:rsidRPr="009B45A9" w:rsidP="009B45A9">
      <w:pPr>
        <w:pStyle w:val="ListBullet2"/>
      </w:pPr>
      <w:r w:rsidRPr="009B45A9">
        <w:t>complex measuring instruments, test equipment and reference standards</w:t>
      </w:r>
    </w:p>
    <w:p w:rsidR="00000000" w:rsidRPr="009B45A9" w:rsidP="009B45A9">
      <w:pPr>
        <w:pStyle w:val="ListBullet2"/>
      </w:pPr>
      <w:r w:rsidRPr="009B45A9">
        <w:t>computer and relevant s</w:t>
      </w:r>
      <w:r w:rsidRPr="009B45A9">
        <w:t>oftware and/or organisation information management system.</w:t>
      </w:r>
    </w:p>
    <w:p w:rsidR="00000000" w:rsidRPr="009B45A9" w:rsidP="009B45A9">
      <w:pPr>
        <w:pStyle w:val="ListBullet"/>
      </w:pPr>
      <w:r w:rsidRPr="009B45A9">
        <w:t xml:space="preserve">Assessors must satisfy the assessor competency requirements that are in place at the time of the assessment as set by the VET regulator.  </w:t>
      </w:r>
    </w:p>
    <w:p w:rsidR="00000000" w:rsidRPr="009B45A9" w:rsidP="009B45A9">
      <w:pPr>
        <w:pStyle w:val="ListBullet"/>
      </w:pPr>
      <w:r w:rsidRPr="009B45A9">
        <w:t>The assessor must demonstrate both technical competency and currency.</w:t>
      </w:r>
    </w:p>
    <w:p w:rsidR="00000000" w:rsidRPr="009B45A9" w:rsidP="009B45A9">
      <w:pPr>
        <w:pStyle w:val="ListBullet"/>
      </w:pPr>
      <w:r w:rsidRPr="009B45A9">
        <w:t>Technical competence can be demonstrated through:</w:t>
      </w:r>
    </w:p>
    <w:p w:rsidR="00000000" w:rsidRPr="009B45A9" w:rsidP="009B45A9">
      <w:pPr>
        <w:pStyle w:val="ListBullet2"/>
      </w:pPr>
      <w:r w:rsidRPr="009B45A9">
        <w:t>relevant VET or other qualification/Statement of Attainment AND/OR</w:t>
      </w:r>
    </w:p>
    <w:p w:rsidR="00000000" w:rsidRPr="009B45A9" w:rsidP="009B45A9">
      <w:pPr>
        <w:pStyle w:val="ListBullet2"/>
      </w:pPr>
      <w:r w:rsidRPr="009B45A9">
        <w:t>relevant workplace experience in trade measurement at least to the l</w:t>
      </w:r>
      <w:r w:rsidRPr="009B45A9">
        <w:t>evel being assessed and broad industry knowledge (such as a relevant industry qualification).</w:t>
      </w:r>
    </w:p>
    <w:p w:rsidR="00000000" w:rsidRPr="009B45A9" w:rsidP="009B45A9">
      <w:pPr>
        <w:pStyle w:val="ListBullet"/>
      </w:pPr>
      <w:r w:rsidRPr="009B45A9">
        <w:t>Currency can be demonstrated through:</w:t>
      </w:r>
    </w:p>
    <w:p w:rsidR="00000000" w:rsidRPr="009B45A9" w:rsidP="009B45A9">
      <w:pPr>
        <w:pStyle w:val="ListBullet2"/>
      </w:pPr>
      <w:r w:rsidRPr="009B45A9">
        <w:t>performing the competency being assessed as part of current employment in trade measurement OR</w:t>
      </w:r>
    </w:p>
    <w:p w:rsidR="00000000" w:rsidRPr="009B45A9" w:rsidP="009B45A9">
      <w:pPr>
        <w:pStyle w:val="ListBullet2"/>
      </w:pPr>
      <w:r w:rsidRPr="009B45A9">
        <w:t>having consulted with trade</w:t>
      </w:r>
      <w:r w:rsidRPr="009B45A9">
        <w:t xml:space="preserve"> measurement inspectors and/or verifiers performing the competency being assessed within the last twelve months.</w:t>
      </w:r>
    </w:p>
    <w:p w:rsidR="00000000" w:rsidRPr="009B45A9" w:rsidP="009B45A9">
      <w:pPr>
        <w:pStyle w:val="AllowPageBreak"/>
      </w:pPr>
    </w:p>
    <w:p w:rsidR="00000000" w:rsidRPr="009B45A9" w:rsidP="009B45A9">
      <w:pPr>
        <w:pStyle w:val="Heading1"/>
      </w:pPr>
      <w:bookmarkStart w:id="5" w:name="O_939401"/>
      <w:bookmarkEnd w:id="5"/>
      <w:r w:rsidRPr="009B45A9">
        <w:t>Links</w:t>
      </w:r>
    </w:p>
    <w:p w:rsidR="00000000" w:rsidRPr="009B45A9" w:rsidP="008662B2">
      <w:pPr>
        <w:pStyle w:val="BodyText"/>
      </w:pPr>
      <w:r w:rsidRPr="009B4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A667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B45A9" w:rsidP="009B45A9"/>
    <w:sectPr w:rsidSect="009B4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A9" w:rsidRPr="008662B2" w:rsidP="00866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2" w:rsidP="009B4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2B2" w:rsidP="009B4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62B2" w:rsidP="009B4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5A9" w:rsidRPr="008662B2" w:rsidP="00866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2" w:rsidRPr="002D2AF8" w:rsidP="009B4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MSMTMINS501 Inspect a range of complex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662B2" w:rsidP="009B4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E7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2F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F45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5A9"/>
  </w:style>
  <w:style w:type="character" w:customStyle="1" w:styleId="Heading1Char">
    <w:name w:val="Heading 1 Char"/>
    <w:basedOn w:val="DefaultParagraphFont"/>
    <w:link w:val="Heading1"/>
    <w:rsid w:val="009B4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5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45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45A9"/>
    <w:rPr>
      <w:i/>
    </w:rPr>
  </w:style>
  <w:style w:type="paragraph" w:customStyle="1" w:styleId="SuperHeading">
    <w:name w:val="SuperHeading"/>
    <w:basedOn w:val="Normal"/>
    <w:rsid w:val="009B4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5A9"/>
    <w:rPr>
      <w:b/>
      <w:spacing w:val="0"/>
    </w:rPr>
  </w:style>
  <w:style w:type="paragraph" w:customStyle="1" w:styleId="SuperTitle">
    <w:name w:val="SuperTitle"/>
    <w:basedOn w:val="Title"/>
    <w:rsid w:val="009B4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5A9"/>
  </w:style>
  <w:style w:type="paragraph" w:styleId="TableofFigures">
    <w:name w:val="table of figures"/>
    <w:basedOn w:val="Normal"/>
    <w:next w:val="Normal"/>
    <w:semiHidden/>
    <w:rsid w:val="009B4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5A9"/>
    <w:rPr>
      <w:rFonts w:ascii="Wingdings" w:hAnsi="Wingdings"/>
    </w:rPr>
  </w:style>
  <w:style w:type="paragraph" w:customStyle="1" w:styleId="TableHeading">
    <w:name w:val="Table Heading"/>
    <w:basedOn w:val="HeadingBase"/>
    <w:rsid w:val="009B4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5A9"/>
    <w:rPr>
      <w:color w:val="0033CC"/>
      <w:u w:val="none"/>
    </w:rPr>
  </w:style>
  <w:style w:type="paragraph" w:customStyle="1" w:styleId="BodyTextRight">
    <w:name w:val="Body Text Right"/>
    <w:basedOn w:val="BodyText"/>
    <w:rsid w:val="009B4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5A9"/>
    <w:rPr>
      <w:sz w:val="32"/>
    </w:rPr>
  </w:style>
  <w:style w:type="paragraph" w:customStyle="1" w:styleId="HeadingProcedure">
    <w:name w:val="Heading Procedure"/>
    <w:basedOn w:val="HeadingBase"/>
    <w:next w:val="Normal"/>
    <w:rsid w:val="009B4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5A9"/>
    <w:pPr>
      <w:spacing w:before="60" w:after="60"/>
    </w:pPr>
  </w:style>
  <w:style w:type="paragraph" w:styleId="ListContinue">
    <w:name w:val="List Continue"/>
    <w:basedOn w:val="List"/>
    <w:rsid w:val="009B45A9"/>
    <w:pPr>
      <w:ind w:firstLine="0"/>
    </w:pPr>
  </w:style>
  <w:style w:type="paragraph" w:customStyle="1" w:styleId="ListNote">
    <w:name w:val="List Note"/>
    <w:basedOn w:val="List"/>
    <w:rsid w:val="009B4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5A9"/>
    <w:rPr>
      <w:rFonts w:ascii="Courier New" w:hAnsi="Courier New"/>
    </w:rPr>
  </w:style>
  <w:style w:type="paragraph" w:customStyle="1" w:styleId="NoteBullet">
    <w:name w:val="Note Bullet"/>
    <w:basedOn w:val="Note"/>
    <w:rsid w:val="009B4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5A9"/>
    <w:rPr>
      <w:b/>
      <w:smallCaps/>
    </w:rPr>
  </w:style>
  <w:style w:type="paragraph" w:customStyle="1" w:styleId="TableListNumber">
    <w:name w:val="Table List Number"/>
    <w:basedOn w:val="ListNumber"/>
    <w:rsid w:val="009B4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5A9"/>
    <w:pPr>
      <w:numPr>
        <w:numId w:val="9"/>
      </w:numPr>
    </w:pPr>
  </w:style>
  <w:style w:type="paragraph" w:customStyle="1" w:styleId="ListAlpha2">
    <w:name w:val="List Alpha 2"/>
    <w:basedOn w:val="List2"/>
    <w:rsid w:val="009B45A9"/>
    <w:pPr>
      <w:numPr>
        <w:numId w:val="8"/>
      </w:numPr>
    </w:pPr>
  </w:style>
  <w:style w:type="paragraph" w:styleId="List2">
    <w:name w:val="List 2"/>
    <w:basedOn w:val="BodyText"/>
    <w:rsid w:val="009B4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5A9"/>
    <w:pPr>
      <w:numPr>
        <w:numId w:val="4"/>
      </w:numPr>
    </w:pPr>
  </w:style>
  <w:style w:type="paragraph" w:styleId="ListContinue2">
    <w:name w:val="List Continue 2"/>
    <w:basedOn w:val="List2"/>
    <w:rsid w:val="009B45A9"/>
    <w:pPr>
      <w:ind w:firstLine="0"/>
    </w:pPr>
  </w:style>
  <w:style w:type="paragraph" w:styleId="ListContinue3">
    <w:name w:val="List Continue 3"/>
    <w:basedOn w:val="List3"/>
    <w:rsid w:val="009B45A9"/>
    <w:pPr>
      <w:ind w:left="1021" w:firstLine="0"/>
    </w:pPr>
  </w:style>
  <w:style w:type="paragraph" w:styleId="ListContinue4">
    <w:name w:val="List Continue 4"/>
    <w:basedOn w:val="List4"/>
    <w:rsid w:val="009B45A9"/>
    <w:pPr>
      <w:ind w:firstLine="0"/>
    </w:pPr>
  </w:style>
  <w:style w:type="paragraph" w:styleId="ListContinue5">
    <w:name w:val="List Continue 5"/>
    <w:basedOn w:val="List5"/>
    <w:rsid w:val="009B45A9"/>
    <w:pPr>
      <w:ind w:firstLine="0"/>
    </w:pPr>
  </w:style>
  <w:style w:type="paragraph" w:styleId="ListNumber3">
    <w:name w:val="List Number 3"/>
    <w:basedOn w:val="List3"/>
    <w:rsid w:val="009B45A9"/>
    <w:pPr>
      <w:numPr>
        <w:numId w:val="5"/>
      </w:numPr>
    </w:pPr>
  </w:style>
  <w:style w:type="paragraph" w:styleId="ListNumber4">
    <w:name w:val="List Number 4"/>
    <w:basedOn w:val="List4"/>
    <w:rsid w:val="009B45A9"/>
    <w:pPr>
      <w:numPr>
        <w:numId w:val="6"/>
      </w:numPr>
    </w:pPr>
  </w:style>
  <w:style w:type="paragraph" w:styleId="ListNumber5">
    <w:name w:val="List Number 5"/>
    <w:basedOn w:val="List5"/>
    <w:rsid w:val="009B45A9"/>
    <w:pPr>
      <w:numPr>
        <w:numId w:val="7"/>
      </w:numPr>
    </w:pPr>
  </w:style>
  <w:style w:type="paragraph" w:styleId="BlockText">
    <w:name w:val="Block Text"/>
    <w:basedOn w:val="Normal"/>
    <w:rsid w:val="009B4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5A9"/>
    <w:rPr>
      <w:sz w:val="16"/>
      <w:vertAlign w:val="superscript"/>
    </w:rPr>
  </w:style>
  <w:style w:type="character" w:customStyle="1" w:styleId="Symbols">
    <w:name w:val="Symbols"/>
    <w:basedOn w:val="DefaultParagraphFont"/>
    <w:rsid w:val="009B45A9"/>
    <w:rPr>
      <w:rFonts w:ascii="Symbol" w:hAnsi="Symbol"/>
    </w:rPr>
  </w:style>
  <w:style w:type="character" w:customStyle="1" w:styleId="MenuOptions">
    <w:name w:val="Menu Options"/>
    <w:basedOn w:val="DefaultParagraphFont"/>
    <w:rsid w:val="009B4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5A9"/>
    <w:rPr>
      <w:b/>
    </w:rPr>
  </w:style>
  <w:style w:type="character" w:customStyle="1" w:styleId="Underlined">
    <w:name w:val="Underlined"/>
    <w:basedOn w:val="DefaultParagraphFont"/>
    <w:rsid w:val="009B45A9"/>
    <w:rPr>
      <w:u w:val="single"/>
    </w:rPr>
  </w:style>
  <w:style w:type="paragraph" w:customStyle="1" w:styleId="TableBodyTextRight">
    <w:name w:val="Table Body Text Right"/>
    <w:basedOn w:val="TableBodyText"/>
    <w:rsid w:val="009B4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5A9"/>
    <w:rPr>
      <w:sz w:val="18"/>
    </w:rPr>
  </w:style>
  <w:style w:type="paragraph" w:customStyle="1" w:styleId="BodySmallRight">
    <w:name w:val="Body Small Right"/>
    <w:basedOn w:val="BodyTextRight"/>
    <w:rsid w:val="009B45A9"/>
    <w:rPr>
      <w:sz w:val="18"/>
      <w:szCs w:val="18"/>
    </w:rPr>
  </w:style>
  <w:style w:type="paragraph" w:customStyle="1" w:styleId="MarginEdition">
    <w:name w:val="Margin Edition"/>
    <w:basedOn w:val="MarginNote"/>
    <w:rsid w:val="009B4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5A9"/>
    <w:rPr>
      <w:sz w:val="2"/>
      <w:szCs w:val="2"/>
    </w:rPr>
  </w:style>
  <w:style w:type="character" w:customStyle="1" w:styleId="Small">
    <w:name w:val="Small"/>
    <w:basedOn w:val="DefaultParagraphFont"/>
    <w:rsid w:val="009B45A9"/>
    <w:rPr>
      <w:sz w:val="16"/>
    </w:rPr>
  </w:style>
  <w:style w:type="paragraph" w:customStyle="1" w:styleId="WideTable">
    <w:name w:val="Wide Table"/>
    <w:basedOn w:val="Normal"/>
    <w:rsid w:val="009B4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5A9"/>
  </w:style>
  <w:style w:type="paragraph" w:styleId="Quote">
    <w:name w:val="Quote"/>
    <w:basedOn w:val="Heading1"/>
    <w:link w:val="QuoteChar"/>
    <w:qFormat/>
    <w:rsid w:val="009B4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5A9"/>
    <w:pPr>
      <w:pageBreakBefore/>
    </w:pPr>
  </w:style>
  <w:style w:type="paragraph" w:customStyle="1" w:styleId="Border">
    <w:name w:val="Border"/>
    <w:basedOn w:val="Normal"/>
    <w:qFormat/>
    <w:rsid w:val="009B4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5A9"/>
    <w:rPr>
      <w:u w:val="single"/>
    </w:rPr>
  </w:style>
  <w:style w:type="character" w:customStyle="1" w:styleId="BoldandItalics">
    <w:name w:val="Bold and Italics"/>
    <w:qFormat/>
    <w:rsid w:val="009B45A9"/>
    <w:rPr>
      <w:b/>
      <w:i/>
      <w:u w:val="none"/>
    </w:rPr>
  </w:style>
  <w:style w:type="paragraph" w:styleId="BalloonText">
    <w:name w:val="Balloon Text"/>
    <w:basedOn w:val="Normal"/>
    <w:link w:val="BalloonTextChar"/>
    <w:rsid w:val="009B4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5A9"/>
    <w:pPr>
      <w:spacing w:before="0" w:after="0"/>
    </w:pPr>
  </w:style>
  <w:style w:type="paragraph" w:customStyle="1" w:styleId="BodyTextBold">
    <w:name w:val="Body Text Bold"/>
    <w:basedOn w:val="BodyText"/>
    <w:qFormat/>
    <w:rsid w:val="009B45A9"/>
    <w:rPr>
      <w:b/>
    </w:rPr>
  </w:style>
  <w:style w:type="character" w:styleId="Hyperlink">
    <w:name w:val="Hyperlink"/>
    <w:basedOn w:val="DefaultParagraphFont"/>
    <w:uiPriority w:val="99"/>
    <w:unhideWhenUsed/>
    <w:rsid w:val="00866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8675</Characters>
  <Application>Microsoft Office Word</Application>
  <DocSecurity>0</DocSecurity>
  <Lines>163</Lines>
  <Paragraphs>110</Paragraphs>
  <ScaleCrop>false</ScaleCrop>
  <Company>Author-it Software Corporation Ltd.</Company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MSMTMINS501 Inspect a range of complex measuring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