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66F" w:rsidP="0017366F">
      <w:pPr>
        <w:pStyle w:val="Title"/>
      </w:pPr>
      <w:r>
        <w:fldChar w:fldCharType="begin"/>
      </w:r>
      <w:r>
        <w:instrText xml:space="preserve"> TITLE   \* MERGEFORMAT </w:instrText>
      </w:r>
      <w:r>
        <w:fldChar w:fldCharType="separate"/>
      </w:r>
      <w:r>
        <w:t>MSMTMINS404 Inspect a range of pre-packaged products</w:t>
      </w:r>
      <w:r>
        <w:fldChar w:fldCharType="end"/>
      </w:r>
    </w:p>
    <w:p w:rsidR="0017366F" w:rsidP="0017366F">
      <w:pPr>
        <w:pStyle w:val="Version"/>
        <w:sectPr w:rsidSect="00B748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48C6" w:rsidP="00B748C6">
      <w:pPr>
        <w:pStyle w:val="SuperHeading"/>
      </w:pPr>
      <w:r w:rsidRPr="00B748C6">
        <w:t>MSMTMINS404 Inspect a range of pre-packaged products</w:t>
      </w:r>
    </w:p>
    <w:p w:rsidR="00000000" w:rsidRPr="00B748C6" w:rsidP="00B748C6">
      <w:pPr>
        <w:pStyle w:val="Heading1"/>
      </w:pPr>
      <w:bookmarkStart w:id="1" w:name="O_939516"/>
      <w:bookmarkEnd w:id="1"/>
      <w:r w:rsidRPr="00B748C6">
        <w:t>Modification History</w:t>
      </w:r>
    </w:p>
    <w:p w:rsidR="00000000" w:rsidRPr="00B748C6" w:rsidP="0017366F">
      <w:pPr>
        <w:pStyle w:val="BodyText"/>
      </w:pPr>
      <w:r w:rsidRPr="00B748C6">
        <w:t>Release 2. Adjustments to Application, Performance Criteria and Range of Conditions. Equivalent.</w:t>
      </w:r>
    </w:p>
    <w:p w:rsidR="00000000" w:rsidRPr="00B748C6" w:rsidP="0017366F">
      <w:pPr>
        <w:pStyle w:val="BodyText"/>
      </w:pPr>
      <w:r w:rsidRPr="00B748C6">
        <w:t>Release 1. Supersedes and is equivalent to MSATMINS404A Inspect a range of pre-packaged products</w:t>
      </w:r>
    </w:p>
    <w:p w:rsidR="00000000" w:rsidRPr="00B748C6" w:rsidP="00B748C6">
      <w:pPr>
        <w:pStyle w:val="Heading1"/>
      </w:pPr>
      <w:bookmarkStart w:id="2" w:name="O_939515"/>
      <w:bookmarkEnd w:id="2"/>
      <w:r w:rsidRPr="00B748C6">
        <w:t>Application</w:t>
      </w:r>
    </w:p>
    <w:p w:rsidR="00000000" w:rsidRPr="00B748C6" w:rsidP="0017366F">
      <w:pPr>
        <w:pStyle w:val="BodyText"/>
      </w:pPr>
      <w:r w:rsidRPr="00B748C6">
        <w:t>This</w:t>
      </w:r>
      <w:r w:rsidRPr="00B748C6">
        <w:t xml:space="preserve"> unit of competency covers the inspection of pre-packaged products and application of National Test Procedures to determine whether the marking and measurement requirements of the packaged article comply with national measurement legislation.</w:t>
      </w:r>
    </w:p>
    <w:p w:rsidR="00000000" w:rsidRPr="00B748C6" w:rsidP="0017366F">
      <w:pPr>
        <w:pStyle w:val="BodyText"/>
      </w:pPr>
      <w:r w:rsidRPr="00B748C6">
        <w:t>This unit of</w:t>
      </w:r>
      <w:r w:rsidRPr="00B748C6">
        <w:t xml:space="preserve"> competency is applicable to trade measurement inspectors appointed under national measurement legislation who may inspect a wide range of pre-packaged products as part of their allocated duties. Compliance with national legislation governing pre-packaged </w:t>
      </w:r>
      <w:r w:rsidRPr="00B748C6">
        <w:t>products applies to the accuracy of the labelling information and contents of all items packaged for sale in all industry sectors. Inspectors must work safely which may include applying basic first aid, working with hazardous materials, working in hazardou</w:t>
      </w:r>
      <w:r w:rsidRPr="00B748C6">
        <w:t>s environments, completing safety inductions.</w:t>
      </w:r>
    </w:p>
    <w:p w:rsidR="00000000" w:rsidRPr="00B748C6" w:rsidP="0017366F">
      <w:pPr>
        <w:pStyle w:val="BodyText"/>
      </w:pPr>
      <w:r w:rsidRPr="00B748C6">
        <w:t xml:space="preserve">While no specific licensing or certification requirements apply to this unit at the time of publication, all inspection operations are governed by the </w:t>
      </w:r>
      <w:r w:rsidRPr="00B748C6">
        <w:rPr>
          <w:rStyle w:val="Emphasis"/>
        </w:rPr>
        <w:t>National Measurement Act 1960</w:t>
      </w:r>
      <w:r w:rsidRPr="00B748C6">
        <w:t>.</w:t>
      </w:r>
    </w:p>
    <w:p w:rsidR="00000000" w:rsidRPr="00B748C6" w:rsidP="00B748C6">
      <w:pPr>
        <w:pStyle w:val="Heading1"/>
      </w:pPr>
      <w:bookmarkStart w:id="3" w:name="O_939514"/>
      <w:bookmarkEnd w:id="3"/>
      <w:r w:rsidRPr="00B748C6">
        <w:t>Pre-requis</w:t>
      </w:r>
      <w:r w:rsidRPr="00B748C6">
        <w:t>ite Unit</w:t>
      </w:r>
    </w:p>
    <w:p w:rsidR="00000000" w:rsidRPr="00B748C6" w:rsidP="0017366F">
      <w:pPr>
        <w:pStyle w:val="BodyText"/>
      </w:pPr>
      <w:r w:rsidRPr="00B748C6">
        <w:t>Nil</w:t>
      </w:r>
    </w:p>
    <w:p w:rsidR="00000000" w:rsidRPr="00B748C6" w:rsidP="00B748C6">
      <w:pPr>
        <w:pStyle w:val="Heading1"/>
      </w:pPr>
      <w:bookmarkStart w:id="4" w:name="O_939513"/>
      <w:bookmarkEnd w:id="4"/>
      <w:r w:rsidRPr="00B748C6">
        <w:t>Competency Field</w:t>
      </w:r>
    </w:p>
    <w:p w:rsidR="00000000" w:rsidRPr="00B748C6" w:rsidP="0017366F">
      <w:pPr>
        <w:pStyle w:val="BodyText"/>
      </w:pPr>
      <w:r w:rsidRPr="00B748C6">
        <w:t>Trade measurement</w:t>
      </w:r>
    </w:p>
    <w:p w:rsidR="00000000" w:rsidRPr="00B748C6" w:rsidP="00B748C6">
      <w:pPr>
        <w:pStyle w:val="Heading1"/>
      </w:pPr>
      <w:bookmarkStart w:id="5" w:name="O_939512"/>
      <w:bookmarkEnd w:id="5"/>
      <w:r w:rsidRPr="00B748C6">
        <w:t>Unit Sector</w:t>
      </w:r>
    </w:p>
    <w:p w:rsidR="00000000" w:rsidRPr="00B748C6" w:rsidP="00B748C6">
      <w:pPr>
        <w:pStyle w:val="Heading1"/>
      </w:pPr>
      <w:bookmarkStart w:id="6" w:name="O_939511"/>
      <w:bookmarkEnd w:id="6"/>
      <w:r w:rsidRPr="00B748C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748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Performance criteria describe the performance needed to demonstrate ac</w:t>
            </w:r>
            <w:r w:rsidRPr="00B748C6">
              <w:t>hievement of the element</w:t>
            </w:r>
          </w:p>
        </w:tc>
      </w:tr>
      <w:tr w:rsidTr="00B748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748C6">
            <w:pPr>
              <w:pStyle w:val="BodyText"/>
              <w:rPr>
                <w:lang w:val="en-NZ"/>
              </w:rPr>
            </w:pP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w:t>
            </w:r>
          </w:p>
        </w:tc>
        <w:tc>
          <w:tcPr>
            <w:tcW w:w="1962" w:type="dxa"/>
            <w:vMerge w:val="restart"/>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Prepare for inspection</w:t>
            </w: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1.1</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and evaluate the type of pre-packaged products to be inspected</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1.2</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Access and review any history of previous inspections at trader</w:t>
            </w:r>
            <w:r>
              <w:t>’</w:t>
            </w:r>
            <w:r w:rsidRPr="00B748C6">
              <w:t>s premises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1.3</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Access and correctly interpret appropriate documentation required for the inspection</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1.4</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and access test equipment, investigation equipment and consumables required for the inspection</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1.5</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Ensure specified test equipment is fit for purpose in</w:t>
            </w:r>
            <w:r w:rsidRPr="00B748C6">
              <w:t xml:space="preserve"> accordance with applicable legislation and organisational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1.6</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Store and transport test equipment in accordance with organisational procedures and industry best practice</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1.7</w:t>
            </w:r>
          </w:p>
        </w:tc>
        <w:tc>
          <w:tcPr>
            <w:tcW w:w="5610" w:type="dxa"/>
            <w:tcBorders>
              <w:top w:val="nil"/>
              <w:left w:val="nil"/>
              <w:bottom w:val="nil"/>
              <w:right w:val="nil"/>
            </w:tcBorders>
            <w:tcMar>
              <w:top w:w="0" w:type="dxa"/>
              <w:left w:w="62" w:type="dxa"/>
              <w:bottom w:w="0" w:type="dxa"/>
              <w:right w:w="62" w:type="dxa"/>
            </w:tcMar>
          </w:tcPr>
          <w:p w:rsidR="00000000" w:rsidRPr="00B748C6" w:rsidP="00B748C6">
            <w:pPr>
              <w:pStyle w:val="BodyText"/>
            </w:pPr>
            <w:r w:rsidRPr="00B748C6">
              <w:t>Identify workplace health and safety issues relevant to the inspection</w:t>
            </w:r>
          </w:p>
        </w:tc>
      </w:tr>
    </w:tbl>
    <w:p w:rsidR="00000000" w:rsidRPr="00B748C6" w:rsidP="00B748C6">
      <w:pPr>
        <w:pStyle w:val="BodyText"/>
      </w:pPr>
    </w:p>
    <w:tbl>
      <w:tblPr>
        <w:tblW w:w="0" w:type="auto"/>
        <w:tblLayout w:type="fixed"/>
        <w:tblCellMar>
          <w:left w:w="62" w:type="dxa"/>
          <w:right w:w="62" w:type="dxa"/>
        </w:tblCellMar>
        <w:tblLook w:val="0000"/>
      </w:tblPr>
      <w:tblGrid>
        <w:gridCol w:w="678"/>
        <w:gridCol w:w="1962"/>
        <w:gridCol w:w="770"/>
        <w:gridCol w:w="5610"/>
      </w:tblGrid>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2</w:t>
            </w:r>
          </w:p>
        </w:tc>
        <w:tc>
          <w:tcPr>
            <w:tcW w:w="1962" w:type="dxa"/>
            <w:vMerge w:val="restart"/>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Initiate inspection</w:t>
            </w: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2.1</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the site controller, explain the purpose of the inspection and produce formal identification, if required</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2.2</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 xml:space="preserve">Identify site workplace health and </w:t>
            </w:r>
            <w:r w:rsidRPr="00B748C6">
              <w:t>safety issues and implement appropriate control strategies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2.3</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Conduct a preliminary evaluation of the site</w:t>
            </w:r>
            <w:r>
              <w:t>’</w:t>
            </w:r>
            <w:r w:rsidRPr="00B748C6">
              <w:t>s trade measurement activities and prioritise inspection to maximise outcomes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2.4</w:t>
            </w:r>
          </w:p>
        </w:tc>
        <w:tc>
          <w:tcPr>
            <w:tcW w:w="5610" w:type="dxa"/>
            <w:tcBorders>
              <w:top w:val="nil"/>
              <w:left w:val="nil"/>
              <w:bottom w:val="nil"/>
              <w:right w:val="nil"/>
            </w:tcBorders>
            <w:tcMar>
              <w:top w:w="0" w:type="dxa"/>
              <w:left w:w="62" w:type="dxa"/>
              <w:bottom w:w="0" w:type="dxa"/>
              <w:right w:w="62" w:type="dxa"/>
            </w:tcMar>
          </w:tcPr>
          <w:p w:rsidR="00000000" w:rsidRPr="00B748C6" w:rsidP="00B748C6">
            <w:pPr>
              <w:pStyle w:val="BodyText"/>
            </w:pPr>
            <w:r w:rsidRPr="00B748C6">
              <w:t>Identify the range of pre-packaged products at the premises and plan the inspection to achieve maximum outcomes while minimising disruption to the public and trader</w:t>
            </w:r>
          </w:p>
        </w:tc>
      </w:tr>
    </w:tbl>
    <w:p w:rsidR="00000000" w:rsidRPr="00B748C6" w:rsidP="00B748C6">
      <w:pPr>
        <w:pStyle w:val="BodyText"/>
      </w:pPr>
    </w:p>
    <w:tbl>
      <w:tblPr>
        <w:tblW w:w="0" w:type="auto"/>
        <w:tblLayout w:type="fixed"/>
        <w:tblCellMar>
          <w:left w:w="62" w:type="dxa"/>
          <w:right w:w="62" w:type="dxa"/>
        </w:tblCellMar>
        <w:tblLook w:val="0000"/>
      </w:tblPr>
      <w:tblGrid>
        <w:gridCol w:w="678"/>
        <w:gridCol w:w="1962"/>
        <w:gridCol w:w="770"/>
        <w:gridCol w:w="5610"/>
      </w:tblGrid>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3</w:t>
            </w:r>
          </w:p>
        </w:tc>
        <w:tc>
          <w:tcPr>
            <w:tcW w:w="1962" w:type="dxa"/>
            <w:vMerge w:val="restart"/>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Inspect packaged article markings</w:t>
            </w: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3.1</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generic trade measurement marking requir</w:t>
            </w:r>
            <w:r w:rsidRPr="00B748C6">
              <w:t>ements for pre-packaged products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3.2</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specific trade measurement marking requirements related to the pre-packaged product selected for inspection</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3.3</w:t>
            </w:r>
          </w:p>
        </w:tc>
        <w:tc>
          <w:tcPr>
            <w:tcW w:w="5610" w:type="dxa"/>
            <w:tcBorders>
              <w:top w:val="nil"/>
              <w:left w:val="nil"/>
              <w:bottom w:val="nil"/>
              <w:right w:val="nil"/>
            </w:tcBorders>
            <w:tcMar>
              <w:top w:w="0" w:type="dxa"/>
              <w:left w:w="62" w:type="dxa"/>
              <w:bottom w:w="0" w:type="dxa"/>
              <w:right w:w="62" w:type="dxa"/>
            </w:tcMar>
          </w:tcPr>
          <w:p w:rsidR="00000000" w:rsidRPr="00B748C6" w:rsidP="00B748C6">
            <w:pPr>
              <w:pStyle w:val="BodyText"/>
            </w:pPr>
            <w:r w:rsidRPr="00B748C6">
              <w:t>Assess measurement, unit pricing and packe</w:t>
            </w:r>
            <w:r w:rsidRPr="00B748C6">
              <w:t>r identification markings on pre-packaged products for compliance with legislative requirements</w:t>
            </w:r>
          </w:p>
        </w:tc>
      </w:tr>
    </w:tbl>
    <w:p w:rsidR="00000000" w:rsidRPr="00B748C6" w:rsidP="00B748C6">
      <w:pPr>
        <w:pStyle w:val="BodyText"/>
      </w:pPr>
    </w:p>
    <w:tbl>
      <w:tblPr>
        <w:tblW w:w="0" w:type="auto"/>
        <w:tblLayout w:type="fixed"/>
        <w:tblCellMar>
          <w:left w:w="62" w:type="dxa"/>
          <w:right w:w="62" w:type="dxa"/>
        </w:tblCellMar>
        <w:tblLook w:val="0000"/>
      </w:tblPr>
      <w:tblGrid>
        <w:gridCol w:w="678"/>
        <w:gridCol w:w="1962"/>
        <w:gridCol w:w="770"/>
        <w:gridCol w:w="5610"/>
      </w:tblGrid>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4</w:t>
            </w:r>
          </w:p>
        </w:tc>
        <w:tc>
          <w:tcPr>
            <w:tcW w:w="1962" w:type="dxa"/>
            <w:vMerge w:val="restart"/>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Measure the net contents of pre-packaged products</w:t>
            </w: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4.1</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and access National Test Procedures appropriate for measuring the product</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4.2</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Select pre-packaged products for measurement in accordance with marketplace intelligence, legislative requirements and organisational policy and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4.3</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access and apply product handling and disposal requirements in accordance with work</w:t>
            </w:r>
            <w:r w:rsidRPr="00B748C6">
              <w:t>place health and safety and environmental requirements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4.4</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Select specialised equipment, reference standards and measuring devices in accordance with organisational policy and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4.5</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Measure pre-</w:t>
            </w:r>
            <w:r w:rsidRPr="00B748C6">
              <w:t xml:space="preserve">packaged product in accordance with the appropriate National Test Procedures and organisational policy and procedures </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4.6</w:t>
            </w:r>
          </w:p>
        </w:tc>
        <w:tc>
          <w:tcPr>
            <w:tcW w:w="5610" w:type="dxa"/>
            <w:tcBorders>
              <w:top w:val="nil"/>
              <w:left w:val="nil"/>
              <w:bottom w:val="nil"/>
              <w:right w:val="nil"/>
            </w:tcBorders>
            <w:tcMar>
              <w:top w:w="0" w:type="dxa"/>
              <w:left w:w="62" w:type="dxa"/>
              <w:bottom w:w="0" w:type="dxa"/>
              <w:right w:w="62" w:type="dxa"/>
            </w:tcMar>
          </w:tcPr>
          <w:p w:rsidR="00000000" w:rsidRPr="00B748C6" w:rsidP="00B748C6">
            <w:pPr>
              <w:pStyle w:val="BodyText"/>
            </w:pPr>
            <w:r w:rsidRPr="00B748C6">
              <w:t>Evaluate results against prescribed performance criteria and determine if the net contents of the individual pre-packaged products</w:t>
            </w:r>
            <w:r w:rsidRPr="00B748C6">
              <w:t xml:space="preserve"> and inspection lot meet legislative requirements</w:t>
            </w:r>
          </w:p>
        </w:tc>
      </w:tr>
    </w:tbl>
    <w:p w:rsidR="00000000" w:rsidRPr="00B748C6" w:rsidP="00B748C6">
      <w:pPr>
        <w:pStyle w:val="BodyText"/>
      </w:pPr>
    </w:p>
    <w:tbl>
      <w:tblPr>
        <w:tblW w:w="0" w:type="auto"/>
        <w:tblLayout w:type="fixed"/>
        <w:tblCellMar>
          <w:left w:w="62" w:type="dxa"/>
          <w:right w:w="62" w:type="dxa"/>
        </w:tblCellMar>
        <w:tblLook w:val="0000"/>
      </w:tblPr>
      <w:tblGrid>
        <w:gridCol w:w="678"/>
        <w:gridCol w:w="1962"/>
        <w:gridCol w:w="770"/>
        <w:gridCol w:w="5610"/>
      </w:tblGrid>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w:t>
            </w:r>
          </w:p>
        </w:tc>
        <w:tc>
          <w:tcPr>
            <w:tcW w:w="1962" w:type="dxa"/>
            <w:vMerge w:val="restart"/>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Evaluate trader</w:t>
            </w:r>
            <w:r>
              <w:t>’</w:t>
            </w:r>
            <w:r w:rsidRPr="00B748C6">
              <w:t>s measurement process</w:t>
            </w: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5.1</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Examine the process used by the trader to measure a pre-packaged product</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5.2</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Evaluate the effectiveness of the trader</w:t>
            </w:r>
            <w:r>
              <w:t>’</w:t>
            </w:r>
            <w:r w:rsidRPr="00B748C6">
              <w:t>s measurement procedure, methodology and test frequency against inspection outcomes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5.3</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Inspect measuring instrument operating environment and assess suitability for purpose</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5.4</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Evaluate measuring instrument o</w:t>
            </w:r>
            <w:r w:rsidRPr="00B748C6">
              <w:t>peration against legislative requirements and organisational policy and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5.5</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Modify the operating environment or implement alternative arrangements to ensure reliable operating conditions for the measuring instrument, as necessary</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5.6</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Identify the maximum permissible errors for the instrument from the legislative requirements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5.7</w:t>
            </w:r>
          </w:p>
        </w:tc>
        <w:tc>
          <w:tcPr>
            <w:tcW w:w="5610" w:type="dxa"/>
            <w:tcBorders>
              <w:top w:val="nil"/>
              <w:left w:val="nil"/>
              <w:bottom w:val="nil"/>
              <w:right w:val="nil"/>
            </w:tcBorders>
            <w:tcMar>
              <w:top w:w="0" w:type="dxa"/>
              <w:left w:w="62" w:type="dxa"/>
              <w:bottom w:w="0" w:type="dxa"/>
              <w:right w:w="62" w:type="dxa"/>
            </w:tcMar>
          </w:tcPr>
          <w:p w:rsidR="00000000" w:rsidRPr="00B748C6" w:rsidP="00B748C6">
            <w:pPr>
              <w:pStyle w:val="BodyText"/>
            </w:pPr>
            <w:r w:rsidRPr="00B748C6">
              <w:t xml:space="preserve">Inspect measuring instruments in accordance with relevant National Instrument Test Procedures and appropriate National Measurement Institute (NMI) policy </w:t>
            </w:r>
          </w:p>
        </w:tc>
      </w:tr>
    </w:tbl>
    <w:p w:rsidR="00000000" w:rsidRPr="00B748C6" w:rsidP="00B748C6">
      <w:pPr>
        <w:pStyle w:val="BodyText"/>
      </w:pPr>
    </w:p>
    <w:tbl>
      <w:tblPr>
        <w:tblW w:w="0" w:type="auto"/>
        <w:tblLayout w:type="fixed"/>
        <w:tblCellMar>
          <w:left w:w="62" w:type="dxa"/>
          <w:right w:w="62" w:type="dxa"/>
        </w:tblCellMar>
        <w:tblLook w:val="0000"/>
      </w:tblPr>
      <w:tblGrid>
        <w:gridCol w:w="678"/>
        <w:gridCol w:w="1962"/>
        <w:gridCol w:w="770"/>
        <w:gridCol w:w="5610"/>
      </w:tblGrid>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6</w:t>
            </w:r>
          </w:p>
        </w:tc>
        <w:tc>
          <w:tcPr>
            <w:tcW w:w="1962" w:type="dxa"/>
            <w:vMerge w:val="restart"/>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6.1</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Analyse inspection data for unacceptable trends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6.2</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Use test reports to present inspection results in the required format</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6.3</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Complete inspection documentation in accordance with legislative requirements and organisational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6.4</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Communicate inspection results within the specified time and in accordance with organisational guidelines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6.5</w:t>
            </w:r>
          </w:p>
        </w:tc>
        <w:tc>
          <w:tcPr>
            <w:tcW w:w="5610" w:type="dxa"/>
            <w:tcBorders>
              <w:top w:val="nil"/>
              <w:left w:val="nil"/>
              <w:bottom w:val="nil"/>
              <w:right w:val="nil"/>
            </w:tcBorders>
            <w:tcMar>
              <w:top w:w="0" w:type="dxa"/>
              <w:left w:w="62" w:type="dxa"/>
              <w:bottom w:w="0" w:type="dxa"/>
              <w:right w:w="62" w:type="dxa"/>
            </w:tcMar>
          </w:tcPr>
          <w:p w:rsidR="00000000" w:rsidRPr="00B748C6" w:rsidP="00B748C6">
            <w:pPr>
              <w:pStyle w:val="BodyText"/>
            </w:pPr>
            <w:r w:rsidRPr="00B748C6">
              <w:t>Recommend follow-up actions as appropriate</w:t>
            </w:r>
          </w:p>
        </w:tc>
      </w:tr>
    </w:tbl>
    <w:p w:rsidR="00000000" w:rsidRPr="00B748C6" w:rsidP="00B748C6">
      <w:pPr>
        <w:pStyle w:val="BodyText"/>
      </w:pPr>
    </w:p>
    <w:tbl>
      <w:tblPr>
        <w:tblW w:w="0" w:type="auto"/>
        <w:tblLayout w:type="fixed"/>
        <w:tblCellMar>
          <w:left w:w="62" w:type="dxa"/>
          <w:right w:w="62" w:type="dxa"/>
        </w:tblCellMar>
        <w:tblLook w:val="0000"/>
      </w:tblPr>
      <w:tblGrid>
        <w:gridCol w:w="678"/>
        <w:gridCol w:w="1962"/>
        <w:gridCol w:w="770"/>
        <w:gridCol w:w="5610"/>
      </w:tblGrid>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7</w:t>
            </w:r>
          </w:p>
        </w:tc>
        <w:tc>
          <w:tcPr>
            <w:tcW w:w="1962" w:type="dxa"/>
            <w:vMerge w:val="restart"/>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Act on non-compliance</w:t>
            </w: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7.1</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Record and collect evidence of any identified non-compliance in accordance with legislative requirements and organisational policy and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7.2</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 xml:space="preserve">Select applicable enforcement </w:t>
            </w:r>
            <w:r w:rsidRPr="00B748C6">
              <w:t>action for the non-compliance in accordance with legislative requirements and organisational policy and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7.3</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Inform traders of non-compliances and consequences of failing to have them corrected</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7.4</w:t>
            </w:r>
          </w:p>
        </w:tc>
        <w:tc>
          <w:tcPr>
            <w:tcW w:w="561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Implement enforcement action in accordance with legislative requirements and organisational policy and procedures</w:t>
            </w:r>
          </w:p>
        </w:tc>
      </w:tr>
      <w:tr w:rsidTr="00B748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7.5</w:t>
            </w:r>
          </w:p>
        </w:tc>
        <w:tc>
          <w:tcPr>
            <w:tcW w:w="5610" w:type="dxa"/>
            <w:tcBorders>
              <w:top w:val="nil"/>
              <w:left w:val="nil"/>
              <w:bottom w:val="nil"/>
              <w:right w:val="nil"/>
            </w:tcBorders>
            <w:tcMar>
              <w:top w:w="0" w:type="dxa"/>
              <w:left w:w="62" w:type="dxa"/>
              <w:bottom w:w="0" w:type="dxa"/>
              <w:right w:w="62" w:type="dxa"/>
            </w:tcMar>
          </w:tcPr>
          <w:p w:rsidR="00000000" w:rsidRPr="00B748C6" w:rsidP="00B748C6">
            <w:pPr>
              <w:pStyle w:val="BodyText"/>
            </w:pPr>
            <w:r w:rsidRPr="00B748C6">
              <w:t>Respect the rights of the trader at all times</w:t>
            </w:r>
          </w:p>
        </w:tc>
      </w:tr>
    </w:tbl>
    <w:p w:rsidR="00000000" w:rsidRPr="00B748C6" w:rsidP="00B748C6">
      <w:pPr>
        <w:pStyle w:val="BodyText"/>
      </w:pPr>
    </w:p>
    <w:p w:rsidR="00000000" w:rsidRPr="00B748C6" w:rsidP="00B748C6">
      <w:pPr>
        <w:pStyle w:val="AllowPageBreak"/>
      </w:pPr>
    </w:p>
    <w:p w:rsidR="00000000" w:rsidRPr="00B748C6" w:rsidP="00B748C6">
      <w:pPr>
        <w:pStyle w:val="Heading1"/>
      </w:pPr>
      <w:bookmarkStart w:id="7" w:name="O_939510"/>
      <w:bookmarkEnd w:id="7"/>
      <w:r w:rsidRPr="00B748C6">
        <w:t>Foundation Skills</w:t>
      </w:r>
    </w:p>
    <w:p w:rsidR="00000000" w:rsidRPr="00B748C6" w:rsidP="0017366F">
      <w:pPr>
        <w:pStyle w:val="BodyText"/>
      </w:pPr>
      <w:r w:rsidRPr="00B748C6">
        <w:t>This section describes those language, literacy, num</w:t>
      </w:r>
      <w:r w:rsidRPr="00B748C6">
        <w:t>eracy and employment skills that are essential to performance.</w:t>
      </w:r>
    </w:p>
    <w:p w:rsidR="00000000" w:rsidRPr="00B748C6" w:rsidP="0017366F">
      <w:pPr>
        <w:pStyle w:val="BodyText"/>
      </w:pPr>
      <w:r w:rsidRPr="00B748C6">
        <w:t>Foundation skills essential to performance are explicit in the performance criteria of this unit of competency.</w:t>
      </w:r>
    </w:p>
    <w:p w:rsidR="00000000" w:rsidRPr="00B748C6" w:rsidP="00B748C6">
      <w:pPr>
        <w:pStyle w:val="Heading1"/>
      </w:pPr>
      <w:bookmarkStart w:id="8" w:name="O_939509"/>
      <w:bookmarkEnd w:id="8"/>
      <w:r w:rsidRPr="00B748C6">
        <w:t>Range of Conditions</w:t>
      </w:r>
    </w:p>
    <w:tbl>
      <w:tblPr>
        <w:tblW w:w="0" w:type="auto"/>
        <w:tblLayout w:type="fixed"/>
        <w:tblCellMar>
          <w:left w:w="62" w:type="dxa"/>
          <w:right w:w="62" w:type="dxa"/>
        </w:tblCellMar>
        <w:tblLook w:val="0000"/>
      </w:tblPr>
      <w:tblGrid>
        <w:gridCol w:w="2780"/>
        <w:gridCol w:w="6292"/>
      </w:tblGrid>
      <w:tr w:rsidTr="00B748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t>This field allows for different work environments and conditions that may affect performance. Essential operating conditions that may be present (depending on the work situation, needs of the candidate, accessibility of the item, and local industry and reg</w:t>
            </w:r>
            <w:r w:rsidRPr="00B748C6">
              <w:t>ional contexts) are included.</w:t>
            </w:r>
          </w:p>
        </w:tc>
      </w:tr>
      <w:tr w:rsidTr="00B748C6">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rPr>
                <w:rStyle w:val="SpecialBold"/>
              </w:rPr>
              <w:t>National Test Procedures include:</w:t>
            </w:r>
          </w:p>
        </w:tc>
        <w:tc>
          <w:tcPr>
            <w:tcW w:w="6292" w:type="dxa"/>
            <w:tcBorders>
              <w:top w:val="nil"/>
              <w:left w:val="nil"/>
              <w:bottom w:val="nil"/>
              <w:right w:val="nil"/>
            </w:tcBorders>
            <w:tcMar>
              <w:top w:w="0" w:type="dxa"/>
              <w:left w:w="62" w:type="dxa"/>
              <w:bottom w:w="0" w:type="dxa"/>
              <w:right w:w="62" w:type="dxa"/>
            </w:tcMar>
          </w:tcPr>
          <w:p w:rsidR="00000000" w:rsidRPr="00B748C6" w:rsidP="00B748C6">
            <w:pPr>
              <w:pStyle w:val="ListBullet"/>
            </w:pPr>
            <w:r w:rsidRPr="00B748C6">
              <w:t xml:space="preserve">article measurement procedures </w:t>
            </w:r>
          </w:p>
          <w:p w:rsidR="00000000" w:rsidRPr="00B748C6" w:rsidP="00B748C6">
            <w:pPr>
              <w:pStyle w:val="ListBullet"/>
            </w:pPr>
            <w:r w:rsidRPr="00B748C6">
              <w:t>any other test procedure prescribed by the NMI</w:t>
            </w:r>
          </w:p>
          <w:p w:rsidR="00000000" w:rsidP="00B748C6">
            <w:pPr>
              <w:pStyle w:val="BodyText"/>
              <w:rPr>
                <w:lang w:val="en-NZ"/>
              </w:rPr>
            </w:pPr>
          </w:p>
        </w:tc>
      </w:tr>
      <w:tr w:rsidTr="00B748C6">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rPr>
                <w:rStyle w:val="SpecialBold"/>
              </w:rPr>
              <w:t>Methods for measuring pre-packaged products include:</w:t>
            </w:r>
          </w:p>
        </w:tc>
        <w:tc>
          <w:tcPr>
            <w:tcW w:w="6292" w:type="dxa"/>
            <w:tcBorders>
              <w:top w:val="nil"/>
              <w:left w:val="nil"/>
              <w:bottom w:val="nil"/>
              <w:right w:val="nil"/>
            </w:tcBorders>
            <w:tcMar>
              <w:top w:w="0" w:type="dxa"/>
              <w:left w:w="62" w:type="dxa"/>
              <w:bottom w:w="0" w:type="dxa"/>
              <w:right w:w="62" w:type="dxa"/>
            </w:tcMar>
          </w:tcPr>
          <w:p w:rsidR="00000000" w:rsidRPr="00B748C6" w:rsidP="00B748C6">
            <w:pPr>
              <w:pStyle w:val="ListBullet"/>
            </w:pPr>
            <w:r w:rsidRPr="00B748C6">
              <w:t>gravimetric mass method</w:t>
            </w:r>
          </w:p>
          <w:p w:rsidR="00000000" w:rsidRPr="00B748C6" w:rsidP="00B748C6">
            <w:pPr>
              <w:pStyle w:val="ListBullet"/>
            </w:pPr>
            <w:r w:rsidRPr="00B748C6">
              <w:t>volumetric method</w:t>
            </w:r>
          </w:p>
          <w:p w:rsidR="00000000" w:rsidRPr="00B748C6" w:rsidP="00B748C6">
            <w:pPr>
              <w:pStyle w:val="ListBullet"/>
            </w:pPr>
            <w:r w:rsidRPr="00B748C6">
              <w:t>gravimetric volume method</w:t>
            </w:r>
          </w:p>
          <w:p w:rsidR="00000000" w:rsidRPr="00B748C6" w:rsidP="00B748C6">
            <w:pPr>
              <w:pStyle w:val="ListBullet"/>
            </w:pPr>
            <w:r w:rsidRPr="00B748C6">
              <w:t>substitution method</w:t>
            </w:r>
          </w:p>
          <w:p w:rsidR="00000000" w:rsidRPr="00B748C6" w:rsidP="00B748C6">
            <w:pPr>
              <w:pStyle w:val="ListBullet"/>
            </w:pPr>
            <w:r w:rsidRPr="00B748C6">
              <w:t>displacement method</w:t>
            </w:r>
          </w:p>
          <w:p w:rsidR="00000000" w:rsidRPr="00B748C6" w:rsidP="00B748C6">
            <w:pPr>
              <w:pStyle w:val="ListBullet"/>
            </w:pPr>
            <w:r w:rsidRPr="00B748C6">
              <w:t>mass per unit method</w:t>
            </w:r>
          </w:p>
          <w:p w:rsidR="00000000" w:rsidRPr="00B748C6" w:rsidP="00B748C6">
            <w:pPr>
              <w:pStyle w:val="ListBullet"/>
            </w:pPr>
            <w:r w:rsidRPr="00B748C6">
              <w:t>volumetric method for garden landscaping material</w:t>
            </w:r>
          </w:p>
          <w:p w:rsidR="00000000" w:rsidRPr="00B748C6" w:rsidP="00B748C6">
            <w:pPr>
              <w:pStyle w:val="ListBullet"/>
            </w:pPr>
            <w:r w:rsidRPr="00B748C6">
              <w:t>frozen fish method</w:t>
            </w:r>
          </w:p>
          <w:p w:rsidR="00000000" w:rsidP="00B748C6">
            <w:pPr>
              <w:pStyle w:val="BodyText"/>
              <w:rPr>
                <w:lang w:val="en-NZ"/>
              </w:rPr>
            </w:pPr>
          </w:p>
        </w:tc>
      </w:tr>
      <w:tr w:rsidTr="00B748C6">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rPr>
                <w:rStyle w:val="SpecialBold"/>
              </w:rPr>
              <w:t>Test equipment includes one or more of:</w:t>
            </w:r>
          </w:p>
        </w:tc>
        <w:tc>
          <w:tcPr>
            <w:tcW w:w="6292" w:type="dxa"/>
            <w:tcBorders>
              <w:top w:val="nil"/>
              <w:left w:val="nil"/>
              <w:bottom w:val="nil"/>
              <w:right w:val="nil"/>
            </w:tcBorders>
            <w:tcMar>
              <w:top w:w="0" w:type="dxa"/>
              <w:left w:w="62" w:type="dxa"/>
              <w:bottom w:w="0" w:type="dxa"/>
              <w:right w:w="62" w:type="dxa"/>
            </w:tcMar>
          </w:tcPr>
          <w:p w:rsidR="00000000" w:rsidRPr="00B748C6" w:rsidP="00B748C6">
            <w:pPr>
              <w:pStyle w:val="ListBullet"/>
            </w:pPr>
            <w:r w:rsidRPr="00B748C6">
              <w:t>reference standards</w:t>
            </w:r>
          </w:p>
          <w:p w:rsidR="00000000" w:rsidRPr="00B748C6" w:rsidP="00B748C6">
            <w:pPr>
              <w:pStyle w:val="ListBullet"/>
            </w:pPr>
            <w:r w:rsidRPr="00B748C6">
              <w:t>measuring instruments</w:t>
            </w:r>
          </w:p>
          <w:p w:rsidR="00000000" w:rsidRPr="00B748C6" w:rsidP="00B748C6">
            <w:pPr>
              <w:pStyle w:val="ListBullet"/>
            </w:pPr>
            <w:r w:rsidRPr="00B748C6">
              <w:t>trolleys</w:t>
            </w:r>
          </w:p>
          <w:p w:rsidR="00000000" w:rsidRPr="00B748C6" w:rsidP="00B748C6">
            <w:pPr>
              <w:pStyle w:val="ListBullet"/>
            </w:pPr>
            <w:r w:rsidRPr="00B748C6">
              <w:t>camera</w:t>
            </w:r>
            <w:r w:rsidRPr="00B748C6">
              <w:t>s</w:t>
            </w:r>
          </w:p>
          <w:p w:rsidR="00000000" w:rsidRPr="00B748C6" w:rsidP="00B748C6">
            <w:pPr>
              <w:pStyle w:val="ListBullet"/>
            </w:pPr>
            <w:r w:rsidRPr="00B748C6">
              <w:t>video and audio recorders</w:t>
            </w:r>
          </w:p>
          <w:p w:rsidR="00000000" w:rsidP="00B748C6">
            <w:pPr>
              <w:pStyle w:val="BodyText"/>
              <w:rPr>
                <w:lang w:val="en-NZ"/>
              </w:rPr>
            </w:pPr>
          </w:p>
        </w:tc>
      </w:tr>
      <w:tr w:rsidTr="00B748C6">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rPr>
                <w:rStyle w:val="SpecialBold"/>
              </w:rPr>
              <w:t>Enforcement actions include one or more of:</w:t>
            </w:r>
          </w:p>
        </w:tc>
        <w:tc>
          <w:tcPr>
            <w:tcW w:w="6292" w:type="dxa"/>
            <w:tcBorders>
              <w:top w:val="nil"/>
              <w:left w:val="nil"/>
              <w:bottom w:val="nil"/>
              <w:right w:val="nil"/>
            </w:tcBorders>
            <w:tcMar>
              <w:top w:w="0" w:type="dxa"/>
              <w:left w:w="62" w:type="dxa"/>
              <w:bottom w:w="0" w:type="dxa"/>
              <w:right w:w="62" w:type="dxa"/>
            </w:tcMar>
          </w:tcPr>
          <w:p w:rsidR="00000000" w:rsidRPr="00B748C6" w:rsidP="00B748C6">
            <w:pPr>
              <w:pStyle w:val="ListBullet"/>
            </w:pPr>
            <w:r w:rsidRPr="00B748C6">
              <w:t>formal warnings, infringement notices, undertakings, injunction and prosecutions</w:t>
            </w:r>
          </w:p>
          <w:p w:rsidR="00000000" w:rsidP="00B748C6">
            <w:pPr>
              <w:pStyle w:val="BodyText"/>
              <w:rPr>
                <w:lang w:val="en-NZ"/>
              </w:rPr>
            </w:pPr>
          </w:p>
        </w:tc>
      </w:tr>
      <w:tr w:rsidTr="00B748C6">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rPr>
                <w:rStyle w:val="SpecialBold"/>
              </w:rPr>
              <w:t>Legislation includes:</w:t>
            </w:r>
          </w:p>
        </w:tc>
        <w:tc>
          <w:tcPr>
            <w:tcW w:w="6292" w:type="dxa"/>
            <w:tcBorders>
              <w:top w:val="nil"/>
              <w:left w:val="nil"/>
              <w:bottom w:val="nil"/>
              <w:right w:val="nil"/>
            </w:tcBorders>
            <w:tcMar>
              <w:top w:w="0" w:type="dxa"/>
              <w:left w:w="62" w:type="dxa"/>
              <w:bottom w:w="0" w:type="dxa"/>
              <w:right w:w="62" w:type="dxa"/>
            </w:tcMar>
          </w:tcPr>
          <w:p w:rsidR="00000000" w:rsidRPr="00B748C6" w:rsidP="00B748C6">
            <w:pPr>
              <w:pStyle w:val="ListBullet"/>
            </w:pPr>
            <w:r w:rsidRPr="00B748C6">
              <w:t>national measurement legislation</w:t>
            </w:r>
          </w:p>
          <w:p w:rsidR="00000000" w:rsidRPr="00B748C6" w:rsidP="00B748C6">
            <w:pPr>
              <w:pStyle w:val="ListBullet"/>
            </w:pPr>
            <w:r w:rsidRPr="00B748C6">
              <w:t>applicable Commonwealth, state and territory work/occupational health and safety (WHS/OHS) legislation</w:t>
            </w:r>
          </w:p>
          <w:p w:rsidR="00000000" w:rsidP="00B748C6">
            <w:pPr>
              <w:pStyle w:val="BodyText"/>
              <w:rPr>
                <w:lang w:val="en-NZ"/>
              </w:rPr>
            </w:pPr>
          </w:p>
        </w:tc>
      </w:tr>
      <w:tr w:rsidTr="00B748C6">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rPr>
                <w:rStyle w:val="SpecialBold"/>
              </w:rPr>
              <w:t>NMI policy includes:</w:t>
            </w:r>
          </w:p>
        </w:tc>
        <w:tc>
          <w:tcPr>
            <w:tcW w:w="6292" w:type="dxa"/>
            <w:tcBorders>
              <w:top w:val="nil"/>
              <w:left w:val="nil"/>
              <w:bottom w:val="nil"/>
              <w:right w:val="nil"/>
            </w:tcBorders>
            <w:tcMar>
              <w:top w:w="0" w:type="dxa"/>
              <w:left w:w="62" w:type="dxa"/>
              <w:bottom w:w="0" w:type="dxa"/>
              <w:right w:w="62" w:type="dxa"/>
            </w:tcMar>
          </w:tcPr>
          <w:p w:rsidR="00000000" w:rsidRPr="00B748C6" w:rsidP="00B748C6">
            <w:pPr>
              <w:pStyle w:val="ListBullet"/>
            </w:pPr>
            <w:r w:rsidRPr="00B748C6">
              <w:t>bulletins</w:t>
            </w:r>
          </w:p>
          <w:p w:rsidR="00000000" w:rsidRPr="00B748C6" w:rsidP="00B748C6">
            <w:pPr>
              <w:pStyle w:val="ListBullet"/>
            </w:pPr>
            <w:r w:rsidRPr="00B748C6">
              <w:t>instructions</w:t>
            </w:r>
          </w:p>
          <w:p w:rsidR="00000000" w:rsidRPr="00B748C6" w:rsidP="00B748C6">
            <w:pPr>
              <w:pStyle w:val="ListBullet"/>
            </w:pPr>
            <w:r w:rsidRPr="00B748C6">
              <w:t>determinations</w:t>
            </w:r>
          </w:p>
          <w:p w:rsidR="00000000" w:rsidP="00B748C6">
            <w:pPr>
              <w:pStyle w:val="BodyText"/>
              <w:rPr>
                <w:lang w:val="en-NZ"/>
              </w:rPr>
            </w:pPr>
          </w:p>
        </w:tc>
      </w:tr>
      <w:tr w:rsidTr="00B748C6">
        <w:tblPrEx>
          <w:tblW w:w="0" w:type="auto"/>
          <w:tblLayout w:type="fixed"/>
          <w:tblCellMar>
            <w:left w:w="62" w:type="dxa"/>
            <w:right w:w="62" w:type="dxa"/>
          </w:tblCellMar>
          <w:tblLook w:val="0000"/>
        </w:tblPrEx>
        <w:tc>
          <w:tcPr>
            <w:tcW w:w="2780" w:type="dxa"/>
            <w:tcBorders>
              <w:top w:val="nil"/>
              <w:left w:val="nil"/>
              <w:bottom w:val="nil"/>
              <w:right w:val="nil"/>
            </w:tcBorders>
            <w:tcMar>
              <w:top w:w="0" w:type="dxa"/>
              <w:left w:w="62" w:type="dxa"/>
              <w:bottom w:w="0" w:type="dxa"/>
              <w:right w:w="62" w:type="dxa"/>
            </w:tcMar>
          </w:tcPr>
          <w:p w:rsidR="00000000" w:rsidP="00B748C6">
            <w:pPr>
              <w:pStyle w:val="BodyText"/>
              <w:rPr>
                <w:lang w:val="en-NZ"/>
              </w:rPr>
            </w:pPr>
            <w:r w:rsidRPr="00B748C6">
              <w:rPr>
                <w:rStyle w:val="SpecialBold"/>
              </w:rPr>
              <w:t>WHS/OHS and environmental management requirements include:</w:t>
            </w:r>
          </w:p>
        </w:tc>
        <w:tc>
          <w:tcPr>
            <w:tcW w:w="6292" w:type="dxa"/>
            <w:tcBorders>
              <w:top w:val="nil"/>
              <w:left w:val="nil"/>
              <w:bottom w:val="nil"/>
              <w:right w:val="nil"/>
            </w:tcBorders>
            <w:tcMar>
              <w:top w:w="0" w:type="dxa"/>
              <w:left w:w="62" w:type="dxa"/>
              <w:bottom w:w="0" w:type="dxa"/>
              <w:right w:w="62" w:type="dxa"/>
            </w:tcMar>
          </w:tcPr>
          <w:p w:rsidR="00000000" w:rsidRPr="00B748C6" w:rsidP="00B748C6">
            <w:pPr>
              <w:pStyle w:val="ListBullet"/>
            </w:pPr>
            <w:r w:rsidRPr="00B748C6">
              <w:t>complying with WHS/OHS and environmental management requirements at all times, which may be imposed through state/territory or federal legislation. These requirements must not be compromised at any time</w:t>
            </w:r>
          </w:p>
          <w:p w:rsidR="00000000" w:rsidRPr="00B748C6" w:rsidP="00B748C6">
            <w:pPr>
              <w:pStyle w:val="ListBullet"/>
            </w:pPr>
            <w:r w:rsidRPr="00B748C6">
              <w:t>applying standard precautions relating to the potenti</w:t>
            </w:r>
            <w:r w:rsidRPr="00B748C6">
              <w:t>ally hazardous nature of material/product measured</w:t>
            </w:r>
          </w:p>
          <w:p w:rsidR="00000000" w:rsidRPr="00B748C6" w:rsidP="00B748C6">
            <w:pPr>
              <w:pStyle w:val="ListBullet"/>
            </w:pPr>
            <w:r w:rsidRPr="00B748C6">
              <w:t>applying any necessary hygiene controls</w:t>
            </w:r>
          </w:p>
        </w:tc>
      </w:tr>
    </w:tbl>
    <w:p w:rsidR="00000000" w:rsidRPr="00B748C6" w:rsidP="00B748C6">
      <w:pPr>
        <w:pStyle w:val="BodyText"/>
      </w:pPr>
    </w:p>
    <w:p w:rsidR="00000000" w:rsidRPr="00B748C6" w:rsidP="00B748C6">
      <w:pPr>
        <w:pStyle w:val="AllowPageBreak"/>
      </w:pPr>
    </w:p>
    <w:p w:rsidR="00000000" w:rsidRPr="00B748C6" w:rsidP="00B748C6">
      <w:pPr>
        <w:pStyle w:val="Heading1"/>
      </w:pPr>
      <w:bookmarkStart w:id="9" w:name="O_939508"/>
      <w:bookmarkEnd w:id="9"/>
      <w:r w:rsidRPr="00B748C6">
        <w:t>Unit Mapping Information</w:t>
      </w:r>
    </w:p>
    <w:p w:rsidR="00000000" w:rsidRPr="00B748C6" w:rsidP="0017366F">
      <w:pPr>
        <w:pStyle w:val="BodyText"/>
      </w:pPr>
      <w:r w:rsidRPr="00B748C6">
        <w:t>Release 2. Adjustments to Application, Performance Criteria and Range of Conditions. Equivalent.</w:t>
      </w:r>
    </w:p>
    <w:p w:rsidR="00000000" w:rsidRPr="00B748C6" w:rsidP="0017366F">
      <w:pPr>
        <w:pStyle w:val="BodyText"/>
      </w:pPr>
      <w:r w:rsidRPr="00B748C6">
        <w:t>Release 1. Supersedes an</w:t>
      </w:r>
      <w:r w:rsidRPr="00B748C6">
        <w:t>d is equivalent to MSATMINS404A Inspect a range of pre-packaged products</w:t>
      </w:r>
    </w:p>
    <w:p w:rsidR="00000000" w:rsidRPr="00B748C6" w:rsidP="00B748C6">
      <w:pPr>
        <w:pStyle w:val="Heading1"/>
      </w:pPr>
      <w:bookmarkStart w:id="10" w:name="O_939517"/>
      <w:bookmarkEnd w:id="10"/>
      <w:r w:rsidRPr="00B748C6">
        <w:t>Links</w:t>
      </w:r>
    </w:p>
    <w:p w:rsidR="00000000" w:rsidRPr="00B748C6" w:rsidP="0017366F">
      <w:pPr>
        <w:pStyle w:val="BodyText"/>
      </w:pPr>
      <w:r w:rsidRPr="00B748C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111AC">
        <w:rPr>
          <w:rStyle w:val="Hyperlink"/>
        </w:rPr>
        <w:t>https://vetnet.gov.au/Pages/TrainingDocs.aspx?q=d1287d36-dff4-4e9f-ad2c-9d6270054027</w:t>
      </w:r>
      <w:r>
        <w:fldChar w:fldCharType="end"/>
      </w:r>
    </w:p>
    <w:p w:rsidR="00000000" w:rsidRPr="00B748C6" w:rsidP="00B748C6"/>
    <w:sectPr w:rsidSect="00B748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C6" w:rsidRPr="0017366F" w:rsidP="00173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66F" w:rsidP="00B74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366F" w:rsidP="00B748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366F" w:rsidP="00B74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8C6" w:rsidRPr="0017366F" w:rsidP="00173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66F" w:rsidRPr="002D2AF8" w:rsidP="00B748C6">
    <w:pPr>
      <w:pStyle w:val="Header"/>
      <w:framePr w:wrap="around"/>
    </w:pPr>
    <w:r>
      <w:fldChar w:fldCharType="begin"/>
    </w:r>
    <w:r>
      <w:instrText xml:space="preserve"> TITLE   \* MERGEFORMAT </w:instrText>
    </w:r>
    <w:r>
      <w:fldChar w:fldCharType="separate"/>
    </w:r>
    <w:r>
      <w:t>MSMTMINS404 Inspect a range of pre-packaged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7366F" w:rsidP="00B74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985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4C95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8C6"/>
    <w:pPr>
      <w:spacing w:before="360" w:after="60"/>
      <w:outlineLvl w:val="0"/>
    </w:pPr>
    <w:rPr>
      <w:sz w:val="32"/>
    </w:rPr>
  </w:style>
  <w:style w:type="paragraph" w:styleId="Heading2">
    <w:name w:val="heading 2"/>
    <w:basedOn w:val="HeadingBase"/>
    <w:next w:val="BodyText"/>
    <w:link w:val="Heading2Char"/>
    <w:qFormat/>
    <w:rsid w:val="00B748C6"/>
    <w:pPr>
      <w:keepLines/>
      <w:spacing w:before="240" w:after="120"/>
      <w:outlineLvl w:val="1"/>
    </w:pPr>
    <w:rPr>
      <w:sz w:val="28"/>
      <w:szCs w:val="40"/>
    </w:rPr>
  </w:style>
  <w:style w:type="paragraph" w:styleId="Heading3">
    <w:name w:val="heading 3"/>
    <w:basedOn w:val="HeadingBase"/>
    <w:next w:val="BodyText"/>
    <w:link w:val="Heading3Char"/>
    <w:qFormat/>
    <w:rsid w:val="00B748C6"/>
    <w:pPr>
      <w:spacing w:before="180" w:after="120"/>
      <w:outlineLvl w:val="2"/>
    </w:pPr>
    <w:rPr>
      <w:spacing w:val="-10"/>
      <w:kern w:val="32"/>
    </w:rPr>
  </w:style>
  <w:style w:type="paragraph" w:styleId="Heading4">
    <w:name w:val="heading 4"/>
    <w:basedOn w:val="HeadingBase"/>
    <w:next w:val="BodyText"/>
    <w:link w:val="Heading4Char"/>
    <w:qFormat/>
    <w:rsid w:val="00B748C6"/>
    <w:pPr>
      <w:spacing w:before="160" w:after="120"/>
      <w:outlineLvl w:val="3"/>
    </w:pPr>
    <w:rPr>
      <w:sz w:val="22"/>
    </w:rPr>
  </w:style>
  <w:style w:type="paragraph" w:styleId="Heading5">
    <w:name w:val="heading 5"/>
    <w:basedOn w:val="HeadingBase"/>
    <w:next w:val="Normal"/>
    <w:link w:val="Heading5Char"/>
    <w:qFormat/>
    <w:rsid w:val="00B748C6"/>
    <w:pPr>
      <w:spacing w:before="80"/>
      <w:outlineLvl w:val="4"/>
    </w:pPr>
    <w:rPr>
      <w:color w:val="918585"/>
      <w:sz w:val="20"/>
    </w:rPr>
  </w:style>
  <w:style w:type="paragraph" w:styleId="Heading6">
    <w:name w:val="heading 6"/>
    <w:basedOn w:val="HeadingBase"/>
    <w:next w:val="Normal"/>
    <w:link w:val="Heading6Char"/>
    <w:qFormat/>
    <w:rsid w:val="00B748C6"/>
    <w:pPr>
      <w:spacing w:before="60"/>
      <w:outlineLvl w:val="5"/>
    </w:pPr>
    <w:rPr>
      <w:color w:val="918585"/>
      <w:sz w:val="20"/>
    </w:rPr>
  </w:style>
  <w:style w:type="paragraph" w:styleId="Heading7">
    <w:name w:val="heading 7"/>
    <w:basedOn w:val="Normal"/>
    <w:next w:val="Normal"/>
    <w:link w:val="Heading7Char"/>
    <w:qFormat/>
    <w:rsid w:val="00B748C6"/>
    <w:pPr>
      <w:ind w:left="720"/>
      <w:outlineLvl w:val="6"/>
    </w:pPr>
    <w:rPr>
      <w:i/>
    </w:rPr>
  </w:style>
  <w:style w:type="paragraph" w:styleId="Heading8">
    <w:name w:val="heading 8"/>
    <w:basedOn w:val="Normal"/>
    <w:next w:val="Normal"/>
    <w:link w:val="Heading8Char"/>
    <w:qFormat/>
    <w:rsid w:val="00B748C6"/>
    <w:pPr>
      <w:ind w:left="720"/>
      <w:outlineLvl w:val="7"/>
    </w:pPr>
    <w:rPr>
      <w:i/>
    </w:rPr>
  </w:style>
  <w:style w:type="paragraph" w:styleId="Heading9">
    <w:name w:val="heading 9"/>
    <w:basedOn w:val="Normal"/>
    <w:next w:val="Normal"/>
    <w:link w:val="Heading9Char"/>
    <w:qFormat/>
    <w:rsid w:val="00B748C6"/>
    <w:pPr>
      <w:ind w:left="720"/>
      <w:outlineLvl w:val="8"/>
    </w:pPr>
    <w:rPr>
      <w:i/>
    </w:rPr>
  </w:style>
  <w:style w:type="character" w:default="1" w:styleId="DefaultParagraphFont">
    <w:name w:val="Default Paragraph Font"/>
    <w:uiPriority w:val="1"/>
    <w:unhideWhenUsed/>
    <w:rsid w:val="00B74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8C6"/>
  </w:style>
  <w:style w:type="character" w:customStyle="1" w:styleId="Heading1Char">
    <w:name w:val="Heading 1 Char"/>
    <w:basedOn w:val="DefaultParagraphFont"/>
    <w:link w:val="Heading1"/>
    <w:rsid w:val="00B748C6"/>
    <w:rPr>
      <w:rFonts w:ascii="Times New Roman" w:eastAsia="Times New Roman" w:hAnsi="Times New Roman" w:cs="Times New Roman"/>
      <w:b/>
      <w:sz w:val="32"/>
      <w:szCs w:val="20"/>
      <w:lang w:eastAsia="en-US"/>
    </w:rPr>
  </w:style>
  <w:style w:type="paragraph" w:styleId="BodyText">
    <w:name w:val="Body Text"/>
    <w:basedOn w:val="Normal"/>
    <w:link w:val="BodyTextChar"/>
    <w:rsid w:val="00B74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8C6"/>
    <w:rPr>
      <w:rFonts w:ascii="Times New Roman" w:eastAsia="Times New Roman" w:hAnsi="Times New Roman" w:cs="Times New Roman"/>
      <w:sz w:val="24"/>
      <w:lang w:eastAsia="en-US"/>
    </w:rPr>
  </w:style>
  <w:style w:type="paragraph" w:styleId="ListBullet">
    <w:name w:val="List Bullet"/>
    <w:basedOn w:val="List"/>
    <w:rsid w:val="00B748C6"/>
    <w:pPr>
      <w:numPr>
        <w:numId w:val="11"/>
      </w:numPr>
      <w:tabs>
        <w:tab w:val="clear" w:pos="340"/>
      </w:tabs>
      <w:spacing w:before="40" w:after="40"/>
    </w:pPr>
  </w:style>
  <w:style w:type="character" w:customStyle="1" w:styleId="SpecialBold">
    <w:name w:val="Special Bold"/>
    <w:basedOn w:val="DefaultParagraphFont"/>
    <w:rsid w:val="00B748C6"/>
    <w:rPr>
      <w:b/>
      <w:spacing w:val="0"/>
    </w:rPr>
  </w:style>
  <w:style w:type="character" w:styleId="Emphasis">
    <w:name w:val="Emphasis"/>
    <w:basedOn w:val="DefaultParagraphFont"/>
    <w:qFormat/>
    <w:rsid w:val="00B748C6"/>
    <w:rPr>
      <w:i/>
    </w:rPr>
  </w:style>
  <w:style w:type="paragraph" w:customStyle="1" w:styleId="SuperHeading">
    <w:name w:val="SuperHeading"/>
    <w:basedOn w:val="Normal"/>
    <w:rsid w:val="00B748C6"/>
    <w:pPr>
      <w:spacing w:before="240" w:after="120"/>
      <w:outlineLvl w:val="0"/>
    </w:pPr>
    <w:rPr>
      <w:rFonts w:ascii="Times New Roman" w:hAnsi="Times New Roman"/>
      <w:b/>
      <w:sz w:val="32"/>
    </w:rPr>
  </w:style>
  <w:style w:type="paragraph" w:customStyle="1" w:styleId="AllowPageBreak">
    <w:name w:val="AllowPageBreak"/>
    <w:rsid w:val="00B748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8C6"/>
    <w:rPr>
      <w:rFonts w:ascii="Courier New" w:eastAsia="Times New Roman" w:hAnsi="Courier New" w:cs="Times New Roman"/>
      <w:i/>
      <w:szCs w:val="20"/>
      <w:lang w:eastAsia="en-US"/>
    </w:rPr>
  </w:style>
  <w:style w:type="paragraph" w:customStyle="1" w:styleId="HeadingBase">
    <w:name w:val="Heading Base"/>
    <w:rsid w:val="00B74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8C6"/>
    <w:pPr>
      <w:tabs>
        <w:tab w:val="right" w:leader="dot" w:pos="9072"/>
      </w:tabs>
      <w:ind w:left="567"/>
    </w:pPr>
    <w:rPr>
      <w:szCs w:val="22"/>
    </w:rPr>
  </w:style>
  <w:style w:type="paragraph" w:customStyle="1" w:styleId="TOCBase">
    <w:name w:val="TOC Base"/>
    <w:rsid w:val="00B74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8C6"/>
    <w:pPr>
      <w:tabs>
        <w:tab w:val="right" w:leader="dot" w:pos="9072"/>
      </w:tabs>
      <w:spacing w:before="40" w:after="40"/>
      <w:ind w:left="284"/>
    </w:pPr>
    <w:rPr>
      <w:rFonts w:ascii="Times New Roman" w:hAnsi="Times New Roman"/>
    </w:rPr>
  </w:style>
  <w:style w:type="paragraph" w:styleId="TOC1">
    <w:name w:val="toc 1"/>
    <w:basedOn w:val="TOCBase"/>
    <w:next w:val="Normal"/>
    <w:rsid w:val="00B74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8C6"/>
    <w:rPr>
      <w:rFonts w:ascii="Times New Roman" w:eastAsia="Times New Roman" w:hAnsi="Times New Roman" w:cs="Times New Roman"/>
      <w:sz w:val="16"/>
      <w:lang w:eastAsia="en-US"/>
    </w:rPr>
  </w:style>
  <w:style w:type="paragraph" w:styleId="Title">
    <w:name w:val="Title"/>
    <w:basedOn w:val="HeadingBase"/>
    <w:link w:val="TitleChar"/>
    <w:qFormat/>
    <w:rsid w:val="00B748C6"/>
    <w:pPr>
      <w:spacing w:before="5040"/>
      <w:jc w:val="center"/>
    </w:pPr>
    <w:rPr>
      <w:sz w:val="48"/>
      <w:szCs w:val="72"/>
      <w:lang w:val="en-US"/>
    </w:rPr>
  </w:style>
  <w:style w:type="character" w:customStyle="1" w:styleId="TitleChar">
    <w:name w:val="Title Char"/>
    <w:basedOn w:val="DefaultParagraphFont"/>
    <w:link w:val="Title"/>
    <w:rsid w:val="00B74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8C6"/>
    <w:pPr>
      <w:tabs>
        <w:tab w:val="left" w:pos="3600"/>
        <w:tab w:val="left" w:pos="3958"/>
      </w:tabs>
    </w:pPr>
  </w:style>
  <w:style w:type="paragraph" w:styleId="List">
    <w:name w:val="List"/>
    <w:basedOn w:val="BodyText"/>
    <w:next w:val="BodyText"/>
    <w:rsid w:val="00B748C6"/>
    <w:pPr>
      <w:tabs>
        <w:tab w:val="left" w:pos="340"/>
      </w:tabs>
      <w:spacing w:before="60" w:after="60"/>
      <w:ind w:left="340" w:hanging="340"/>
    </w:pPr>
  </w:style>
  <w:style w:type="paragraph" w:customStyle="1" w:styleId="Note">
    <w:name w:val="Note"/>
    <w:basedOn w:val="BodyText"/>
    <w:rsid w:val="00B748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8C6"/>
    <w:pPr>
      <w:framePr w:wrap="auto" w:hAnchor="text" w:y="6049"/>
    </w:pPr>
    <w:rPr>
      <w:color w:val="000000"/>
      <w:sz w:val="40"/>
    </w:rPr>
  </w:style>
  <w:style w:type="paragraph" w:customStyle="1" w:styleId="TOCTitle">
    <w:name w:val="TOCTitle"/>
    <w:basedOn w:val="Heading1"/>
    <w:rsid w:val="00B748C6"/>
    <w:pPr>
      <w:spacing w:after="240"/>
      <w:jc w:val="center"/>
      <w:outlineLvl w:val="9"/>
    </w:pPr>
    <w:rPr>
      <w:caps/>
    </w:rPr>
  </w:style>
  <w:style w:type="paragraph" w:customStyle="1" w:styleId="Version">
    <w:name w:val="Version"/>
    <w:rsid w:val="00B748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48C6"/>
    <w:pPr>
      <w:numPr>
        <w:numId w:val="12"/>
      </w:numPr>
      <w:tabs>
        <w:tab w:val="clear" w:pos="680"/>
      </w:tabs>
    </w:pPr>
  </w:style>
  <w:style w:type="paragraph" w:styleId="Index1">
    <w:name w:val="index 1"/>
    <w:basedOn w:val="Normal"/>
    <w:next w:val="Normal"/>
    <w:semiHidden/>
    <w:rsid w:val="00B748C6"/>
    <w:pPr>
      <w:keepNext w:val="0"/>
      <w:tabs>
        <w:tab w:val="right" w:pos="4176"/>
      </w:tabs>
      <w:ind w:left="198" w:hanging="198"/>
    </w:pPr>
    <w:rPr>
      <w:rFonts w:ascii="Garamond" w:hAnsi="Garamond"/>
    </w:rPr>
  </w:style>
  <w:style w:type="paragraph" w:styleId="IndexHeading">
    <w:name w:val="index heading"/>
    <w:basedOn w:val="Normal"/>
    <w:next w:val="Index1"/>
    <w:semiHidden/>
    <w:rsid w:val="00B748C6"/>
    <w:pPr>
      <w:spacing w:before="120" w:after="120"/>
    </w:pPr>
    <w:rPr>
      <w:rFonts w:ascii="Arial" w:hAnsi="Arial"/>
      <w:b/>
      <w:color w:val="918585"/>
      <w:sz w:val="24"/>
    </w:rPr>
  </w:style>
  <w:style w:type="paragraph" w:styleId="Header">
    <w:name w:val="header"/>
    <w:basedOn w:val="Normal"/>
    <w:link w:val="HeaderChar"/>
    <w:rsid w:val="00B74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8C6"/>
    <w:rPr>
      <w:rFonts w:ascii="Times New Roman" w:eastAsia="Times New Roman" w:hAnsi="Times New Roman" w:cs="Times New Roman"/>
      <w:sz w:val="16"/>
      <w:szCs w:val="20"/>
      <w:lang w:val="en-GB" w:eastAsia="en-US"/>
    </w:rPr>
  </w:style>
  <w:style w:type="paragraph" w:customStyle="1" w:styleId="Chapter">
    <w:name w:val="Chapter"/>
    <w:basedOn w:val="Normal"/>
    <w:rsid w:val="00B748C6"/>
    <w:pPr>
      <w:spacing w:before="240"/>
    </w:pPr>
    <w:rPr>
      <w:rFonts w:ascii="Times New Roman" w:hAnsi="Times New Roman"/>
      <w:smallCaps/>
      <w:spacing w:val="80"/>
      <w:sz w:val="28"/>
    </w:rPr>
  </w:style>
  <w:style w:type="paragraph" w:customStyle="1" w:styleId="InChapter">
    <w:name w:val="InChapter"/>
    <w:basedOn w:val="Heading3"/>
    <w:rsid w:val="00B748C6"/>
    <w:pPr>
      <w:spacing w:after="240"/>
      <w:outlineLvl w:val="9"/>
    </w:pPr>
    <w:rPr>
      <w:noProof/>
    </w:rPr>
  </w:style>
  <w:style w:type="paragraph" w:styleId="Index2">
    <w:name w:val="index 2"/>
    <w:basedOn w:val="Normal"/>
    <w:next w:val="Normal"/>
    <w:semiHidden/>
    <w:rsid w:val="00B748C6"/>
    <w:pPr>
      <w:tabs>
        <w:tab w:val="right" w:pos="4176"/>
      </w:tabs>
      <w:ind w:left="568" w:hanging="284"/>
    </w:pPr>
    <w:rPr>
      <w:rFonts w:ascii="Garamond" w:hAnsi="Garamond"/>
    </w:rPr>
  </w:style>
  <w:style w:type="paragraph" w:customStyle="1" w:styleId="Byline">
    <w:name w:val="Byline"/>
    <w:rsid w:val="00B74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8C6"/>
    <w:pPr>
      <w:tabs>
        <w:tab w:val="clear" w:pos="3600"/>
        <w:tab w:val="clear" w:pos="3958"/>
      </w:tabs>
      <w:jc w:val="right"/>
    </w:pPr>
  </w:style>
  <w:style w:type="paragraph" w:styleId="Caption">
    <w:name w:val="caption"/>
    <w:basedOn w:val="BodyText"/>
    <w:next w:val="Normal"/>
    <w:qFormat/>
    <w:rsid w:val="00B748C6"/>
    <w:pPr>
      <w:framePr w:w="2268" w:hSpace="181" w:vSpace="181" w:wrap="around" w:vAnchor="text" w:hAnchor="page" w:x="1135" w:y="285" w:anchorLock="1"/>
    </w:pPr>
    <w:rPr>
      <w:i/>
    </w:rPr>
  </w:style>
  <w:style w:type="paragraph" w:customStyle="1" w:styleId="MiniTOCTitle">
    <w:name w:val="MiniTOCTitle"/>
    <w:basedOn w:val="Heading4"/>
    <w:rsid w:val="00B748C6"/>
    <w:pPr>
      <w:spacing w:before="240"/>
      <w:outlineLvl w:val="9"/>
    </w:pPr>
    <w:rPr>
      <w:noProof/>
      <w:sz w:val="24"/>
    </w:rPr>
  </w:style>
  <w:style w:type="paragraph" w:customStyle="1" w:styleId="MiniTOCItem">
    <w:name w:val="MiniTOCItem"/>
    <w:basedOn w:val="ListBullet"/>
    <w:rsid w:val="00B748C6"/>
    <w:pPr>
      <w:numPr>
        <w:numId w:val="0"/>
      </w:numPr>
      <w:tabs>
        <w:tab w:val="right" w:leader="dot" w:pos="6521"/>
      </w:tabs>
      <w:spacing w:before="0" w:after="0"/>
    </w:pPr>
  </w:style>
  <w:style w:type="paragraph" w:customStyle="1" w:styleId="TOFTitle">
    <w:name w:val="TOFTitle"/>
    <w:basedOn w:val="TOCTitle"/>
    <w:rsid w:val="00B748C6"/>
  </w:style>
  <w:style w:type="paragraph" w:styleId="TableofFigures">
    <w:name w:val="table of figures"/>
    <w:basedOn w:val="Normal"/>
    <w:next w:val="Normal"/>
    <w:semiHidden/>
    <w:rsid w:val="00B748C6"/>
    <w:pPr>
      <w:tabs>
        <w:tab w:val="right" w:leader="dot" w:pos="9072"/>
      </w:tabs>
      <w:ind w:left="970" w:hanging="403"/>
    </w:pPr>
    <w:rPr>
      <w:rFonts w:ascii="Times New Roman" w:hAnsi="Times New Roman"/>
      <w:b/>
    </w:rPr>
  </w:style>
  <w:style w:type="paragraph" w:styleId="ListNumber">
    <w:name w:val="List Number"/>
    <w:basedOn w:val="List"/>
    <w:rsid w:val="00B748C6"/>
    <w:pPr>
      <w:numPr>
        <w:numId w:val="14"/>
      </w:numPr>
      <w:tabs>
        <w:tab w:val="clear" w:pos="340"/>
      </w:tabs>
    </w:pPr>
  </w:style>
  <w:style w:type="character" w:customStyle="1" w:styleId="WingdingSymbols">
    <w:name w:val="Wingding Symbols"/>
    <w:rsid w:val="00B748C6"/>
    <w:rPr>
      <w:rFonts w:ascii="Wingdings" w:hAnsi="Wingdings"/>
    </w:rPr>
  </w:style>
  <w:style w:type="paragraph" w:customStyle="1" w:styleId="TableHeading">
    <w:name w:val="Table Heading"/>
    <w:basedOn w:val="HeadingBase"/>
    <w:rsid w:val="00B748C6"/>
    <w:pPr>
      <w:keepLines/>
      <w:pBdr>
        <w:bottom w:val="single" w:sz="6" w:space="1" w:color="918585"/>
      </w:pBdr>
      <w:spacing w:before="240"/>
    </w:pPr>
  </w:style>
  <w:style w:type="character" w:customStyle="1" w:styleId="HotSpot">
    <w:name w:val="HotSpot"/>
    <w:rsid w:val="00B748C6"/>
    <w:rPr>
      <w:color w:val="0033CC"/>
      <w:u w:val="none"/>
    </w:rPr>
  </w:style>
  <w:style w:type="paragraph" w:customStyle="1" w:styleId="BodyTextRight">
    <w:name w:val="Body Text Right"/>
    <w:basedOn w:val="BodyText"/>
    <w:rsid w:val="00B748C6"/>
    <w:pPr>
      <w:spacing w:before="0" w:after="0"/>
      <w:jc w:val="right"/>
    </w:pPr>
  </w:style>
  <w:style w:type="paragraph" w:styleId="Index3">
    <w:name w:val="index 3"/>
    <w:basedOn w:val="ListNumber2"/>
    <w:next w:val="Normal"/>
    <w:semiHidden/>
    <w:rsid w:val="00B748C6"/>
    <w:pPr>
      <w:numPr>
        <w:numId w:val="0"/>
      </w:numPr>
      <w:tabs>
        <w:tab w:val="right" w:leader="dot" w:pos="4176"/>
      </w:tabs>
    </w:pPr>
  </w:style>
  <w:style w:type="paragraph" w:styleId="ListNumber2">
    <w:name w:val="List Number 2"/>
    <w:basedOn w:val="List2"/>
    <w:rsid w:val="00B748C6"/>
    <w:pPr>
      <w:numPr>
        <w:numId w:val="9"/>
      </w:numPr>
      <w:tabs>
        <w:tab w:val="clear" w:pos="1060"/>
      </w:tabs>
    </w:pPr>
  </w:style>
  <w:style w:type="paragraph" w:customStyle="1" w:styleId="MarginNote">
    <w:name w:val="Margin Note"/>
    <w:basedOn w:val="BodyText"/>
    <w:rsid w:val="00B74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8C6"/>
    <w:rPr>
      <w:sz w:val="32"/>
    </w:rPr>
  </w:style>
  <w:style w:type="paragraph" w:customStyle="1" w:styleId="HeadingProcedure">
    <w:name w:val="Heading Procedure"/>
    <w:basedOn w:val="HeadingBase"/>
    <w:next w:val="Normal"/>
    <w:rsid w:val="00B748C6"/>
    <w:pPr>
      <w:tabs>
        <w:tab w:val="left" w:pos="0"/>
      </w:tabs>
      <w:spacing w:before="120" w:after="60"/>
    </w:pPr>
    <w:rPr>
      <w:i/>
      <w:color w:val="918585"/>
      <w:sz w:val="22"/>
    </w:rPr>
  </w:style>
  <w:style w:type="paragraph" w:customStyle="1" w:styleId="TableBodyText">
    <w:name w:val="Table Body Text"/>
    <w:basedOn w:val="BodyText"/>
    <w:rsid w:val="00B748C6"/>
    <w:pPr>
      <w:spacing w:before="60" w:after="60"/>
    </w:pPr>
  </w:style>
  <w:style w:type="paragraph" w:styleId="ListContinue">
    <w:name w:val="List Continue"/>
    <w:basedOn w:val="List"/>
    <w:rsid w:val="00B748C6"/>
    <w:pPr>
      <w:ind w:firstLine="0"/>
    </w:pPr>
  </w:style>
  <w:style w:type="paragraph" w:customStyle="1" w:styleId="ListNote">
    <w:name w:val="List Note"/>
    <w:basedOn w:val="List"/>
    <w:rsid w:val="00B748C6"/>
    <w:pPr>
      <w:pBdr>
        <w:top w:val="single" w:sz="6" w:space="2" w:color="918585"/>
        <w:bottom w:val="single" w:sz="6" w:space="2" w:color="918585"/>
      </w:pBdr>
      <w:tabs>
        <w:tab w:val="left" w:pos="1021"/>
      </w:tabs>
      <w:ind w:firstLine="0"/>
    </w:pPr>
  </w:style>
  <w:style w:type="paragraph" w:customStyle="1" w:styleId="Warning">
    <w:name w:val="Warning"/>
    <w:basedOn w:val="BodyText"/>
    <w:rsid w:val="00B748C6"/>
    <w:pPr>
      <w:shd w:val="clear" w:color="auto" w:fill="D9D9D9"/>
      <w:tabs>
        <w:tab w:val="left" w:pos="992"/>
      </w:tabs>
      <w:ind w:left="119" w:right="119"/>
    </w:pPr>
    <w:rPr>
      <w:sz w:val="20"/>
    </w:rPr>
  </w:style>
  <w:style w:type="paragraph" w:customStyle="1" w:styleId="MarginIcons">
    <w:name w:val="Margin Icons"/>
    <w:basedOn w:val="BodyText"/>
    <w:rsid w:val="00B74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8C6"/>
    <w:rPr>
      <w:rFonts w:ascii="Courier New" w:hAnsi="Courier New"/>
    </w:rPr>
  </w:style>
  <w:style w:type="paragraph" w:customStyle="1" w:styleId="NoteBullet">
    <w:name w:val="Note Bullet"/>
    <w:basedOn w:val="Note"/>
    <w:rsid w:val="00B748C6"/>
    <w:pPr>
      <w:tabs>
        <w:tab w:val="clear" w:pos="680"/>
      </w:tabs>
      <w:spacing w:before="60" w:after="60"/>
    </w:pPr>
  </w:style>
  <w:style w:type="paragraph" w:customStyle="1" w:styleId="SubHeading2">
    <w:name w:val="SubHeading2"/>
    <w:basedOn w:val="HeadingBase"/>
    <w:rsid w:val="00B748C6"/>
    <w:pPr>
      <w:spacing w:before="240" w:after="60"/>
    </w:pPr>
    <w:rPr>
      <w:sz w:val="20"/>
    </w:rPr>
  </w:style>
  <w:style w:type="paragraph" w:customStyle="1" w:styleId="SubHeading1">
    <w:name w:val="SubHeading1"/>
    <w:basedOn w:val="HeadingBase"/>
    <w:rsid w:val="00B748C6"/>
    <w:pPr>
      <w:spacing w:before="240" w:after="60"/>
    </w:pPr>
    <w:rPr>
      <w:color w:val="918585"/>
      <w:sz w:val="22"/>
    </w:rPr>
  </w:style>
  <w:style w:type="paragraph" w:customStyle="1" w:styleId="SideHeading">
    <w:name w:val="Side Heading"/>
    <w:basedOn w:val="HeadingBase"/>
    <w:rsid w:val="00B74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8C6"/>
    <w:pPr>
      <w:numPr>
        <w:numId w:val="10"/>
      </w:numPr>
    </w:pPr>
  </w:style>
  <w:style w:type="paragraph" w:styleId="PlainText">
    <w:name w:val="Plain Text"/>
    <w:basedOn w:val="Normal"/>
    <w:link w:val="PlainTextChar"/>
    <w:rsid w:val="00B748C6"/>
    <w:rPr>
      <w:sz w:val="20"/>
    </w:rPr>
  </w:style>
  <w:style w:type="character" w:customStyle="1" w:styleId="PlainTextChar">
    <w:name w:val="Plain Text Char"/>
    <w:basedOn w:val="DefaultParagraphFont"/>
    <w:link w:val="PlainText"/>
    <w:rsid w:val="00B748C6"/>
    <w:rPr>
      <w:rFonts w:ascii="Courier New" w:eastAsia="Times New Roman" w:hAnsi="Courier New" w:cs="Times New Roman"/>
      <w:sz w:val="20"/>
      <w:szCs w:val="20"/>
      <w:lang w:eastAsia="en-US"/>
    </w:rPr>
  </w:style>
  <w:style w:type="character" w:customStyle="1" w:styleId="MenuOption">
    <w:name w:val="Menu Option"/>
    <w:basedOn w:val="DefaultParagraphFont"/>
    <w:rsid w:val="00B748C6"/>
    <w:rPr>
      <w:b/>
      <w:smallCaps/>
    </w:rPr>
  </w:style>
  <w:style w:type="paragraph" w:customStyle="1" w:styleId="TableListNumber">
    <w:name w:val="Table List Number"/>
    <w:basedOn w:val="ListNumber"/>
    <w:rsid w:val="00B748C6"/>
    <w:pPr>
      <w:numPr>
        <w:numId w:val="0"/>
      </w:numPr>
    </w:pPr>
  </w:style>
  <w:style w:type="paragraph" w:styleId="TOC4">
    <w:name w:val="toc 4"/>
    <w:basedOn w:val="TOCBase"/>
    <w:next w:val="Normal"/>
    <w:semiHidden/>
    <w:rsid w:val="00B748C6"/>
    <w:pPr>
      <w:tabs>
        <w:tab w:val="right" w:leader="dot" w:pos="9071"/>
      </w:tabs>
      <w:ind w:left="1701"/>
    </w:pPr>
  </w:style>
  <w:style w:type="paragraph" w:customStyle="1" w:styleId="ListAlpha">
    <w:name w:val="List Alpha"/>
    <w:basedOn w:val="List"/>
    <w:rsid w:val="00B748C6"/>
    <w:pPr>
      <w:numPr>
        <w:numId w:val="8"/>
      </w:numPr>
    </w:pPr>
  </w:style>
  <w:style w:type="paragraph" w:customStyle="1" w:styleId="ListAlpha2">
    <w:name w:val="List Alpha 2"/>
    <w:basedOn w:val="List2"/>
    <w:rsid w:val="00B748C6"/>
    <w:pPr>
      <w:numPr>
        <w:numId w:val="7"/>
      </w:numPr>
    </w:pPr>
  </w:style>
  <w:style w:type="paragraph" w:styleId="List2">
    <w:name w:val="List 2"/>
    <w:basedOn w:val="BodyText"/>
    <w:rsid w:val="00B748C6"/>
    <w:pPr>
      <w:tabs>
        <w:tab w:val="left" w:pos="680"/>
      </w:tabs>
      <w:spacing w:before="60" w:after="60"/>
      <w:ind w:left="680" w:hanging="340"/>
    </w:pPr>
  </w:style>
  <w:style w:type="paragraph" w:styleId="List3">
    <w:name w:val="List 3"/>
    <w:basedOn w:val="BodyText"/>
    <w:rsid w:val="00B748C6"/>
    <w:pPr>
      <w:tabs>
        <w:tab w:val="left" w:pos="1021"/>
      </w:tabs>
      <w:spacing w:before="60" w:after="60"/>
      <w:ind w:left="1020" w:hanging="340"/>
    </w:pPr>
  </w:style>
  <w:style w:type="paragraph" w:styleId="List4">
    <w:name w:val="List 4"/>
    <w:basedOn w:val="BodyText"/>
    <w:rsid w:val="00B748C6"/>
    <w:pPr>
      <w:tabs>
        <w:tab w:val="left" w:pos="1361"/>
      </w:tabs>
      <w:spacing w:before="60" w:after="60"/>
      <w:ind w:left="1361" w:hanging="340"/>
    </w:pPr>
  </w:style>
  <w:style w:type="paragraph" w:styleId="List5">
    <w:name w:val="List 5"/>
    <w:basedOn w:val="BodyText"/>
    <w:rsid w:val="00B748C6"/>
    <w:pPr>
      <w:tabs>
        <w:tab w:val="left" w:pos="1701"/>
      </w:tabs>
      <w:spacing w:before="60" w:after="60"/>
      <w:ind w:left="1701" w:hanging="340"/>
    </w:pPr>
  </w:style>
  <w:style w:type="paragraph" w:styleId="ListBullet3">
    <w:name w:val="List Bullet 3"/>
    <w:basedOn w:val="List3"/>
    <w:rsid w:val="00B748C6"/>
    <w:pPr>
      <w:numPr>
        <w:numId w:val="13"/>
      </w:numPr>
      <w:tabs>
        <w:tab w:val="clear" w:pos="1021"/>
      </w:tabs>
      <w:ind w:left="1037" w:hanging="357"/>
    </w:pPr>
  </w:style>
  <w:style w:type="paragraph" w:styleId="ListBullet4">
    <w:name w:val="List Bullet 4"/>
    <w:basedOn w:val="List4"/>
    <w:rsid w:val="00B748C6"/>
    <w:pPr>
      <w:numPr>
        <w:numId w:val="2"/>
      </w:numPr>
      <w:tabs>
        <w:tab w:val="clear" w:pos="1361"/>
      </w:tabs>
    </w:pPr>
  </w:style>
  <w:style w:type="paragraph" w:styleId="ListBullet5">
    <w:name w:val="List Bullet 5"/>
    <w:basedOn w:val="List5"/>
    <w:rsid w:val="00B748C6"/>
    <w:pPr>
      <w:numPr>
        <w:numId w:val="3"/>
      </w:numPr>
    </w:pPr>
  </w:style>
  <w:style w:type="paragraph" w:styleId="ListContinue2">
    <w:name w:val="List Continue 2"/>
    <w:basedOn w:val="List2"/>
    <w:rsid w:val="00B748C6"/>
    <w:pPr>
      <w:ind w:firstLine="0"/>
    </w:pPr>
  </w:style>
  <w:style w:type="paragraph" w:styleId="ListContinue3">
    <w:name w:val="List Continue 3"/>
    <w:basedOn w:val="List3"/>
    <w:rsid w:val="00B748C6"/>
    <w:pPr>
      <w:ind w:left="1021" w:firstLine="0"/>
    </w:pPr>
  </w:style>
  <w:style w:type="paragraph" w:styleId="ListContinue4">
    <w:name w:val="List Continue 4"/>
    <w:basedOn w:val="List4"/>
    <w:rsid w:val="00B748C6"/>
    <w:pPr>
      <w:ind w:firstLine="0"/>
    </w:pPr>
  </w:style>
  <w:style w:type="paragraph" w:styleId="ListContinue5">
    <w:name w:val="List Continue 5"/>
    <w:basedOn w:val="List5"/>
    <w:rsid w:val="00B748C6"/>
    <w:pPr>
      <w:ind w:firstLine="0"/>
    </w:pPr>
  </w:style>
  <w:style w:type="paragraph" w:styleId="ListNumber3">
    <w:name w:val="List Number 3"/>
    <w:basedOn w:val="List3"/>
    <w:rsid w:val="00B748C6"/>
    <w:pPr>
      <w:numPr>
        <w:numId w:val="4"/>
      </w:numPr>
    </w:pPr>
  </w:style>
  <w:style w:type="paragraph" w:styleId="ListNumber4">
    <w:name w:val="List Number 4"/>
    <w:basedOn w:val="List4"/>
    <w:rsid w:val="00B748C6"/>
    <w:pPr>
      <w:numPr>
        <w:numId w:val="5"/>
      </w:numPr>
    </w:pPr>
  </w:style>
  <w:style w:type="paragraph" w:styleId="ListNumber5">
    <w:name w:val="List Number 5"/>
    <w:basedOn w:val="List5"/>
    <w:rsid w:val="00B748C6"/>
    <w:pPr>
      <w:numPr>
        <w:numId w:val="6"/>
      </w:numPr>
    </w:pPr>
  </w:style>
  <w:style w:type="paragraph" w:styleId="BlockText">
    <w:name w:val="Block Text"/>
    <w:basedOn w:val="Normal"/>
    <w:rsid w:val="00B748C6"/>
    <w:pPr>
      <w:spacing w:after="120"/>
      <w:ind w:left="1440" w:right="1440"/>
    </w:pPr>
  </w:style>
  <w:style w:type="character" w:customStyle="1" w:styleId="Subscript">
    <w:name w:val="Subscript"/>
    <w:basedOn w:val="DefaultParagraphFont"/>
    <w:rsid w:val="00B748C6"/>
    <w:rPr>
      <w:sz w:val="16"/>
      <w:vertAlign w:val="subscript"/>
    </w:rPr>
  </w:style>
  <w:style w:type="character" w:customStyle="1" w:styleId="Superscript">
    <w:name w:val="Superscript"/>
    <w:basedOn w:val="DefaultParagraphFont"/>
    <w:rsid w:val="00B748C6"/>
    <w:rPr>
      <w:sz w:val="16"/>
      <w:vertAlign w:val="superscript"/>
    </w:rPr>
  </w:style>
  <w:style w:type="character" w:customStyle="1" w:styleId="Symbols">
    <w:name w:val="Symbols"/>
    <w:basedOn w:val="DefaultParagraphFont"/>
    <w:rsid w:val="00B748C6"/>
    <w:rPr>
      <w:rFonts w:ascii="Symbol" w:hAnsi="Symbol"/>
    </w:rPr>
  </w:style>
  <w:style w:type="character" w:customStyle="1" w:styleId="MenuOptions">
    <w:name w:val="Menu Options"/>
    <w:basedOn w:val="DefaultParagraphFont"/>
    <w:rsid w:val="00B748C6"/>
    <w:rPr>
      <w:rFonts w:ascii="Arial Narrow" w:hAnsi="Arial Narrow"/>
      <w:smallCaps/>
    </w:rPr>
  </w:style>
  <w:style w:type="character" w:customStyle="1" w:styleId="Buttons">
    <w:name w:val="Buttons"/>
    <w:basedOn w:val="DefaultParagraphFont"/>
    <w:rsid w:val="00B748C6"/>
    <w:rPr>
      <w:b/>
    </w:rPr>
  </w:style>
  <w:style w:type="character" w:customStyle="1" w:styleId="Underlined">
    <w:name w:val="Underlined"/>
    <w:basedOn w:val="DefaultParagraphFont"/>
    <w:rsid w:val="00B748C6"/>
    <w:rPr>
      <w:u w:val="single"/>
    </w:rPr>
  </w:style>
  <w:style w:type="paragraph" w:customStyle="1" w:styleId="TableBodyTextRight">
    <w:name w:val="Table Body Text Right"/>
    <w:basedOn w:val="TableBodyText"/>
    <w:rsid w:val="00B748C6"/>
    <w:pPr>
      <w:widowControl w:val="0"/>
      <w:autoSpaceDE w:val="0"/>
      <w:autoSpaceDN w:val="0"/>
      <w:adjustRightInd w:val="0"/>
      <w:jc w:val="right"/>
    </w:pPr>
    <w:rPr>
      <w:rFonts w:cs="Arial"/>
      <w:szCs w:val="18"/>
    </w:rPr>
  </w:style>
  <w:style w:type="paragraph" w:customStyle="1" w:styleId="CopyrightText">
    <w:name w:val="Copyright Text"/>
    <w:basedOn w:val="BodyText"/>
    <w:rsid w:val="00B748C6"/>
    <w:rPr>
      <w:sz w:val="18"/>
    </w:rPr>
  </w:style>
  <w:style w:type="paragraph" w:customStyle="1" w:styleId="BodySmallRight">
    <w:name w:val="Body Small Right"/>
    <w:basedOn w:val="BodyTextRight"/>
    <w:rsid w:val="00B748C6"/>
    <w:rPr>
      <w:sz w:val="18"/>
      <w:szCs w:val="18"/>
    </w:rPr>
  </w:style>
  <w:style w:type="paragraph" w:customStyle="1" w:styleId="MarginEdition">
    <w:name w:val="Margin Edition"/>
    <w:basedOn w:val="MarginNote"/>
    <w:rsid w:val="00B748C6"/>
    <w:pPr>
      <w:spacing w:before="0" w:after="0"/>
    </w:pPr>
    <w:rPr>
      <w:rFonts w:ascii="Times New Roman" w:hAnsi="Times New Roman"/>
      <w:color w:val="999999"/>
    </w:rPr>
  </w:style>
  <w:style w:type="paragraph" w:customStyle="1" w:styleId="Spacer">
    <w:name w:val="Spacer"/>
    <w:basedOn w:val="Normal"/>
    <w:rsid w:val="00B748C6"/>
    <w:rPr>
      <w:sz w:val="2"/>
      <w:szCs w:val="2"/>
    </w:rPr>
  </w:style>
  <w:style w:type="character" w:customStyle="1" w:styleId="Small">
    <w:name w:val="Small"/>
    <w:basedOn w:val="DefaultParagraphFont"/>
    <w:rsid w:val="00B748C6"/>
    <w:rPr>
      <w:sz w:val="16"/>
    </w:rPr>
  </w:style>
  <w:style w:type="paragraph" w:customStyle="1" w:styleId="WideTable">
    <w:name w:val="Wide Table"/>
    <w:basedOn w:val="Normal"/>
    <w:rsid w:val="00B748C6"/>
    <w:pPr>
      <w:ind w:left="-1418"/>
    </w:pPr>
    <w:rPr>
      <w:sz w:val="2"/>
      <w:szCs w:val="2"/>
    </w:rPr>
  </w:style>
  <w:style w:type="character" w:styleId="PageNumber">
    <w:name w:val="page number"/>
    <w:basedOn w:val="DefaultParagraphFont"/>
    <w:rsid w:val="00B748C6"/>
  </w:style>
  <w:style w:type="paragraph" w:styleId="Quote">
    <w:name w:val="Quote"/>
    <w:basedOn w:val="Heading1"/>
    <w:link w:val="QuoteChar"/>
    <w:qFormat/>
    <w:rsid w:val="00B748C6"/>
    <w:rPr>
      <w:b w:val="0"/>
      <w:sz w:val="72"/>
      <w:szCs w:val="72"/>
      <w:lang w:val="en-NZ"/>
    </w:rPr>
  </w:style>
  <w:style w:type="character" w:customStyle="1" w:styleId="QuoteChar">
    <w:name w:val="Quote Char"/>
    <w:basedOn w:val="DefaultParagraphFont"/>
    <w:link w:val="Quote"/>
    <w:rsid w:val="00B74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8C6"/>
    <w:pPr>
      <w:pageBreakBefore/>
    </w:pPr>
  </w:style>
  <w:style w:type="paragraph" w:customStyle="1" w:styleId="Border">
    <w:name w:val="Border"/>
    <w:basedOn w:val="Normal"/>
    <w:qFormat/>
    <w:rsid w:val="00B74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8C6"/>
    <w:rPr>
      <w:b/>
      <w:bCs/>
      <w:i/>
      <w:iCs/>
      <w:color w:val="auto"/>
    </w:rPr>
  </w:style>
  <w:style w:type="paragraph" w:styleId="IntenseQuote">
    <w:name w:val="Intense Quote"/>
    <w:basedOn w:val="Normal"/>
    <w:next w:val="Normal"/>
    <w:link w:val="IntenseQuoteChar"/>
    <w:uiPriority w:val="30"/>
    <w:qFormat/>
    <w:rsid w:val="00B74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8C6"/>
    <w:rPr>
      <w:smallCaps/>
      <w:color w:val="auto"/>
      <w:u w:val="single"/>
    </w:rPr>
  </w:style>
  <w:style w:type="character" w:styleId="IntenseReference">
    <w:name w:val="Intense Reference"/>
    <w:basedOn w:val="DefaultParagraphFont"/>
    <w:uiPriority w:val="32"/>
    <w:qFormat/>
    <w:rsid w:val="00B748C6"/>
    <w:rPr>
      <w:b/>
      <w:bCs/>
      <w:smallCaps/>
      <w:color w:val="auto"/>
      <w:spacing w:val="5"/>
      <w:u w:val="single"/>
    </w:rPr>
  </w:style>
  <w:style w:type="paragraph" w:customStyle="1" w:styleId="2ColumnHeading">
    <w:name w:val="2Column Heading"/>
    <w:basedOn w:val="BodyText"/>
    <w:qFormat/>
    <w:rsid w:val="00B748C6"/>
    <w:pPr>
      <w:spacing w:after="60"/>
      <w:ind w:left="-2268"/>
    </w:pPr>
    <w:rPr>
      <w:b/>
    </w:rPr>
  </w:style>
  <w:style w:type="paragraph" w:customStyle="1" w:styleId="Heading1TOC">
    <w:name w:val="Heading1 TOC"/>
    <w:basedOn w:val="Normal"/>
    <w:qFormat/>
    <w:rsid w:val="00B748C6"/>
    <w:pPr>
      <w:spacing w:before="240" w:after="120"/>
    </w:pPr>
    <w:rPr>
      <w:rFonts w:ascii="Times New Roman" w:hAnsi="Times New Roman"/>
      <w:b/>
      <w:sz w:val="32"/>
    </w:rPr>
  </w:style>
  <w:style w:type="paragraph" w:customStyle="1" w:styleId="Heading2TOC">
    <w:name w:val="Heading2 TOC"/>
    <w:basedOn w:val="Normal"/>
    <w:qFormat/>
    <w:rsid w:val="00B748C6"/>
    <w:pPr>
      <w:spacing w:before="240" w:after="60"/>
    </w:pPr>
    <w:rPr>
      <w:rFonts w:ascii="Times New Roman" w:hAnsi="Times New Roman"/>
      <w:b/>
      <w:sz w:val="28"/>
    </w:rPr>
  </w:style>
  <w:style w:type="character" w:customStyle="1" w:styleId="Underline">
    <w:name w:val="Underline"/>
    <w:basedOn w:val="DefaultParagraphFont"/>
    <w:qFormat/>
    <w:rsid w:val="00B748C6"/>
    <w:rPr>
      <w:u w:val="single"/>
    </w:rPr>
  </w:style>
  <w:style w:type="character" w:customStyle="1" w:styleId="BoldandItalics">
    <w:name w:val="Bold and Italics"/>
    <w:qFormat/>
    <w:rsid w:val="00B748C6"/>
    <w:rPr>
      <w:b/>
      <w:i/>
      <w:u w:val="none"/>
    </w:rPr>
  </w:style>
  <w:style w:type="paragraph" w:styleId="BalloonText">
    <w:name w:val="Balloon Text"/>
    <w:basedOn w:val="Normal"/>
    <w:link w:val="BalloonTextChar"/>
    <w:rsid w:val="00B748C6"/>
    <w:rPr>
      <w:rFonts w:ascii="Tahoma" w:hAnsi="Tahoma" w:cs="Tahoma"/>
      <w:sz w:val="16"/>
      <w:szCs w:val="16"/>
    </w:rPr>
  </w:style>
  <w:style w:type="character" w:customStyle="1" w:styleId="BalloonTextChar">
    <w:name w:val="Balloon Text Char"/>
    <w:basedOn w:val="DefaultParagraphFont"/>
    <w:link w:val="BalloonText"/>
    <w:rsid w:val="00B74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8C6"/>
    <w:rPr>
      <w:b/>
      <w:color w:val="660033"/>
      <w:spacing w:val="0"/>
    </w:rPr>
  </w:style>
  <w:style w:type="paragraph" w:customStyle="1" w:styleId="Nameditemlist">
    <w:name w:val="Named item list"/>
    <w:basedOn w:val="BodyText"/>
    <w:qFormat/>
    <w:rsid w:val="00B748C6"/>
    <w:pPr>
      <w:tabs>
        <w:tab w:val="left" w:pos="2835"/>
      </w:tabs>
      <w:ind w:left="2835" w:hanging="2835"/>
    </w:pPr>
  </w:style>
  <w:style w:type="paragraph" w:customStyle="1" w:styleId="BodyTextnopadding">
    <w:name w:val="Body Text no padding"/>
    <w:basedOn w:val="BodyText"/>
    <w:qFormat/>
    <w:rsid w:val="00B748C6"/>
    <w:pPr>
      <w:spacing w:before="0" w:after="0"/>
    </w:pPr>
  </w:style>
  <w:style w:type="paragraph" w:customStyle="1" w:styleId="BodyTextBold">
    <w:name w:val="Body Text Bold"/>
    <w:basedOn w:val="BodyText"/>
    <w:qFormat/>
    <w:rsid w:val="00B748C6"/>
    <w:rPr>
      <w:b/>
    </w:rPr>
  </w:style>
  <w:style w:type="character" w:styleId="Hyperlink">
    <w:name w:val="Hyperlink"/>
    <w:basedOn w:val="DefaultParagraphFont"/>
    <w:uiPriority w:val="99"/>
    <w:unhideWhenUsed/>
    <w:rsid w:val="00173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1098</Words>
  <Characters>7335</Characters>
  <Application>Microsoft Office Word</Application>
  <DocSecurity>0</DocSecurity>
  <Lines>349</Lines>
  <Paragraphs>172</Paragraphs>
  <ScaleCrop>false</ScaleCrop>
  <Company>Author-it Software Corporation Ltd.</Company>
  <LinksUpToDate>false</LinksUpToDate>
  <CharactersWithSpaces>8261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MSMTMINS404 Inspect a range of pre-packaged products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2022-11-21T09:18:00Z</dcterms:created>
  <dcterms:modified xsi:type="dcterms:W3CDTF">2022-11-21T09:18:00Z</dcterms:modified>
</cp:coreProperties>
</file>