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50DE" w:rsidP="000750DE">
      <w:pPr>
        <w:pStyle w:val="Title"/>
      </w:pPr>
      <w:r>
        <w:fldChar w:fldCharType="begin"/>
      </w:r>
      <w:r>
        <w:instrText xml:space="preserve"> TITLE   \* MERGEFORMAT </w:instrText>
      </w:r>
      <w:r>
        <w:fldChar w:fldCharType="separate"/>
      </w:r>
      <w:r>
        <w:t>MSMTMINS402 Inspect liquid measuring instruments using volume measures</w:t>
      </w:r>
      <w:r>
        <w:fldChar w:fldCharType="end"/>
      </w:r>
    </w:p>
    <w:p w:rsidR="000750DE" w:rsidP="000750DE">
      <w:pPr>
        <w:pStyle w:val="Version"/>
        <w:sectPr w:rsidSect="004536F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536F0" w:rsidP="004536F0">
      <w:pPr>
        <w:pStyle w:val="SuperHeading"/>
      </w:pPr>
      <w:r w:rsidRPr="004536F0">
        <w:t>MSMTMINS402 Inspect liquid measuring instruments using volume measures</w:t>
      </w:r>
    </w:p>
    <w:p w:rsidR="00000000" w:rsidRPr="004536F0" w:rsidP="004536F0">
      <w:pPr>
        <w:pStyle w:val="Heading1"/>
      </w:pPr>
      <w:bookmarkStart w:id="1" w:name="O_939480"/>
      <w:bookmarkEnd w:id="1"/>
      <w:r w:rsidRPr="004536F0">
        <w:t>Modification History</w:t>
      </w:r>
    </w:p>
    <w:p w:rsidR="00000000" w:rsidRPr="004536F0" w:rsidP="000750DE">
      <w:pPr>
        <w:pStyle w:val="BodyText"/>
      </w:pPr>
      <w:r w:rsidRPr="004536F0">
        <w:t>Release 2. Adjustments to the Application, Performance Criteria and Range of Conditions. Adjustment to Assessment Conditions. Equivalent.</w:t>
      </w:r>
    </w:p>
    <w:p w:rsidR="00000000" w:rsidRPr="004536F0" w:rsidP="000750DE">
      <w:pPr>
        <w:pStyle w:val="BodyText"/>
      </w:pPr>
      <w:r w:rsidRPr="004536F0">
        <w:t>Release 1. Supersedes and is equivalent to MSATMINS402A Inspect liquid measuring instruments using volume measures</w:t>
      </w:r>
    </w:p>
    <w:p w:rsidR="00000000" w:rsidRPr="004536F0" w:rsidP="004536F0">
      <w:pPr>
        <w:pStyle w:val="Heading1"/>
      </w:pPr>
      <w:bookmarkStart w:id="2" w:name="O_939479"/>
      <w:bookmarkEnd w:id="2"/>
      <w:r w:rsidRPr="004536F0">
        <w:t>Application</w:t>
      </w:r>
    </w:p>
    <w:p w:rsidR="00000000" w:rsidRPr="004536F0" w:rsidP="000750DE">
      <w:pPr>
        <w:pStyle w:val="BodyText"/>
      </w:pPr>
      <w:r w:rsidRPr="004536F0">
        <w:t>This unit of competency covers the ability to apply National Instrument Test Procedures to determine whether liq</w:t>
      </w:r>
      <w:r w:rsidRPr="004536F0">
        <w:t xml:space="preserve">uid measuring instruments, tested using volume measures, are suitable for trade use. The unit also involves auditing the performance of verifiers, by auditing recently verified liquid measuring instruments, to ensure they meet the legislative requirements </w:t>
      </w:r>
      <w:r w:rsidRPr="004536F0">
        <w:t>for trade use.</w:t>
      </w:r>
    </w:p>
    <w:p w:rsidR="00000000" w:rsidRPr="004536F0" w:rsidP="000750DE">
      <w:pPr>
        <w:pStyle w:val="BodyText"/>
      </w:pPr>
      <w:r w:rsidRPr="004536F0">
        <w:t>This unit of competency is applicable to trade measurement inspectors appointed under national measurement legislation who may inspect a wide range of liquid measuring instruments, tested using volume measures, as part of their allocated du</w:t>
      </w:r>
      <w:r w:rsidRPr="004536F0">
        <w:t>ties.</w:t>
      </w:r>
    </w:p>
    <w:p w:rsidR="00000000" w:rsidRPr="004536F0" w:rsidP="000750DE">
      <w:pPr>
        <w:pStyle w:val="BodyText"/>
      </w:pPr>
      <w:r w:rsidRPr="004536F0">
        <w:t>Liquid measuring instruments are used in a very wide range of commerce. For example, petrol dispensers measure fuel at the point of sale and flowmeters are used to measure bulk commodities, such as milk, chemicals and petroleum products during produ</w:t>
      </w:r>
      <w:r w:rsidRPr="004536F0">
        <w:t>ction and distribution. Inspections are often performed over extended durations in non-routine and hazardous environments. Inspectors must work safely, including applying basic first aid, assessing potential confined spaces, working with hazardous material</w:t>
      </w:r>
      <w:r w:rsidRPr="004536F0">
        <w:t>s, working in hazardous environments, working with heavy machinery, using appropriate workplace clearance forms, completing safety inductions and working at heights.</w:t>
      </w:r>
    </w:p>
    <w:p w:rsidR="00000000" w:rsidRPr="004536F0" w:rsidP="000750DE">
      <w:pPr>
        <w:pStyle w:val="BodyText"/>
      </w:pPr>
      <w:r w:rsidRPr="004536F0">
        <w:t xml:space="preserve">While no specific licensing or certification requirements apply to this unit at the time </w:t>
      </w:r>
      <w:r w:rsidRPr="004536F0">
        <w:t xml:space="preserve">of publication, all inspection activity is legislated under the </w:t>
      </w:r>
      <w:r w:rsidRPr="004536F0">
        <w:rPr>
          <w:rStyle w:val="Emphasis"/>
        </w:rPr>
        <w:t>National Measurement Act 1960.</w:t>
      </w:r>
    </w:p>
    <w:p w:rsidR="00000000" w:rsidRPr="004536F0" w:rsidP="004536F0">
      <w:pPr>
        <w:pStyle w:val="Heading1"/>
      </w:pPr>
      <w:bookmarkStart w:id="3" w:name="O_939478"/>
      <w:bookmarkEnd w:id="3"/>
      <w:r w:rsidRPr="004536F0">
        <w:t>Pre-requisite Unit</w:t>
      </w:r>
    </w:p>
    <w:p w:rsidR="00000000" w:rsidRPr="004536F0" w:rsidP="000750DE">
      <w:pPr>
        <w:pStyle w:val="BodyText"/>
      </w:pPr>
      <w:r w:rsidRPr="004536F0">
        <w:t>Nil</w:t>
      </w:r>
    </w:p>
    <w:p w:rsidR="00000000" w:rsidRPr="004536F0" w:rsidP="004536F0">
      <w:pPr>
        <w:pStyle w:val="Heading1"/>
      </w:pPr>
      <w:bookmarkStart w:id="4" w:name="O_939477"/>
      <w:bookmarkEnd w:id="4"/>
      <w:r w:rsidRPr="004536F0">
        <w:t>Competency Field</w:t>
      </w:r>
    </w:p>
    <w:p w:rsidR="00000000" w:rsidRPr="004536F0" w:rsidP="000750DE">
      <w:pPr>
        <w:pStyle w:val="BodyText"/>
      </w:pPr>
      <w:r w:rsidRPr="004536F0">
        <w:t>Trade measurement</w:t>
      </w:r>
    </w:p>
    <w:p w:rsidR="00000000" w:rsidRPr="004536F0" w:rsidP="004536F0">
      <w:pPr>
        <w:pStyle w:val="Heading1"/>
      </w:pPr>
      <w:bookmarkStart w:id="5" w:name="O_939476"/>
      <w:bookmarkEnd w:id="5"/>
      <w:r w:rsidRPr="004536F0">
        <w:t>Unit Sector</w:t>
      </w:r>
    </w:p>
    <w:p w:rsidR="00000000" w:rsidRPr="004536F0" w:rsidP="004536F0">
      <w:pPr>
        <w:pStyle w:val="Heading1"/>
      </w:pPr>
      <w:bookmarkStart w:id="6" w:name="O_939475"/>
      <w:bookmarkEnd w:id="6"/>
      <w:r w:rsidRPr="004536F0">
        <w:t>Elements and Performance</w:t>
      </w:r>
      <w:r w:rsidRPr="004536F0">
        <w:t xml:space="preserve"> Criteria</w:t>
      </w:r>
    </w:p>
    <w:tbl>
      <w:tblPr>
        <w:tblW w:w="0" w:type="auto"/>
        <w:tblLayout w:type="fixed"/>
        <w:tblCellMar>
          <w:left w:w="62" w:type="dxa"/>
          <w:right w:w="62" w:type="dxa"/>
        </w:tblCellMar>
        <w:tblLook w:val="0000"/>
      </w:tblPr>
      <w:tblGrid>
        <w:gridCol w:w="678"/>
        <w:gridCol w:w="1962"/>
        <w:gridCol w:w="770"/>
        <w:gridCol w:w="5610"/>
      </w:tblGrid>
      <w:tr w:rsidTr="004536F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536F0">
            <w:pPr>
              <w:pStyle w:val="BodyText"/>
              <w:rPr>
                <w:lang w:val="en-NZ"/>
              </w:rPr>
            </w:pPr>
            <w:r w:rsidRPr="004536F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536F0">
            <w:pPr>
              <w:pStyle w:val="BodyText"/>
              <w:rPr>
                <w:lang w:val="en-NZ"/>
              </w:rPr>
            </w:pPr>
            <w:r w:rsidRPr="004536F0">
              <w:t>Performance criteria describe the performance needed to demonstrate achievement of the element</w:t>
            </w:r>
          </w:p>
        </w:tc>
      </w:tr>
      <w:tr w:rsidTr="004536F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4536F0">
            <w:pPr>
              <w:pStyle w:val="BodyText"/>
              <w:rPr>
                <w:lang w:val="en-NZ"/>
              </w:rPr>
            </w:pPr>
          </w:p>
        </w:tc>
      </w:tr>
      <w:tr w:rsidTr="004536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536F0">
            <w:pPr>
              <w:pStyle w:val="BodyText"/>
              <w:rPr>
                <w:lang w:val="en-NZ"/>
              </w:rPr>
            </w:pPr>
            <w:r w:rsidRPr="004536F0">
              <w:t>1</w:t>
            </w:r>
          </w:p>
        </w:tc>
        <w:tc>
          <w:tcPr>
            <w:tcW w:w="1962" w:type="dxa"/>
            <w:vMerge w:val="restart"/>
            <w:tcBorders>
              <w:top w:val="nil"/>
              <w:left w:val="nil"/>
              <w:bottom w:val="nil"/>
              <w:right w:val="nil"/>
            </w:tcBorders>
            <w:tcMar>
              <w:top w:w="0" w:type="dxa"/>
              <w:left w:w="62" w:type="dxa"/>
              <w:bottom w:w="0" w:type="dxa"/>
              <w:right w:w="62" w:type="dxa"/>
            </w:tcMar>
          </w:tcPr>
          <w:p w:rsidR="00000000" w:rsidP="004536F0">
            <w:pPr>
              <w:pStyle w:val="BodyText"/>
              <w:rPr>
                <w:lang w:val="en-NZ"/>
              </w:rPr>
            </w:pPr>
            <w:r w:rsidRPr="004536F0">
              <w:t>Prepare for inspection</w:t>
            </w:r>
          </w:p>
        </w:tc>
        <w:tc>
          <w:tcPr>
            <w:tcW w:w="770" w:type="dxa"/>
            <w:tcBorders>
              <w:top w:val="nil"/>
              <w:left w:val="nil"/>
              <w:bottom w:val="nil"/>
              <w:right w:val="nil"/>
            </w:tcBorders>
            <w:tcMar>
              <w:top w:w="0" w:type="dxa"/>
              <w:left w:w="62" w:type="dxa"/>
              <w:bottom w:w="0" w:type="dxa"/>
              <w:right w:w="62" w:type="dxa"/>
            </w:tcMar>
          </w:tcPr>
          <w:p w:rsidR="00000000" w:rsidP="004536F0">
            <w:pPr>
              <w:pStyle w:val="BodyText"/>
              <w:rPr>
                <w:lang w:val="en-NZ"/>
              </w:rPr>
            </w:pPr>
            <w:r w:rsidRPr="004536F0">
              <w:t>1.1</w:t>
            </w:r>
          </w:p>
        </w:tc>
        <w:tc>
          <w:tcPr>
            <w:tcW w:w="5610" w:type="dxa"/>
            <w:tcBorders>
              <w:top w:val="nil"/>
              <w:left w:val="nil"/>
              <w:bottom w:val="nil"/>
              <w:right w:val="nil"/>
            </w:tcBorders>
            <w:tcMar>
              <w:top w:w="0" w:type="dxa"/>
              <w:left w:w="62" w:type="dxa"/>
              <w:bottom w:w="0" w:type="dxa"/>
              <w:right w:w="62" w:type="dxa"/>
            </w:tcMar>
          </w:tcPr>
          <w:p w:rsidR="00000000" w:rsidP="004536F0">
            <w:pPr>
              <w:pStyle w:val="BodyText"/>
              <w:rPr>
                <w:lang w:val="en-NZ"/>
              </w:rPr>
            </w:pPr>
            <w:r w:rsidRPr="004536F0">
              <w:t>Identify and evaluate the type of instrument to be inspected</w:t>
            </w:r>
          </w:p>
        </w:tc>
      </w:tr>
      <w:tr w:rsidTr="004536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36F0">
            <w:pPr>
              <w:pStyle w:val="BodyText"/>
              <w:rPr>
                <w:lang w:val="en-NZ"/>
              </w:rPr>
            </w:pPr>
            <w:r w:rsidRPr="004536F0">
              <w:t>1.2</w:t>
            </w:r>
          </w:p>
        </w:tc>
        <w:tc>
          <w:tcPr>
            <w:tcW w:w="5610" w:type="dxa"/>
            <w:tcBorders>
              <w:top w:val="nil"/>
              <w:left w:val="nil"/>
              <w:bottom w:val="nil"/>
              <w:right w:val="nil"/>
            </w:tcBorders>
            <w:tcMar>
              <w:top w:w="0" w:type="dxa"/>
              <w:left w:w="62" w:type="dxa"/>
              <w:bottom w:w="0" w:type="dxa"/>
              <w:right w:w="62" w:type="dxa"/>
            </w:tcMar>
          </w:tcPr>
          <w:p w:rsidR="00000000" w:rsidP="004536F0">
            <w:pPr>
              <w:pStyle w:val="BodyText"/>
              <w:rPr>
                <w:lang w:val="en-NZ"/>
              </w:rPr>
            </w:pPr>
            <w:r w:rsidRPr="004536F0">
              <w:t>Access and review any history of previous inspections at trader</w:t>
            </w:r>
            <w:r>
              <w:t>’</w:t>
            </w:r>
            <w:r w:rsidRPr="004536F0">
              <w:t>s premises</w:t>
            </w:r>
          </w:p>
        </w:tc>
      </w:tr>
      <w:tr w:rsidTr="004536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36F0">
            <w:pPr>
              <w:pStyle w:val="BodyText"/>
              <w:rPr>
                <w:lang w:val="en-NZ"/>
              </w:rPr>
            </w:pPr>
            <w:r w:rsidRPr="004536F0">
              <w:t>1.3</w:t>
            </w:r>
          </w:p>
        </w:tc>
        <w:tc>
          <w:tcPr>
            <w:tcW w:w="5610" w:type="dxa"/>
            <w:tcBorders>
              <w:top w:val="nil"/>
              <w:left w:val="nil"/>
              <w:bottom w:val="nil"/>
              <w:right w:val="nil"/>
            </w:tcBorders>
            <w:tcMar>
              <w:top w:w="0" w:type="dxa"/>
              <w:left w:w="62" w:type="dxa"/>
              <w:bottom w:w="0" w:type="dxa"/>
              <w:right w:w="62" w:type="dxa"/>
            </w:tcMar>
          </w:tcPr>
          <w:p w:rsidR="00000000" w:rsidP="004536F0">
            <w:pPr>
              <w:pStyle w:val="BodyText"/>
              <w:rPr>
                <w:lang w:val="en-NZ"/>
              </w:rPr>
            </w:pPr>
            <w:r w:rsidRPr="004536F0">
              <w:t>Access and correctly interpret appropriate documentation required for the inspection</w:t>
            </w:r>
          </w:p>
        </w:tc>
      </w:tr>
      <w:tr w:rsidTr="004536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36F0">
            <w:pPr>
              <w:pStyle w:val="BodyText"/>
              <w:rPr>
                <w:lang w:val="en-NZ"/>
              </w:rPr>
            </w:pPr>
            <w:r w:rsidRPr="004536F0">
              <w:t>1.4</w:t>
            </w:r>
          </w:p>
        </w:tc>
        <w:tc>
          <w:tcPr>
            <w:tcW w:w="5610" w:type="dxa"/>
            <w:tcBorders>
              <w:top w:val="nil"/>
              <w:left w:val="nil"/>
              <w:bottom w:val="nil"/>
              <w:right w:val="nil"/>
            </w:tcBorders>
            <w:tcMar>
              <w:top w:w="0" w:type="dxa"/>
              <w:left w:w="62" w:type="dxa"/>
              <w:bottom w:w="0" w:type="dxa"/>
              <w:right w:w="62" w:type="dxa"/>
            </w:tcMar>
          </w:tcPr>
          <w:p w:rsidR="00000000" w:rsidP="004536F0">
            <w:pPr>
              <w:pStyle w:val="BodyText"/>
              <w:rPr>
                <w:lang w:val="en-NZ"/>
              </w:rPr>
            </w:pPr>
            <w:r w:rsidRPr="004536F0">
              <w:t>Identify and access test equipment, products and consumables required for the inspection</w:t>
            </w:r>
          </w:p>
        </w:tc>
      </w:tr>
      <w:tr w:rsidTr="004536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36F0">
            <w:pPr>
              <w:pStyle w:val="BodyText"/>
              <w:rPr>
                <w:lang w:val="en-NZ"/>
              </w:rPr>
            </w:pPr>
            <w:r w:rsidRPr="004536F0">
              <w:t>1.5</w:t>
            </w:r>
          </w:p>
        </w:tc>
        <w:tc>
          <w:tcPr>
            <w:tcW w:w="5610" w:type="dxa"/>
            <w:tcBorders>
              <w:top w:val="nil"/>
              <w:left w:val="nil"/>
              <w:bottom w:val="nil"/>
              <w:right w:val="nil"/>
            </w:tcBorders>
            <w:tcMar>
              <w:top w:w="0" w:type="dxa"/>
              <w:left w:w="62" w:type="dxa"/>
              <w:bottom w:w="0" w:type="dxa"/>
              <w:right w:w="62" w:type="dxa"/>
            </w:tcMar>
          </w:tcPr>
          <w:p w:rsidR="00000000" w:rsidP="004536F0">
            <w:pPr>
              <w:pStyle w:val="BodyText"/>
              <w:rPr>
                <w:lang w:val="en-NZ"/>
              </w:rPr>
            </w:pPr>
            <w:r w:rsidRPr="004536F0">
              <w:t>Ensure specified test equipment is fit for purpose in accordance with applicable legislation and organisational procedures</w:t>
            </w:r>
          </w:p>
        </w:tc>
      </w:tr>
      <w:tr w:rsidTr="004536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36F0">
            <w:pPr>
              <w:pStyle w:val="BodyText"/>
              <w:rPr>
                <w:lang w:val="en-NZ"/>
              </w:rPr>
            </w:pPr>
            <w:r w:rsidRPr="004536F0">
              <w:t>1.6</w:t>
            </w:r>
          </w:p>
        </w:tc>
        <w:tc>
          <w:tcPr>
            <w:tcW w:w="5610" w:type="dxa"/>
            <w:tcBorders>
              <w:top w:val="nil"/>
              <w:left w:val="nil"/>
              <w:bottom w:val="nil"/>
              <w:right w:val="nil"/>
            </w:tcBorders>
            <w:tcMar>
              <w:top w:w="0" w:type="dxa"/>
              <w:left w:w="62" w:type="dxa"/>
              <w:bottom w:w="0" w:type="dxa"/>
              <w:right w:w="62" w:type="dxa"/>
            </w:tcMar>
          </w:tcPr>
          <w:p w:rsidR="00000000" w:rsidP="004536F0">
            <w:pPr>
              <w:pStyle w:val="BodyText"/>
              <w:rPr>
                <w:lang w:val="en-NZ"/>
              </w:rPr>
            </w:pPr>
            <w:r w:rsidRPr="004536F0">
              <w:t>Store and transport test equip</w:t>
            </w:r>
            <w:r w:rsidRPr="004536F0">
              <w:t>ment in accordance with organisational procedures and industry best practice</w:t>
            </w:r>
          </w:p>
        </w:tc>
      </w:tr>
      <w:tr w:rsidTr="004536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36F0">
            <w:pPr>
              <w:pStyle w:val="BodyText"/>
              <w:rPr>
                <w:lang w:val="en-NZ"/>
              </w:rPr>
            </w:pPr>
            <w:r w:rsidRPr="004536F0">
              <w:t>1.7</w:t>
            </w:r>
          </w:p>
        </w:tc>
        <w:tc>
          <w:tcPr>
            <w:tcW w:w="5610" w:type="dxa"/>
            <w:tcBorders>
              <w:top w:val="nil"/>
              <w:left w:val="nil"/>
              <w:bottom w:val="nil"/>
              <w:right w:val="nil"/>
            </w:tcBorders>
            <w:tcMar>
              <w:top w:w="0" w:type="dxa"/>
              <w:left w:w="62" w:type="dxa"/>
              <w:bottom w:w="0" w:type="dxa"/>
              <w:right w:w="62" w:type="dxa"/>
            </w:tcMar>
          </w:tcPr>
          <w:p w:rsidR="00000000" w:rsidRPr="004536F0" w:rsidP="004536F0">
            <w:pPr>
              <w:pStyle w:val="BodyText"/>
            </w:pPr>
            <w:r w:rsidRPr="004536F0">
              <w:t>Identify workplace health and safety issues relevant to the inspection</w:t>
            </w:r>
          </w:p>
        </w:tc>
      </w:tr>
    </w:tbl>
    <w:p w:rsidR="00000000" w:rsidRPr="004536F0" w:rsidP="004536F0">
      <w:pPr>
        <w:pStyle w:val="BodyText"/>
      </w:pPr>
    </w:p>
    <w:tbl>
      <w:tblPr>
        <w:tblW w:w="0" w:type="auto"/>
        <w:tblLayout w:type="fixed"/>
        <w:tblCellMar>
          <w:left w:w="62" w:type="dxa"/>
          <w:right w:w="62" w:type="dxa"/>
        </w:tblCellMar>
        <w:tblLook w:val="0000"/>
      </w:tblPr>
      <w:tblGrid>
        <w:gridCol w:w="678"/>
        <w:gridCol w:w="1962"/>
        <w:gridCol w:w="770"/>
        <w:gridCol w:w="5610"/>
      </w:tblGrid>
      <w:tr w:rsidTr="004536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536F0">
            <w:pPr>
              <w:pStyle w:val="BodyText"/>
              <w:rPr>
                <w:lang w:val="en-NZ"/>
              </w:rPr>
            </w:pPr>
            <w:r w:rsidRPr="004536F0">
              <w:t>2</w:t>
            </w:r>
          </w:p>
        </w:tc>
        <w:tc>
          <w:tcPr>
            <w:tcW w:w="1962" w:type="dxa"/>
            <w:vMerge w:val="restart"/>
            <w:tcBorders>
              <w:top w:val="nil"/>
              <w:left w:val="nil"/>
              <w:bottom w:val="nil"/>
              <w:right w:val="nil"/>
            </w:tcBorders>
            <w:tcMar>
              <w:top w:w="0" w:type="dxa"/>
              <w:left w:w="62" w:type="dxa"/>
              <w:bottom w:w="0" w:type="dxa"/>
              <w:right w:w="62" w:type="dxa"/>
            </w:tcMar>
          </w:tcPr>
          <w:p w:rsidR="00000000" w:rsidP="004536F0">
            <w:pPr>
              <w:pStyle w:val="BodyText"/>
              <w:rPr>
                <w:lang w:val="en-NZ"/>
              </w:rPr>
            </w:pPr>
            <w:r w:rsidRPr="004536F0">
              <w:t>Initiate inspection</w:t>
            </w:r>
          </w:p>
        </w:tc>
        <w:tc>
          <w:tcPr>
            <w:tcW w:w="770" w:type="dxa"/>
            <w:tcBorders>
              <w:top w:val="nil"/>
              <w:left w:val="nil"/>
              <w:bottom w:val="nil"/>
              <w:right w:val="nil"/>
            </w:tcBorders>
            <w:tcMar>
              <w:top w:w="0" w:type="dxa"/>
              <w:left w:w="62" w:type="dxa"/>
              <w:bottom w:w="0" w:type="dxa"/>
              <w:right w:w="62" w:type="dxa"/>
            </w:tcMar>
          </w:tcPr>
          <w:p w:rsidR="00000000" w:rsidP="004536F0">
            <w:pPr>
              <w:pStyle w:val="BodyText"/>
              <w:rPr>
                <w:lang w:val="en-NZ"/>
              </w:rPr>
            </w:pPr>
            <w:r w:rsidRPr="004536F0">
              <w:t>2.1</w:t>
            </w:r>
          </w:p>
        </w:tc>
        <w:tc>
          <w:tcPr>
            <w:tcW w:w="5610" w:type="dxa"/>
            <w:tcBorders>
              <w:top w:val="nil"/>
              <w:left w:val="nil"/>
              <w:bottom w:val="nil"/>
              <w:right w:val="nil"/>
            </w:tcBorders>
            <w:tcMar>
              <w:top w:w="0" w:type="dxa"/>
              <w:left w:w="62" w:type="dxa"/>
              <w:bottom w:w="0" w:type="dxa"/>
              <w:right w:w="62" w:type="dxa"/>
            </w:tcMar>
          </w:tcPr>
          <w:p w:rsidR="00000000" w:rsidP="004536F0">
            <w:pPr>
              <w:pStyle w:val="BodyText"/>
              <w:rPr>
                <w:lang w:val="en-NZ"/>
              </w:rPr>
            </w:pPr>
            <w:r w:rsidRPr="004536F0">
              <w:t xml:space="preserve">Identify the site controller, explain the purpose of the inspection and produce formal identification, if required </w:t>
            </w:r>
          </w:p>
        </w:tc>
      </w:tr>
      <w:tr w:rsidTr="004536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36F0">
            <w:pPr>
              <w:pStyle w:val="BodyText"/>
              <w:rPr>
                <w:lang w:val="en-NZ"/>
              </w:rPr>
            </w:pPr>
            <w:r w:rsidRPr="004536F0">
              <w:t>2.2</w:t>
            </w:r>
          </w:p>
        </w:tc>
        <w:tc>
          <w:tcPr>
            <w:tcW w:w="5610" w:type="dxa"/>
            <w:tcBorders>
              <w:top w:val="nil"/>
              <w:left w:val="nil"/>
              <w:bottom w:val="nil"/>
              <w:right w:val="nil"/>
            </w:tcBorders>
            <w:tcMar>
              <w:top w:w="0" w:type="dxa"/>
              <w:left w:w="62" w:type="dxa"/>
              <w:bottom w:w="0" w:type="dxa"/>
              <w:right w:w="62" w:type="dxa"/>
            </w:tcMar>
          </w:tcPr>
          <w:p w:rsidR="00000000" w:rsidP="004536F0">
            <w:pPr>
              <w:pStyle w:val="BodyText"/>
              <w:rPr>
                <w:lang w:val="en-NZ"/>
              </w:rPr>
            </w:pPr>
            <w:r w:rsidRPr="004536F0">
              <w:t>Identify relevant site health and safety issues and implement appropriate control strategies</w:t>
            </w:r>
          </w:p>
        </w:tc>
      </w:tr>
      <w:tr w:rsidTr="004536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36F0">
            <w:pPr>
              <w:pStyle w:val="BodyText"/>
              <w:rPr>
                <w:lang w:val="en-NZ"/>
              </w:rPr>
            </w:pPr>
            <w:r w:rsidRPr="004536F0">
              <w:t>2.3</w:t>
            </w:r>
          </w:p>
        </w:tc>
        <w:tc>
          <w:tcPr>
            <w:tcW w:w="5610" w:type="dxa"/>
            <w:tcBorders>
              <w:top w:val="nil"/>
              <w:left w:val="nil"/>
              <w:bottom w:val="nil"/>
              <w:right w:val="nil"/>
            </w:tcBorders>
            <w:tcMar>
              <w:top w:w="0" w:type="dxa"/>
              <w:left w:w="62" w:type="dxa"/>
              <w:bottom w:w="0" w:type="dxa"/>
              <w:right w:w="62" w:type="dxa"/>
            </w:tcMar>
          </w:tcPr>
          <w:p w:rsidR="00000000" w:rsidP="004536F0">
            <w:pPr>
              <w:pStyle w:val="BodyText"/>
              <w:rPr>
                <w:lang w:val="en-NZ"/>
              </w:rPr>
            </w:pPr>
            <w:r w:rsidRPr="004536F0">
              <w:t>Conduct a preliminary evaluation of the site</w:t>
            </w:r>
            <w:r>
              <w:t>’</w:t>
            </w:r>
            <w:r w:rsidRPr="004536F0">
              <w:t>s trading practices and prioritise activities to maximise inspection outcomes</w:t>
            </w:r>
          </w:p>
        </w:tc>
      </w:tr>
      <w:tr w:rsidTr="004536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36F0">
            <w:pPr>
              <w:pStyle w:val="BodyText"/>
              <w:rPr>
                <w:lang w:val="en-NZ"/>
              </w:rPr>
            </w:pPr>
            <w:r w:rsidRPr="004536F0">
              <w:t>2.4</w:t>
            </w:r>
          </w:p>
        </w:tc>
        <w:tc>
          <w:tcPr>
            <w:tcW w:w="5610" w:type="dxa"/>
            <w:tcBorders>
              <w:top w:val="nil"/>
              <w:left w:val="nil"/>
              <w:bottom w:val="nil"/>
              <w:right w:val="nil"/>
            </w:tcBorders>
            <w:tcMar>
              <w:top w:w="0" w:type="dxa"/>
              <w:left w:w="62" w:type="dxa"/>
              <w:bottom w:w="0" w:type="dxa"/>
              <w:right w:w="62" w:type="dxa"/>
            </w:tcMar>
          </w:tcPr>
          <w:p w:rsidR="00000000" w:rsidRPr="004536F0" w:rsidP="004536F0">
            <w:pPr>
              <w:pStyle w:val="BodyText"/>
            </w:pPr>
            <w:r w:rsidRPr="004536F0">
              <w:t>Identify trade measuring instruments and plan inspection to minimise disruption to the public and trader</w:t>
            </w:r>
          </w:p>
        </w:tc>
      </w:tr>
    </w:tbl>
    <w:p w:rsidR="00000000" w:rsidRPr="004536F0" w:rsidP="004536F0">
      <w:pPr>
        <w:pStyle w:val="BodyText"/>
      </w:pPr>
    </w:p>
    <w:tbl>
      <w:tblPr>
        <w:tblW w:w="0" w:type="auto"/>
        <w:tblLayout w:type="fixed"/>
        <w:tblCellMar>
          <w:left w:w="62" w:type="dxa"/>
          <w:right w:w="62" w:type="dxa"/>
        </w:tblCellMar>
        <w:tblLook w:val="0000"/>
      </w:tblPr>
      <w:tblGrid>
        <w:gridCol w:w="678"/>
        <w:gridCol w:w="1962"/>
        <w:gridCol w:w="770"/>
        <w:gridCol w:w="5610"/>
      </w:tblGrid>
      <w:tr w:rsidTr="004536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536F0">
            <w:pPr>
              <w:pStyle w:val="BodyText"/>
              <w:rPr>
                <w:lang w:val="en-NZ"/>
              </w:rPr>
            </w:pPr>
            <w:r w:rsidRPr="004536F0">
              <w:t>3</w:t>
            </w:r>
          </w:p>
        </w:tc>
        <w:tc>
          <w:tcPr>
            <w:tcW w:w="1962" w:type="dxa"/>
            <w:vMerge w:val="restart"/>
            <w:tcBorders>
              <w:top w:val="nil"/>
              <w:left w:val="nil"/>
              <w:bottom w:val="nil"/>
              <w:right w:val="nil"/>
            </w:tcBorders>
            <w:tcMar>
              <w:top w:w="0" w:type="dxa"/>
              <w:left w:w="62" w:type="dxa"/>
              <w:bottom w:w="0" w:type="dxa"/>
              <w:right w:w="62" w:type="dxa"/>
            </w:tcMar>
          </w:tcPr>
          <w:p w:rsidR="00000000" w:rsidP="004536F0">
            <w:pPr>
              <w:pStyle w:val="BodyText"/>
              <w:rPr>
                <w:lang w:val="en-NZ"/>
              </w:rPr>
            </w:pPr>
            <w:r w:rsidRPr="004536F0">
              <w:t xml:space="preserve">Evaluate liquid </w:t>
            </w:r>
            <w:r w:rsidRPr="004536F0">
              <w:t>m</w:t>
            </w:r>
            <w:r w:rsidRPr="004536F0">
              <w:t>easuring instrument performance</w:t>
            </w:r>
          </w:p>
        </w:tc>
        <w:tc>
          <w:tcPr>
            <w:tcW w:w="770" w:type="dxa"/>
            <w:tcBorders>
              <w:top w:val="nil"/>
              <w:left w:val="nil"/>
              <w:bottom w:val="nil"/>
              <w:right w:val="nil"/>
            </w:tcBorders>
            <w:tcMar>
              <w:top w:w="0" w:type="dxa"/>
              <w:left w:w="62" w:type="dxa"/>
              <w:bottom w:w="0" w:type="dxa"/>
              <w:right w:w="62" w:type="dxa"/>
            </w:tcMar>
          </w:tcPr>
          <w:p w:rsidR="00000000" w:rsidP="004536F0">
            <w:pPr>
              <w:pStyle w:val="BodyText"/>
              <w:rPr>
                <w:lang w:val="en-NZ"/>
              </w:rPr>
            </w:pPr>
            <w:r w:rsidRPr="004536F0">
              <w:t>3.1</w:t>
            </w:r>
          </w:p>
        </w:tc>
        <w:tc>
          <w:tcPr>
            <w:tcW w:w="5610" w:type="dxa"/>
            <w:tcBorders>
              <w:top w:val="nil"/>
              <w:left w:val="nil"/>
              <w:bottom w:val="nil"/>
              <w:right w:val="nil"/>
            </w:tcBorders>
            <w:tcMar>
              <w:top w:w="0" w:type="dxa"/>
              <w:left w:w="62" w:type="dxa"/>
              <w:bottom w:w="0" w:type="dxa"/>
              <w:right w:w="62" w:type="dxa"/>
            </w:tcMar>
          </w:tcPr>
          <w:p w:rsidR="00000000" w:rsidP="004536F0">
            <w:pPr>
              <w:pStyle w:val="BodyText"/>
              <w:rPr>
                <w:lang w:val="en-NZ"/>
              </w:rPr>
            </w:pPr>
            <w:r w:rsidRPr="004536F0">
              <w:t xml:space="preserve">Evaluate whether the operating environment will impact </w:t>
            </w:r>
            <w:r w:rsidRPr="004536F0">
              <w:t>on the instrument performance</w:t>
            </w:r>
          </w:p>
        </w:tc>
      </w:tr>
      <w:tr w:rsidTr="004536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36F0">
            <w:pPr>
              <w:pStyle w:val="BodyText"/>
              <w:rPr>
                <w:lang w:val="en-NZ"/>
              </w:rPr>
            </w:pPr>
            <w:r w:rsidRPr="004536F0">
              <w:t>3.2</w:t>
            </w:r>
          </w:p>
        </w:tc>
        <w:tc>
          <w:tcPr>
            <w:tcW w:w="5610" w:type="dxa"/>
            <w:tcBorders>
              <w:top w:val="nil"/>
              <w:left w:val="nil"/>
              <w:bottom w:val="nil"/>
              <w:right w:val="nil"/>
            </w:tcBorders>
            <w:tcMar>
              <w:top w:w="0" w:type="dxa"/>
              <w:left w:w="62" w:type="dxa"/>
              <w:bottom w:w="0" w:type="dxa"/>
              <w:right w:w="62" w:type="dxa"/>
            </w:tcMar>
          </w:tcPr>
          <w:p w:rsidR="00000000" w:rsidP="004536F0">
            <w:pPr>
              <w:pStyle w:val="BodyText"/>
              <w:rPr>
                <w:lang w:val="en-NZ"/>
              </w:rPr>
            </w:pPr>
            <w:r w:rsidRPr="004536F0">
              <w:t>Modify the operating environment or implement alternative arrangements to ensure reliable test conditions as necessary</w:t>
            </w:r>
          </w:p>
        </w:tc>
      </w:tr>
      <w:tr w:rsidTr="004536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36F0">
            <w:pPr>
              <w:pStyle w:val="BodyText"/>
              <w:rPr>
                <w:lang w:val="en-NZ"/>
              </w:rPr>
            </w:pPr>
            <w:r w:rsidRPr="004536F0">
              <w:t>3.3</w:t>
            </w:r>
          </w:p>
        </w:tc>
        <w:tc>
          <w:tcPr>
            <w:tcW w:w="5610" w:type="dxa"/>
            <w:tcBorders>
              <w:top w:val="nil"/>
              <w:left w:val="nil"/>
              <w:bottom w:val="nil"/>
              <w:right w:val="nil"/>
            </w:tcBorders>
            <w:tcMar>
              <w:top w:w="0" w:type="dxa"/>
              <w:left w:w="62" w:type="dxa"/>
              <w:bottom w:w="0" w:type="dxa"/>
              <w:right w:w="62" w:type="dxa"/>
            </w:tcMar>
          </w:tcPr>
          <w:p w:rsidR="00000000" w:rsidP="004536F0">
            <w:pPr>
              <w:pStyle w:val="BodyText"/>
              <w:rPr>
                <w:lang w:val="en-NZ"/>
              </w:rPr>
            </w:pPr>
            <w:r w:rsidRPr="004536F0">
              <w:t>Identify the maximum permissible errors for the instrument from the legislative requirements</w:t>
            </w:r>
          </w:p>
        </w:tc>
      </w:tr>
      <w:tr w:rsidTr="004536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36F0">
            <w:pPr>
              <w:pStyle w:val="BodyText"/>
              <w:rPr>
                <w:lang w:val="en-NZ"/>
              </w:rPr>
            </w:pPr>
            <w:r w:rsidRPr="004536F0">
              <w:t>3.4</w:t>
            </w:r>
          </w:p>
        </w:tc>
        <w:tc>
          <w:tcPr>
            <w:tcW w:w="5610" w:type="dxa"/>
            <w:tcBorders>
              <w:top w:val="nil"/>
              <w:left w:val="nil"/>
              <w:bottom w:val="nil"/>
              <w:right w:val="nil"/>
            </w:tcBorders>
            <w:tcMar>
              <w:top w:w="0" w:type="dxa"/>
              <w:left w:w="62" w:type="dxa"/>
              <w:bottom w:w="0" w:type="dxa"/>
              <w:right w:w="62" w:type="dxa"/>
            </w:tcMar>
          </w:tcPr>
          <w:p w:rsidR="00000000" w:rsidP="004536F0">
            <w:pPr>
              <w:pStyle w:val="BodyText"/>
              <w:rPr>
                <w:lang w:val="en-NZ"/>
              </w:rPr>
            </w:pPr>
            <w:r w:rsidRPr="004536F0">
              <w:t>Use test equipment safely in accordance with applicable legislation and organisational procedures</w:t>
            </w:r>
          </w:p>
        </w:tc>
      </w:tr>
      <w:tr w:rsidTr="004536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36F0">
            <w:pPr>
              <w:pStyle w:val="BodyText"/>
              <w:rPr>
                <w:lang w:val="en-NZ"/>
              </w:rPr>
            </w:pPr>
            <w:r w:rsidRPr="004536F0">
              <w:t>3.5</w:t>
            </w:r>
          </w:p>
        </w:tc>
        <w:tc>
          <w:tcPr>
            <w:tcW w:w="5610" w:type="dxa"/>
            <w:tcBorders>
              <w:top w:val="nil"/>
              <w:left w:val="nil"/>
              <w:bottom w:val="nil"/>
              <w:right w:val="nil"/>
            </w:tcBorders>
            <w:tcMar>
              <w:top w:w="0" w:type="dxa"/>
              <w:left w:w="62" w:type="dxa"/>
              <w:bottom w:w="0" w:type="dxa"/>
              <w:right w:w="62" w:type="dxa"/>
            </w:tcMar>
          </w:tcPr>
          <w:p w:rsidR="00000000" w:rsidP="004536F0">
            <w:pPr>
              <w:pStyle w:val="BodyText"/>
              <w:rPr>
                <w:lang w:val="en-NZ"/>
              </w:rPr>
            </w:pPr>
            <w:r w:rsidRPr="004536F0">
              <w:t>Check instrument for compliance with the appropriate Certificates of Approval</w:t>
            </w:r>
          </w:p>
        </w:tc>
      </w:tr>
      <w:tr w:rsidTr="004536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36F0">
            <w:pPr>
              <w:pStyle w:val="BodyText"/>
              <w:rPr>
                <w:lang w:val="en-NZ"/>
              </w:rPr>
            </w:pPr>
            <w:r w:rsidRPr="004536F0">
              <w:t>3.6</w:t>
            </w:r>
          </w:p>
        </w:tc>
        <w:tc>
          <w:tcPr>
            <w:tcW w:w="5610" w:type="dxa"/>
            <w:tcBorders>
              <w:top w:val="nil"/>
              <w:left w:val="nil"/>
              <w:bottom w:val="nil"/>
              <w:right w:val="nil"/>
            </w:tcBorders>
            <w:tcMar>
              <w:top w:w="0" w:type="dxa"/>
              <w:left w:w="62" w:type="dxa"/>
              <w:bottom w:w="0" w:type="dxa"/>
              <w:right w:w="62" w:type="dxa"/>
            </w:tcMar>
          </w:tcPr>
          <w:p w:rsidR="00000000" w:rsidP="004536F0">
            <w:pPr>
              <w:pStyle w:val="BodyText"/>
              <w:rPr>
                <w:lang w:val="en-NZ"/>
              </w:rPr>
            </w:pPr>
            <w:r w:rsidRPr="004536F0">
              <w:t xml:space="preserve">Inspect the instrument in accordance with relevant National Instrument Test Procedures and appropriate National Measurement Institute (NMI) policy </w:t>
            </w:r>
          </w:p>
        </w:tc>
      </w:tr>
      <w:tr w:rsidTr="004536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36F0">
            <w:pPr>
              <w:pStyle w:val="BodyText"/>
              <w:rPr>
                <w:lang w:val="en-NZ"/>
              </w:rPr>
            </w:pPr>
            <w:r w:rsidRPr="004536F0">
              <w:t>3.7</w:t>
            </w:r>
          </w:p>
        </w:tc>
        <w:tc>
          <w:tcPr>
            <w:tcW w:w="5610" w:type="dxa"/>
            <w:tcBorders>
              <w:top w:val="nil"/>
              <w:left w:val="nil"/>
              <w:bottom w:val="nil"/>
              <w:right w:val="nil"/>
            </w:tcBorders>
            <w:tcMar>
              <w:top w:w="0" w:type="dxa"/>
              <w:left w:w="62" w:type="dxa"/>
              <w:bottom w:w="0" w:type="dxa"/>
              <w:right w:w="62" w:type="dxa"/>
            </w:tcMar>
          </w:tcPr>
          <w:p w:rsidR="00000000" w:rsidRPr="004536F0" w:rsidP="004536F0">
            <w:pPr>
              <w:pStyle w:val="BodyText"/>
            </w:pPr>
            <w:r w:rsidRPr="004536F0">
              <w:t>Evaluate results</w:t>
            </w:r>
            <w:r w:rsidRPr="004536F0">
              <w:t xml:space="preserve"> against prescribed performance criteria and determine if the instrument is suitable for trade use in accordance with legislative requirements</w:t>
            </w:r>
          </w:p>
        </w:tc>
      </w:tr>
    </w:tbl>
    <w:p w:rsidR="00000000" w:rsidRPr="004536F0" w:rsidP="004536F0">
      <w:pPr>
        <w:pStyle w:val="BodyText"/>
      </w:pPr>
    </w:p>
    <w:tbl>
      <w:tblPr>
        <w:tblW w:w="0" w:type="auto"/>
        <w:tblLayout w:type="fixed"/>
        <w:tblCellMar>
          <w:left w:w="62" w:type="dxa"/>
          <w:right w:w="62" w:type="dxa"/>
        </w:tblCellMar>
        <w:tblLook w:val="0000"/>
      </w:tblPr>
      <w:tblGrid>
        <w:gridCol w:w="678"/>
        <w:gridCol w:w="1962"/>
        <w:gridCol w:w="770"/>
        <w:gridCol w:w="5610"/>
      </w:tblGrid>
      <w:tr w:rsidTr="004536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536F0">
            <w:pPr>
              <w:pStyle w:val="BodyText"/>
              <w:rPr>
                <w:lang w:val="en-NZ"/>
              </w:rPr>
            </w:pPr>
            <w:r w:rsidRPr="004536F0">
              <w:t>4</w:t>
            </w:r>
          </w:p>
        </w:tc>
        <w:tc>
          <w:tcPr>
            <w:tcW w:w="1962" w:type="dxa"/>
            <w:vMerge w:val="restart"/>
            <w:tcBorders>
              <w:top w:val="nil"/>
              <w:left w:val="nil"/>
              <w:bottom w:val="nil"/>
              <w:right w:val="nil"/>
            </w:tcBorders>
            <w:tcMar>
              <w:top w:w="0" w:type="dxa"/>
              <w:left w:w="62" w:type="dxa"/>
              <w:bottom w:w="0" w:type="dxa"/>
              <w:right w:w="62" w:type="dxa"/>
            </w:tcMar>
          </w:tcPr>
          <w:p w:rsidR="00000000" w:rsidP="004536F0">
            <w:pPr>
              <w:pStyle w:val="BodyText"/>
              <w:rPr>
                <w:lang w:val="en-NZ"/>
              </w:rPr>
            </w:pPr>
            <w:r w:rsidRPr="004536F0">
              <w:t>Conduct a verifier instrument audit</w:t>
            </w:r>
          </w:p>
        </w:tc>
        <w:tc>
          <w:tcPr>
            <w:tcW w:w="770" w:type="dxa"/>
            <w:tcBorders>
              <w:top w:val="nil"/>
              <w:left w:val="nil"/>
              <w:bottom w:val="nil"/>
              <w:right w:val="nil"/>
            </w:tcBorders>
            <w:tcMar>
              <w:top w:w="0" w:type="dxa"/>
              <w:left w:w="62" w:type="dxa"/>
              <w:bottom w:w="0" w:type="dxa"/>
              <w:right w:w="62" w:type="dxa"/>
            </w:tcMar>
          </w:tcPr>
          <w:p w:rsidR="00000000" w:rsidP="004536F0">
            <w:pPr>
              <w:pStyle w:val="BodyText"/>
              <w:rPr>
                <w:lang w:val="en-NZ"/>
              </w:rPr>
            </w:pPr>
            <w:r w:rsidRPr="004536F0">
              <w:t>4.1</w:t>
            </w:r>
          </w:p>
        </w:tc>
        <w:tc>
          <w:tcPr>
            <w:tcW w:w="5610" w:type="dxa"/>
            <w:tcBorders>
              <w:top w:val="nil"/>
              <w:left w:val="nil"/>
              <w:bottom w:val="nil"/>
              <w:right w:val="nil"/>
            </w:tcBorders>
            <w:tcMar>
              <w:top w:w="0" w:type="dxa"/>
              <w:left w:w="62" w:type="dxa"/>
              <w:bottom w:w="0" w:type="dxa"/>
              <w:right w:w="62" w:type="dxa"/>
            </w:tcMar>
          </w:tcPr>
          <w:p w:rsidR="00000000" w:rsidP="004536F0">
            <w:pPr>
              <w:pStyle w:val="BodyText"/>
              <w:rPr>
                <w:lang w:val="en-NZ"/>
              </w:rPr>
            </w:pPr>
            <w:r w:rsidRPr="004536F0">
              <w:t>Identify the scope of the verifier instrument audit</w:t>
            </w:r>
          </w:p>
        </w:tc>
      </w:tr>
      <w:tr w:rsidTr="004536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36F0">
            <w:pPr>
              <w:pStyle w:val="BodyText"/>
              <w:rPr>
                <w:lang w:val="en-NZ"/>
              </w:rPr>
            </w:pPr>
            <w:r w:rsidRPr="004536F0">
              <w:t>4.2</w:t>
            </w:r>
          </w:p>
        </w:tc>
        <w:tc>
          <w:tcPr>
            <w:tcW w:w="5610" w:type="dxa"/>
            <w:tcBorders>
              <w:top w:val="nil"/>
              <w:left w:val="nil"/>
              <w:bottom w:val="nil"/>
              <w:right w:val="nil"/>
            </w:tcBorders>
            <w:tcMar>
              <w:top w:w="0" w:type="dxa"/>
              <w:left w:w="62" w:type="dxa"/>
              <w:bottom w:w="0" w:type="dxa"/>
              <w:right w:w="62" w:type="dxa"/>
            </w:tcMar>
          </w:tcPr>
          <w:p w:rsidR="00000000" w:rsidP="004536F0">
            <w:pPr>
              <w:pStyle w:val="BodyText"/>
              <w:rPr>
                <w:lang w:val="en-NZ"/>
              </w:rPr>
            </w:pPr>
            <w:r w:rsidRPr="004536F0">
              <w:t>Identify the expected outcomes of the verifier instrument audit</w:t>
            </w:r>
          </w:p>
        </w:tc>
      </w:tr>
      <w:tr w:rsidTr="004536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36F0">
            <w:pPr>
              <w:pStyle w:val="BodyText"/>
              <w:rPr>
                <w:lang w:val="en-NZ"/>
              </w:rPr>
            </w:pPr>
            <w:r w:rsidRPr="004536F0">
              <w:t>4.3</w:t>
            </w:r>
          </w:p>
        </w:tc>
        <w:tc>
          <w:tcPr>
            <w:tcW w:w="5610" w:type="dxa"/>
            <w:tcBorders>
              <w:top w:val="nil"/>
              <w:left w:val="nil"/>
              <w:bottom w:val="nil"/>
              <w:right w:val="nil"/>
            </w:tcBorders>
            <w:tcMar>
              <w:top w:w="0" w:type="dxa"/>
              <w:left w:w="62" w:type="dxa"/>
              <w:bottom w:w="0" w:type="dxa"/>
              <w:right w:w="62" w:type="dxa"/>
            </w:tcMar>
          </w:tcPr>
          <w:p w:rsidR="00000000" w:rsidP="004536F0">
            <w:pPr>
              <w:pStyle w:val="BodyText"/>
              <w:rPr>
                <w:lang w:val="en-NZ"/>
              </w:rPr>
            </w:pPr>
            <w:r w:rsidRPr="004536F0">
              <w:t>Assess the verifier</w:t>
            </w:r>
            <w:r>
              <w:t>’</w:t>
            </w:r>
            <w:r w:rsidRPr="004536F0">
              <w:t>s performance against the expected outcome</w:t>
            </w:r>
          </w:p>
        </w:tc>
      </w:tr>
      <w:tr w:rsidTr="004536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36F0">
            <w:pPr>
              <w:pStyle w:val="BodyText"/>
              <w:rPr>
                <w:lang w:val="en-NZ"/>
              </w:rPr>
            </w:pPr>
            <w:r w:rsidRPr="004536F0">
              <w:t>4.4</w:t>
            </w:r>
          </w:p>
        </w:tc>
        <w:tc>
          <w:tcPr>
            <w:tcW w:w="5610" w:type="dxa"/>
            <w:tcBorders>
              <w:top w:val="nil"/>
              <w:left w:val="nil"/>
              <w:bottom w:val="nil"/>
              <w:right w:val="nil"/>
            </w:tcBorders>
            <w:tcMar>
              <w:top w:w="0" w:type="dxa"/>
              <w:left w:w="62" w:type="dxa"/>
              <w:bottom w:w="0" w:type="dxa"/>
              <w:right w:w="62" w:type="dxa"/>
            </w:tcMar>
          </w:tcPr>
          <w:p w:rsidR="00000000" w:rsidP="004536F0">
            <w:pPr>
              <w:pStyle w:val="BodyText"/>
              <w:rPr>
                <w:lang w:val="en-NZ"/>
              </w:rPr>
            </w:pPr>
            <w:r w:rsidRPr="004536F0">
              <w:t>Check that the verification mark complies with legislation</w:t>
            </w:r>
          </w:p>
        </w:tc>
      </w:tr>
      <w:tr w:rsidTr="004536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36F0">
            <w:pPr>
              <w:pStyle w:val="BodyText"/>
              <w:rPr>
                <w:lang w:val="en-NZ"/>
              </w:rPr>
            </w:pPr>
            <w:r w:rsidRPr="004536F0">
              <w:t>4.5</w:t>
            </w:r>
          </w:p>
        </w:tc>
        <w:tc>
          <w:tcPr>
            <w:tcW w:w="5610" w:type="dxa"/>
            <w:tcBorders>
              <w:top w:val="nil"/>
              <w:left w:val="nil"/>
              <w:bottom w:val="nil"/>
              <w:right w:val="nil"/>
            </w:tcBorders>
            <w:tcMar>
              <w:top w:w="0" w:type="dxa"/>
              <w:left w:w="62" w:type="dxa"/>
              <w:bottom w:w="0" w:type="dxa"/>
              <w:right w:w="62" w:type="dxa"/>
            </w:tcMar>
          </w:tcPr>
          <w:p w:rsidR="00000000" w:rsidRPr="004536F0" w:rsidP="004536F0">
            <w:pPr>
              <w:pStyle w:val="BodyText"/>
            </w:pPr>
            <w:r w:rsidRPr="004536F0">
              <w:t>Analyse any variances from the ex</w:t>
            </w:r>
            <w:r w:rsidRPr="004536F0">
              <w:t>pected outcomes to identify isolated or systemic problems</w:t>
            </w:r>
          </w:p>
        </w:tc>
      </w:tr>
    </w:tbl>
    <w:p w:rsidR="00000000" w:rsidRPr="004536F0" w:rsidP="004536F0">
      <w:pPr>
        <w:pStyle w:val="BodyText"/>
      </w:pPr>
    </w:p>
    <w:tbl>
      <w:tblPr>
        <w:tblW w:w="0" w:type="auto"/>
        <w:tblLayout w:type="fixed"/>
        <w:tblCellMar>
          <w:left w:w="62" w:type="dxa"/>
          <w:right w:w="62" w:type="dxa"/>
        </w:tblCellMar>
        <w:tblLook w:val="0000"/>
      </w:tblPr>
      <w:tblGrid>
        <w:gridCol w:w="678"/>
        <w:gridCol w:w="1962"/>
        <w:gridCol w:w="770"/>
        <w:gridCol w:w="5610"/>
      </w:tblGrid>
      <w:tr w:rsidTr="004536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536F0">
            <w:pPr>
              <w:pStyle w:val="BodyText"/>
              <w:rPr>
                <w:lang w:val="en-NZ"/>
              </w:rPr>
            </w:pPr>
            <w:r w:rsidRPr="004536F0">
              <w:t>5</w:t>
            </w:r>
          </w:p>
        </w:tc>
        <w:tc>
          <w:tcPr>
            <w:tcW w:w="1962" w:type="dxa"/>
            <w:vMerge w:val="restart"/>
            <w:tcBorders>
              <w:top w:val="nil"/>
              <w:left w:val="nil"/>
              <w:bottom w:val="nil"/>
              <w:right w:val="nil"/>
            </w:tcBorders>
            <w:tcMar>
              <w:top w:w="0" w:type="dxa"/>
              <w:left w:w="62" w:type="dxa"/>
              <w:bottom w:w="0" w:type="dxa"/>
              <w:right w:w="62" w:type="dxa"/>
            </w:tcMar>
          </w:tcPr>
          <w:p w:rsidR="00000000" w:rsidP="004536F0">
            <w:pPr>
              <w:pStyle w:val="BodyText"/>
              <w:rPr>
                <w:lang w:val="en-NZ"/>
              </w:rPr>
            </w:pPr>
            <w:r w:rsidRPr="004536F0">
              <w:t>Analyse and report inspection results</w:t>
            </w:r>
          </w:p>
        </w:tc>
        <w:tc>
          <w:tcPr>
            <w:tcW w:w="770" w:type="dxa"/>
            <w:tcBorders>
              <w:top w:val="nil"/>
              <w:left w:val="nil"/>
              <w:bottom w:val="nil"/>
              <w:right w:val="nil"/>
            </w:tcBorders>
            <w:tcMar>
              <w:top w:w="0" w:type="dxa"/>
              <w:left w:w="62" w:type="dxa"/>
              <w:bottom w:w="0" w:type="dxa"/>
              <w:right w:w="62" w:type="dxa"/>
            </w:tcMar>
          </w:tcPr>
          <w:p w:rsidR="00000000" w:rsidP="004536F0">
            <w:pPr>
              <w:pStyle w:val="BodyText"/>
              <w:rPr>
                <w:lang w:val="en-NZ"/>
              </w:rPr>
            </w:pPr>
            <w:r w:rsidRPr="004536F0">
              <w:t>5.1</w:t>
            </w:r>
          </w:p>
        </w:tc>
        <w:tc>
          <w:tcPr>
            <w:tcW w:w="5610" w:type="dxa"/>
            <w:tcBorders>
              <w:top w:val="nil"/>
              <w:left w:val="nil"/>
              <w:bottom w:val="nil"/>
              <w:right w:val="nil"/>
            </w:tcBorders>
            <w:tcMar>
              <w:top w:w="0" w:type="dxa"/>
              <w:left w:w="62" w:type="dxa"/>
              <w:bottom w:w="0" w:type="dxa"/>
              <w:right w:w="62" w:type="dxa"/>
            </w:tcMar>
          </w:tcPr>
          <w:p w:rsidR="00000000" w:rsidP="004536F0">
            <w:pPr>
              <w:pStyle w:val="BodyText"/>
              <w:rPr>
                <w:lang w:val="en-NZ"/>
              </w:rPr>
            </w:pPr>
            <w:r w:rsidRPr="004536F0">
              <w:t>Analyse inspection data for unacceptable performance trends</w:t>
            </w:r>
          </w:p>
        </w:tc>
      </w:tr>
      <w:tr w:rsidTr="004536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36F0">
            <w:pPr>
              <w:pStyle w:val="BodyText"/>
              <w:rPr>
                <w:lang w:val="en-NZ"/>
              </w:rPr>
            </w:pPr>
            <w:r w:rsidRPr="004536F0">
              <w:t>5.2</w:t>
            </w:r>
          </w:p>
        </w:tc>
        <w:tc>
          <w:tcPr>
            <w:tcW w:w="5610" w:type="dxa"/>
            <w:tcBorders>
              <w:top w:val="nil"/>
              <w:left w:val="nil"/>
              <w:bottom w:val="nil"/>
              <w:right w:val="nil"/>
            </w:tcBorders>
            <w:tcMar>
              <w:top w:w="0" w:type="dxa"/>
              <w:left w:w="62" w:type="dxa"/>
              <w:bottom w:w="0" w:type="dxa"/>
              <w:right w:w="62" w:type="dxa"/>
            </w:tcMar>
          </w:tcPr>
          <w:p w:rsidR="00000000" w:rsidP="004536F0">
            <w:pPr>
              <w:pStyle w:val="BodyText"/>
              <w:rPr>
                <w:lang w:val="en-NZ"/>
              </w:rPr>
            </w:pPr>
            <w:r w:rsidRPr="004536F0">
              <w:t>If required, display the inspection result on the instrument in accordance with legis</w:t>
            </w:r>
            <w:r w:rsidRPr="004536F0">
              <w:t xml:space="preserve">lative requirements </w:t>
            </w:r>
          </w:p>
        </w:tc>
      </w:tr>
      <w:tr w:rsidTr="004536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36F0">
            <w:pPr>
              <w:pStyle w:val="BodyText"/>
              <w:rPr>
                <w:lang w:val="en-NZ"/>
              </w:rPr>
            </w:pPr>
            <w:r w:rsidRPr="004536F0">
              <w:t>5.3</w:t>
            </w:r>
          </w:p>
        </w:tc>
        <w:tc>
          <w:tcPr>
            <w:tcW w:w="5610" w:type="dxa"/>
            <w:tcBorders>
              <w:top w:val="nil"/>
              <w:left w:val="nil"/>
              <w:bottom w:val="nil"/>
              <w:right w:val="nil"/>
            </w:tcBorders>
            <w:tcMar>
              <w:top w:w="0" w:type="dxa"/>
              <w:left w:w="62" w:type="dxa"/>
              <w:bottom w:w="0" w:type="dxa"/>
              <w:right w:w="62" w:type="dxa"/>
            </w:tcMar>
          </w:tcPr>
          <w:p w:rsidR="00000000" w:rsidP="004536F0">
            <w:pPr>
              <w:pStyle w:val="BodyText"/>
              <w:rPr>
                <w:lang w:val="en-NZ"/>
              </w:rPr>
            </w:pPr>
            <w:r w:rsidRPr="004536F0">
              <w:t>Use test reports to present inspection results in the required format</w:t>
            </w:r>
          </w:p>
        </w:tc>
      </w:tr>
      <w:tr w:rsidTr="004536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36F0">
            <w:pPr>
              <w:pStyle w:val="BodyText"/>
              <w:rPr>
                <w:lang w:val="en-NZ"/>
              </w:rPr>
            </w:pPr>
            <w:r w:rsidRPr="004536F0">
              <w:t>5.4</w:t>
            </w:r>
          </w:p>
        </w:tc>
        <w:tc>
          <w:tcPr>
            <w:tcW w:w="5610" w:type="dxa"/>
            <w:tcBorders>
              <w:top w:val="nil"/>
              <w:left w:val="nil"/>
              <w:bottom w:val="nil"/>
              <w:right w:val="nil"/>
            </w:tcBorders>
            <w:tcMar>
              <w:top w:w="0" w:type="dxa"/>
              <w:left w:w="62" w:type="dxa"/>
              <w:bottom w:w="0" w:type="dxa"/>
              <w:right w:w="62" w:type="dxa"/>
            </w:tcMar>
          </w:tcPr>
          <w:p w:rsidR="00000000" w:rsidP="004536F0">
            <w:pPr>
              <w:pStyle w:val="BodyText"/>
              <w:rPr>
                <w:lang w:val="en-NZ"/>
              </w:rPr>
            </w:pPr>
            <w:r w:rsidRPr="004536F0">
              <w:t>Complete inspection documentation in accordance with legislative requirements and organisational procedures</w:t>
            </w:r>
          </w:p>
        </w:tc>
      </w:tr>
      <w:tr w:rsidTr="004536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36F0">
            <w:pPr>
              <w:pStyle w:val="BodyText"/>
              <w:rPr>
                <w:lang w:val="en-NZ"/>
              </w:rPr>
            </w:pPr>
            <w:r w:rsidRPr="004536F0">
              <w:t>5.5</w:t>
            </w:r>
          </w:p>
        </w:tc>
        <w:tc>
          <w:tcPr>
            <w:tcW w:w="5610" w:type="dxa"/>
            <w:tcBorders>
              <w:top w:val="nil"/>
              <w:left w:val="nil"/>
              <w:bottom w:val="nil"/>
              <w:right w:val="nil"/>
            </w:tcBorders>
            <w:tcMar>
              <w:top w:w="0" w:type="dxa"/>
              <w:left w:w="62" w:type="dxa"/>
              <w:bottom w:w="0" w:type="dxa"/>
              <w:right w:w="62" w:type="dxa"/>
            </w:tcMar>
          </w:tcPr>
          <w:p w:rsidR="00000000" w:rsidP="004536F0">
            <w:pPr>
              <w:pStyle w:val="BodyText"/>
              <w:rPr>
                <w:lang w:val="en-NZ"/>
              </w:rPr>
            </w:pPr>
            <w:r w:rsidRPr="004536F0">
              <w:t>Communicate inspection results within the specified time and in accordance with organisational guidelines</w:t>
            </w:r>
          </w:p>
        </w:tc>
      </w:tr>
      <w:tr w:rsidTr="004536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36F0">
            <w:pPr>
              <w:pStyle w:val="BodyText"/>
              <w:rPr>
                <w:lang w:val="en-NZ"/>
              </w:rPr>
            </w:pPr>
            <w:r w:rsidRPr="004536F0">
              <w:t>5.6</w:t>
            </w:r>
          </w:p>
        </w:tc>
        <w:tc>
          <w:tcPr>
            <w:tcW w:w="5610" w:type="dxa"/>
            <w:tcBorders>
              <w:top w:val="nil"/>
              <w:left w:val="nil"/>
              <w:bottom w:val="nil"/>
              <w:right w:val="nil"/>
            </w:tcBorders>
            <w:tcMar>
              <w:top w:w="0" w:type="dxa"/>
              <w:left w:w="62" w:type="dxa"/>
              <w:bottom w:w="0" w:type="dxa"/>
              <w:right w:w="62" w:type="dxa"/>
            </w:tcMar>
          </w:tcPr>
          <w:p w:rsidR="00000000" w:rsidRPr="004536F0" w:rsidP="004536F0">
            <w:pPr>
              <w:pStyle w:val="BodyText"/>
            </w:pPr>
            <w:r w:rsidRPr="004536F0">
              <w:t>Recommend follow-up actions as appropriate</w:t>
            </w:r>
          </w:p>
        </w:tc>
      </w:tr>
    </w:tbl>
    <w:p w:rsidR="00000000" w:rsidRPr="004536F0" w:rsidP="004536F0">
      <w:pPr>
        <w:pStyle w:val="BodyText"/>
      </w:pPr>
    </w:p>
    <w:tbl>
      <w:tblPr>
        <w:tblW w:w="0" w:type="auto"/>
        <w:tblLayout w:type="fixed"/>
        <w:tblCellMar>
          <w:left w:w="62" w:type="dxa"/>
          <w:right w:w="62" w:type="dxa"/>
        </w:tblCellMar>
        <w:tblLook w:val="0000"/>
      </w:tblPr>
      <w:tblGrid>
        <w:gridCol w:w="678"/>
        <w:gridCol w:w="1962"/>
        <w:gridCol w:w="770"/>
        <w:gridCol w:w="5610"/>
      </w:tblGrid>
      <w:tr w:rsidTr="004536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536F0">
            <w:pPr>
              <w:pStyle w:val="BodyText"/>
              <w:rPr>
                <w:lang w:val="en-NZ"/>
              </w:rPr>
            </w:pPr>
            <w:r w:rsidRPr="004536F0">
              <w:t>6</w:t>
            </w:r>
          </w:p>
        </w:tc>
        <w:tc>
          <w:tcPr>
            <w:tcW w:w="1962" w:type="dxa"/>
            <w:vMerge w:val="restart"/>
            <w:tcBorders>
              <w:top w:val="nil"/>
              <w:left w:val="nil"/>
              <w:bottom w:val="nil"/>
              <w:right w:val="nil"/>
            </w:tcBorders>
            <w:tcMar>
              <w:top w:w="0" w:type="dxa"/>
              <w:left w:w="62" w:type="dxa"/>
              <w:bottom w:w="0" w:type="dxa"/>
              <w:right w:w="62" w:type="dxa"/>
            </w:tcMar>
          </w:tcPr>
          <w:p w:rsidR="00000000" w:rsidP="004536F0">
            <w:pPr>
              <w:pStyle w:val="BodyText"/>
              <w:rPr>
                <w:lang w:val="en-NZ"/>
              </w:rPr>
            </w:pPr>
            <w:r w:rsidRPr="004536F0">
              <w:t>Act on non-compliance</w:t>
            </w:r>
          </w:p>
        </w:tc>
        <w:tc>
          <w:tcPr>
            <w:tcW w:w="770" w:type="dxa"/>
            <w:tcBorders>
              <w:top w:val="nil"/>
              <w:left w:val="nil"/>
              <w:bottom w:val="nil"/>
              <w:right w:val="nil"/>
            </w:tcBorders>
            <w:tcMar>
              <w:top w:w="0" w:type="dxa"/>
              <w:left w:w="62" w:type="dxa"/>
              <w:bottom w:w="0" w:type="dxa"/>
              <w:right w:w="62" w:type="dxa"/>
            </w:tcMar>
          </w:tcPr>
          <w:p w:rsidR="00000000" w:rsidP="004536F0">
            <w:pPr>
              <w:pStyle w:val="BodyText"/>
              <w:rPr>
                <w:lang w:val="en-NZ"/>
              </w:rPr>
            </w:pPr>
            <w:r w:rsidRPr="004536F0">
              <w:t>6.1</w:t>
            </w:r>
          </w:p>
        </w:tc>
        <w:tc>
          <w:tcPr>
            <w:tcW w:w="5610" w:type="dxa"/>
            <w:tcBorders>
              <w:top w:val="nil"/>
              <w:left w:val="nil"/>
              <w:bottom w:val="nil"/>
              <w:right w:val="nil"/>
            </w:tcBorders>
            <w:tcMar>
              <w:top w:w="0" w:type="dxa"/>
              <w:left w:w="62" w:type="dxa"/>
              <w:bottom w:w="0" w:type="dxa"/>
              <w:right w:w="62" w:type="dxa"/>
            </w:tcMar>
          </w:tcPr>
          <w:p w:rsidR="00000000" w:rsidP="004536F0">
            <w:pPr>
              <w:pStyle w:val="BodyText"/>
              <w:rPr>
                <w:lang w:val="en-NZ"/>
              </w:rPr>
            </w:pPr>
            <w:r w:rsidRPr="004536F0">
              <w:t xml:space="preserve">Select applicable enforcement action for the non-compliance in accordance with legislative requirements and organisational policy and procedures </w:t>
            </w:r>
          </w:p>
        </w:tc>
      </w:tr>
      <w:tr w:rsidTr="004536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36F0">
            <w:pPr>
              <w:pStyle w:val="BodyText"/>
              <w:rPr>
                <w:lang w:val="en-NZ"/>
              </w:rPr>
            </w:pPr>
            <w:r w:rsidRPr="004536F0">
              <w:t>6.2</w:t>
            </w:r>
          </w:p>
        </w:tc>
        <w:tc>
          <w:tcPr>
            <w:tcW w:w="5610" w:type="dxa"/>
            <w:tcBorders>
              <w:top w:val="nil"/>
              <w:left w:val="nil"/>
              <w:bottom w:val="nil"/>
              <w:right w:val="nil"/>
            </w:tcBorders>
            <w:tcMar>
              <w:top w:w="0" w:type="dxa"/>
              <w:left w:w="62" w:type="dxa"/>
              <w:bottom w:w="0" w:type="dxa"/>
              <w:right w:w="62" w:type="dxa"/>
            </w:tcMar>
          </w:tcPr>
          <w:p w:rsidR="00000000" w:rsidP="004536F0">
            <w:pPr>
              <w:pStyle w:val="BodyText"/>
              <w:rPr>
                <w:lang w:val="en-NZ"/>
              </w:rPr>
            </w:pPr>
            <w:r w:rsidRPr="004536F0">
              <w:t xml:space="preserve">Inform traders of non-compliances and consequences of failing to have them corrected </w:t>
            </w:r>
          </w:p>
        </w:tc>
      </w:tr>
      <w:tr w:rsidTr="004536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36F0">
            <w:pPr>
              <w:pStyle w:val="BodyText"/>
              <w:rPr>
                <w:lang w:val="en-NZ"/>
              </w:rPr>
            </w:pPr>
            <w:r w:rsidRPr="004536F0">
              <w:t>6.3</w:t>
            </w:r>
          </w:p>
        </w:tc>
        <w:tc>
          <w:tcPr>
            <w:tcW w:w="5610" w:type="dxa"/>
            <w:tcBorders>
              <w:top w:val="nil"/>
              <w:left w:val="nil"/>
              <w:bottom w:val="nil"/>
              <w:right w:val="nil"/>
            </w:tcBorders>
            <w:tcMar>
              <w:top w:w="0" w:type="dxa"/>
              <w:left w:w="62" w:type="dxa"/>
              <w:bottom w:w="0" w:type="dxa"/>
              <w:right w:w="62" w:type="dxa"/>
            </w:tcMar>
          </w:tcPr>
          <w:p w:rsidR="00000000" w:rsidP="004536F0">
            <w:pPr>
              <w:pStyle w:val="BodyText"/>
              <w:rPr>
                <w:lang w:val="en-NZ"/>
              </w:rPr>
            </w:pPr>
            <w:r w:rsidRPr="004536F0">
              <w:t xml:space="preserve">Implement </w:t>
            </w:r>
            <w:r w:rsidRPr="004536F0">
              <w:t>enforcement action in accordance with legislative requirements and organisational policy and procedures</w:t>
            </w:r>
          </w:p>
        </w:tc>
      </w:tr>
      <w:tr w:rsidTr="004536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36F0">
            <w:pPr>
              <w:pStyle w:val="BodyText"/>
              <w:rPr>
                <w:lang w:val="en-NZ"/>
              </w:rPr>
            </w:pPr>
            <w:r w:rsidRPr="004536F0">
              <w:t>6.4</w:t>
            </w:r>
          </w:p>
        </w:tc>
        <w:tc>
          <w:tcPr>
            <w:tcW w:w="5610" w:type="dxa"/>
            <w:tcBorders>
              <w:top w:val="nil"/>
              <w:left w:val="nil"/>
              <w:bottom w:val="nil"/>
              <w:right w:val="nil"/>
            </w:tcBorders>
            <w:tcMar>
              <w:top w:w="0" w:type="dxa"/>
              <w:left w:w="62" w:type="dxa"/>
              <w:bottom w:w="0" w:type="dxa"/>
              <w:right w:w="62" w:type="dxa"/>
            </w:tcMar>
          </w:tcPr>
          <w:p w:rsidR="00000000" w:rsidRPr="004536F0" w:rsidP="004536F0">
            <w:pPr>
              <w:pStyle w:val="BodyText"/>
            </w:pPr>
            <w:r w:rsidRPr="004536F0">
              <w:t>Respect the rights of the trader at all times</w:t>
            </w:r>
          </w:p>
        </w:tc>
      </w:tr>
    </w:tbl>
    <w:p w:rsidR="00000000" w:rsidRPr="004536F0" w:rsidP="004536F0">
      <w:pPr>
        <w:pStyle w:val="BodyText"/>
      </w:pPr>
    </w:p>
    <w:p w:rsidR="00000000" w:rsidRPr="004536F0" w:rsidP="004536F0">
      <w:pPr>
        <w:pStyle w:val="AllowPageBreak"/>
      </w:pPr>
    </w:p>
    <w:p w:rsidR="00000000" w:rsidRPr="004536F0" w:rsidP="004536F0">
      <w:pPr>
        <w:pStyle w:val="Heading1"/>
      </w:pPr>
      <w:bookmarkStart w:id="7" w:name="O_939474"/>
      <w:bookmarkEnd w:id="7"/>
      <w:r w:rsidRPr="004536F0">
        <w:t>Foundation Skills</w:t>
      </w:r>
    </w:p>
    <w:p w:rsidR="00000000" w:rsidRPr="004536F0" w:rsidP="000750DE">
      <w:pPr>
        <w:pStyle w:val="BodyText"/>
      </w:pPr>
      <w:r w:rsidRPr="004536F0">
        <w:t>This section describes those language, literacy, numeracy and employment skills that are essential to performance.</w:t>
      </w:r>
    </w:p>
    <w:p w:rsidR="00000000" w:rsidRPr="004536F0" w:rsidP="000750DE">
      <w:pPr>
        <w:pStyle w:val="BodyText"/>
      </w:pPr>
      <w:r w:rsidRPr="004536F0">
        <w:t>Foundation skills essential to performance are explicit in the performance criteria of this unit of competency.</w:t>
      </w:r>
    </w:p>
    <w:p w:rsidR="00000000" w:rsidRPr="004536F0" w:rsidP="004536F0">
      <w:pPr>
        <w:pStyle w:val="Heading1"/>
      </w:pPr>
      <w:bookmarkStart w:id="8" w:name="O_939473"/>
      <w:bookmarkEnd w:id="8"/>
      <w:r w:rsidRPr="004536F0">
        <w:t>Range of Co</w:t>
      </w:r>
      <w:r w:rsidRPr="004536F0">
        <w:t>nditions</w:t>
      </w:r>
    </w:p>
    <w:tbl>
      <w:tblPr>
        <w:tblW w:w="0" w:type="auto"/>
        <w:tblLayout w:type="fixed"/>
        <w:tblCellMar>
          <w:left w:w="62" w:type="dxa"/>
          <w:right w:w="62" w:type="dxa"/>
        </w:tblCellMar>
        <w:tblLook w:val="0000"/>
      </w:tblPr>
      <w:tblGrid>
        <w:gridCol w:w="2921"/>
        <w:gridCol w:w="6151"/>
      </w:tblGrid>
      <w:tr w:rsidTr="004536F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536F0">
            <w:pPr>
              <w:pStyle w:val="BodyText"/>
              <w:rPr>
                <w:lang w:val="en-NZ"/>
              </w:rPr>
            </w:pPr>
            <w:r w:rsidRPr="004536F0">
              <w:t>This field allows for different work environments and conditions that may affect performance. Essential operating conditions that may be present (depending on the work situation, needs of the candidate, accessibility of the item, and local industr</w:t>
            </w:r>
            <w:r w:rsidRPr="004536F0">
              <w:t>y and regional contexts) are included.</w:t>
            </w:r>
          </w:p>
        </w:tc>
      </w:tr>
      <w:tr w:rsidTr="004536F0">
        <w:tblPrEx>
          <w:tblW w:w="0" w:type="auto"/>
          <w:tblLayout w:type="fixed"/>
          <w:tblCellMar>
            <w:left w:w="62" w:type="dxa"/>
            <w:right w:w="62" w:type="dxa"/>
          </w:tblCellMar>
          <w:tblLook w:val="0000"/>
        </w:tblPrEx>
        <w:tc>
          <w:tcPr>
            <w:tcW w:w="2921" w:type="dxa"/>
            <w:tcBorders>
              <w:top w:val="nil"/>
              <w:left w:val="nil"/>
              <w:bottom w:val="nil"/>
              <w:right w:val="nil"/>
            </w:tcBorders>
            <w:tcMar>
              <w:top w:w="0" w:type="dxa"/>
              <w:left w:w="62" w:type="dxa"/>
              <w:bottom w:w="0" w:type="dxa"/>
              <w:right w:w="62" w:type="dxa"/>
            </w:tcMar>
          </w:tcPr>
          <w:p w:rsidR="00000000" w:rsidP="004536F0">
            <w:pPr>
              <w:pStyle w:val="BodyText"/>
              <w:rPr>
                <w:lang w:val="en-NZ"/>
              </w:rPr>
            </w:pPr>
            <w:r w:rsidRPr="004536F0">
              <w:rPr>
                <w:rStyle w:val="SpecialBold"/>
              </w:rPr>
              <w:t>National Instrument Test Procedures include one or more of:</w:t>
            </w:r>
          </w:p>
        </w:tc>
        <w:tc>
          <w:tcPr>
            <w:tcW w:w="6151" w:type="dxa"/>
            <w:tcBorders>
              <w:top w:val="nil"/>
              <w:left w:val="nil"/>
              <w:bottom w:val="nil"/>
              <w:right w:val="nil"/>
            </w:tcBorders>
            <w:tcMar>
              <w:top w:w="0" w:type="dxa"/>
              <w:left w:w="62" w:type="dxa"/>
              <w:bottom w:w="0" w:type="dxa"/>
              <w:right w:w="62" w:type="dxa"/>
            </w:tcMar>
          </w:tcPr>
          <w:p w:rsidR="00000000" w:rsidRPr="004536F0" w:rsidP="004536F0">
            <w:pPr>
              <w:pStyle w:val="ListBullet"/>
            </w:pPr>
            <w:r w:rsidRPr="004536F0">
              <w:t xml:space="preserve">measuring instrument test procedures </w:t>
            </w:r>
          </w:p>
          <w:p w:rsidR="00000000" w:rsidRPr="004536F0" w:rsidP="004536F0">
            <w:pPr>
              <w:pStyle w:val="ListBullet"/>
            </w:pPr>
            <w:r w:rsidRPr="004536F0">
              <w:t>any other test procedure prescribed by the NMI</w:t>
            </w:r>
          </w:p>
          <w:p w:rsidR="00000000" w:rsidP="004536F0">
            <w:pPr>
              <w:pStyle w:val="BodyText"/>
              <w:rPr>
                <w:lang w:val="en-NZ"/>
              </w:rPr>
            </w:pPr>
          </w:p>
        </w:tc>
      </w:tr>
      <w:tr w:rsidTr="004536F0">
        <w:tblPrEx>
          <w:tblW w:w="0" w:type="auto"/>
          <w:tblLayout w:type="fixed"/>
          <w:tblCellMar>
            <w:left w:w="62" w:type="dxa"/>
            <w:right w:w="62" w:type="dxa"/>
          </w:tblCellMar>
          <w:tblLook w:val="0000"/>
        </w:tblPrEx>
        <w:tc>
          <w:tcPr>
            <w:tcW w:w="2921" w:type="dxa"/>
            <w:tcBorders>
              <w:top w:val="nil"/>
              <w:left w:val="nil"/>
              <w:bottom w:val="nil"/>
              <w:right w:val="nil"/>
            </w:tcBorders>
            <w:tcMar>
              <w:top w:w="0" w:type="dxa"/>
              <w:left w:w="62" w:type="dxa"/>
              <w:bottom w:w="0" w:type="dxa"/>
              <w:right w:w="62" w:type="dxa"/>
            </w:tcMar>
          </w:tcPr>
          <w:p w:rsidR="00000000" w:rsidP="004536F0">
            <w:pPr>
              <w:pStyle w:val="BodyText"/>
              <w:rPr>
                <w:lang w:val="en-NZ"/>
              </w:rPr>
            </w:pPr>
            <w:r w:rsidRPr="004536F0">
              <w:rPr>
                <w:rStyle w:val="SpecialBold"/>
              </w:rPr>
              <w:t>Classes of liquid measuring instruments include one or more of:</w:t>
            </w:r>
          </w:p>
        </w:tc>
        <w:tc>
          <w:tcPr>
            <w:tcW w:w="6151" w:type="dxa"/>
            <w:tcBorders>
              <w:top w:val="nil"/>
              <w:left w:val="nil"/>
              <w:bottom w:val="nil"/>
              <w:right w:val="nil"/>
            </w:tcBorders>
            <w:tcMar>
              <w:top w:w="0" w:type="dxa"/>
              <w:left w:w="62" w:type="dxa"/>
              <w:bottom w:w="0" w:type="dxa"/>
              <w:right w:w="62" w:type="dxa"/>
            </w:tcMar>
          </w:tcPr>
          <w:p w:rsidR="00000000" w:rsidRPr="004536F0" w:rsidP="004536F0">
            <w:pPr>
              <w:pStyle w:val="ListBullet"/>
            </w:pPr>
            <w:r w:rsidRPr="004536F0">
              <w:t xml:space="preserve">fuel dispensers other than liquid petroleum gas (LPG) dispensers </w:t>
            </w:r>
          </w:p>
          <w:p w:rsidR="00000000" w:rsidRPr="004536F0" w:rsidP="004536F0">
            <w:pPr>
              <w:pStyle w:val="ListBullet"/>
            </w:pPr>
            <w:r w:rsidRPr="004536F0">
              <w:t>milk flowmeters tested using a volume measure</w:t>
            </w:r>
          </w:p>
          <w:p w:rsidR="00000000" w:rsidRPr="004536F0" w:rsidP="004536F0">
            <w:pPr>
              <w:pStyle w:val="ListBullet"/>
            </w:pPr>
            <w:r w:rsidRPr="004536F0">
              <w:t>any other liquid measuring instrument prescribed by the NMI</w:t>
            </w:r>
          </w:p>
          <w:p w:rsidR="00000000" w:rsidP="004536F0">
            <w:pPr>
              <w:pStyle w:val="BodyText"/>
              <w:rPr>
                <w:lang w:val="en-NZ"/>
              </w:rPr>
            </w:pPr>
          </w:p>
        </w:tc>
      </w:tr>
      <w:tr w:rsidTr="004536F0">
        <w:tblPrEx>
          <w:tblW w:w="0" w:type="auto"/>
          <w:tblLayout w:type="fixed"/>
          <w:tblCellMar>
            <w:left w:w="62" w:type="dxa"/>
            <w:right w:w="62" w:type="dxa"/>
          </w:tblCellMar>
          <w:tblLook w:val="0000"/>
        </w:tblPrEx>
        <w:tc>
          <w:tcPr>
            <w:tcW w:w="2921" w:type="dxa"/>
            <w:tcBorders>
              <w:top w:val="nil"/>
              <w:left w:val="nil"/>
              <w:bottom w:val="nil"/>
              <w:right w:val="nil"/>
            </w:tcBorders>
            <w:tcMar>
              <w:top w:w="0" w:type="dxa"/>
              <w:left w:w="62" w:type="dxa"/>
              <w:bottom w:w="0" w:type="dxa"/>
              <w:right w:w="62" w:type="dxa"/>
            </w:tcMar>
          </w:tcPr>
          <w:p w:rsidR="00000000" w:rsidP="004536F0">
            <w:pPr>
              <w:pStyle w:val="BodyText"/>
              <w:rPr>
                <w:lang w:val="en-NZ"/>
              </w:rPr>
            </w:pPr>
            <w:r w:rsidRPr="004536F0">
              <w:rPr>
                <w:rStyle w:val="SpecialBold"/>
              </w:rPr>
              <w:t>Test equipment includes:</w:t>
            </w:r>
          </w:p>
        </w:tc>
        <w:tc>
          <w:tcPr>
            <w:tcW w:w="6151" w:type="dxa"/>
            <w:tcBorders>
              <w:top w:val="nil"/>
              <w:left w:val="nil"/>
              <w:bottom w:val="nil"/>
              <w:right w:val="nil"/>
            </w:tcBorders>
            <w:tcMar>
              <w:top w:w="0" w:type="dxa"/>
              <w:left w:w="62" w:type="dxa"/>
              <w:bottom w:w="0" w:type="dxa"/>
              <w:right w:w="62" w:type="dxa"/>
            </w:tcMar>
          </w:tcPr>
          <w:p w:rsidR="00000000" w:rsidRPr="004536F0" w:rsidP="004536F0">
            <w:pPr>
              <w:pStyle w:val="ListBullet"/>
            </w:pPr>
            <w:r w:rsidRPr="004536F0">
              <w:t>reference standards of measurement</w:t>
            </w:r>
          </w:p>
          <w:p w:rsidR="00000000" w:rsidRPr="004536F0" w:rsidP="004536F0">
            <w:pPr>
              <w:pStyle w:val="ListBullet"/>
            </w:pPr>
            <w:r w:rsidRPr="004536F0">
              <w:t xml:space="preserve">equipment, such as a </w:t>
            </w:r>
            <w:r w:rsidRPr="004536F0">
              <w:t>small measure, dummy nozzle, safety equipment and a hand tools</w:t>
            </w:r>
          </w:p>
          <w:p w:rsidR="00000000" w:rsidP="004536F0">
            <w:pPr>
              <w:pStyle w:val="BodyText"/>
              <w:rPr>
                <w:lang w:val="en-NZ"/>
              </w:rPr>
            </w:pPr>
          </w:p>
        </w:tc>
      </w:tr>
      <w:tr w:rsidTr="004536F0">
        <w:tblPrEx>
          <w:tblW w:w="0" w:type="auto"/>
          <w:tblLayout w:type="fixed"/>
          <w:tblCellMar>
            <w:left w:w="62" w:type="dxa"/>
            <w:right w:w="62" w:type="dxa"/>
          </w:tblCellMar>
          <w:tblLook w:val="0000"/>
        </w:tblPrEx>
        <w:tc>
          <w:tcPr>
            <w:tcW w:w="2921" w:type="dxa"/>
            <w:tcBorders>
              <w:top w:val="nil"/>
              <w:left w:val="nil"/>
              <w:bottom w:val="nil"/>
              <w:right w:val="nil"/>
            </w:tcBorders>
            <w:tcMar>
              <w:top w:w="0" w:type="dxa"/>
              <w:left w:w="62" w:type="dxa"/>
              <w:bottom w:w="0" w:type="dxa"/>
              <w:right w:w="62" w:type="dxa"/>
            </w:tcMar>
          </w:tcPr>
          <w:p w:rsidR="00000000" w:rsidP="004536F0">
            <w:pPr>
              <w:pStyle w:val="BodyText"/>
              <w:rPr>
                <w:lang w:val="en-NZ"/>
              </w:rPr>
            </w:pPr>
            <w:r w:rsidRPr="004536F0">
              <w:rPr>
                <w:rStyle w:val="SpecialBold"/>
              </w:rPr>
              <w:t>Certificates of Approval include:</w:t>
            </w:r>
          </w:p>
        </w:tc>
        <w:tc>
          <w:tcPr>
            <w:tcW w:w="6151" w:type="dxa"/>
            <w:tcBorders>
              <w:top w:val="nil"/>
              <w:left w:val="nil"/>
              <w:bottom w:val="nil"/>
              <w:right w:val="nil"/>
            </w:tcBorders>
            <w:tcMar>
              <w:top w:w="0" w:type="dxa"/>
              <w:left w:w="62" w:type="dxa"/>
              <w:bottom w:w="0" w:type="dxa"/>
              <w:right w:w="62" w:type="dxa"/>
            </w:tcMar>
          </w:tcPr>
          <w:p w:rsidR="00000000" w:rsidRPr="004536F0" w:rsidP="004536F0">
            <w:pPr>
              <w:pStyle w:val="ListBullet"/>
            </w:pPr>
            <w:r w:rsidRPr="004536F0">
              <w:t xml:space="preserve">any Certificate issued by the Chief Metrologist under Regulation 60 of the </w:t>
            </w:r>
            <w:r w:rsidRPr="004536F0">
              <w:rPr>
                <w:rStyle w:val="Emphasis"/>
              </w:rPr>
              <w:t>National Measurement Regulations 1999</w:t>
            </w:r>
            <w:r w:rsidRPr="004536F0">
              <w:t xml:space="preserve"> approving the pattern of a liquid measuring</w:t>
            </w:r>
            <w:r w:rsidRPr="004536F0">
              <w:t xml:space="preserve"> instrument as being suitable for trade</w:t>
            </w:r>
          </w:p>
          <w:p w:rsidR="00000000" w:rsidP="004536F0">
            <w:pPr>
              <w:pStyle w:val="BodyText"/>
              <w:rPr>
                <w:lang w:val="en-NZ"/>
              </w:rPr>
            </w:pPr>
          </w:p>
        </w:tc>
      </w:tr>
      <w:tr w:rsidTr="004536F0">
        <w:tblPrEx>
          <w:tblW w:w="0" w:type="auto"/>
          <w:tblLayout w:type="fixed"/>
          <w:tblCellMar>
            <w:left w:w="62" w:type="dxa"/>
            <w:right w:w="62" w:type="dxa"/>
          </w:tblCellMar>
          <w:tblLook w:val="0000"/>
        </w:tblPrEx>
        <w:tc>
          <w:tcPr>
            <w:tcW w:w="2921" w:type="dxa"/>
            <w:tcBorders>
              <w:top w:val="nil"/>
              <w:left w:val="nil"/>
              <w:bottom w:val="nil"/>
              <w:right w:val="nil"/>
            </w:tcBorders>
            <w:tcMar>
              <w:top w:w="0" w:type="dxa"/>
              <w:left w:w="62" w:type="dxa"/>
              <w:bottom w:w="0" w:type="dxa"/>
              <w:right w:w="62" w:type="dxa"/>
            </w:tcMar>
          </w:tcPr>
          <w:p w:rsidR="00000000" w:rsidP="004536F0">
            <w:pPr>
              <w:pStyle w:val="BodyText"/>
              <w:rPr>
                <w:lang w:val="en-NZ"/>
              </w:rPr>
            </w:pPr>
            <w:r w:rsidRPr="004536F0">
              <w:rPr>
                <w:rStyle w:val="SpecialBold"/>
              </w:rPr>
              <w:t>Prescribed performance criteria for liquid measuring instruments include:</w:t>
            </w:r>
          </w:p>
        </w:tc>
        <w:tc>
          <w:tcPr>
            <w:tcW w:w="6151" w:type="dxa"/>
            <w:tcBorders>
              <w:top w:val="nil"/>
              <w:left w:val="nil"/>
              <w:bottom w:val="nil"/>
              <w:right w:val="nil"/>
            </w:tcBorders>
            <w:tcMar>
              <w:top w:w="0" w:type="dxa"/>
              <w:left w:w="62" w:type="dxa"/>
              <w:bottom w:w="0" w:type="dxa"/>
              <w:right w:w="62" w:type="dxa"/>
            </w:tcMar>
          </w:tcPr>
          <w:p w:rsidR="00000000" w:rsidRPr="004536F0" w:rsidP="004536F0">
            <w:pPr>
              <w:pStyle w:val="ListBullet"/>
            </w:pPr>
            <w:r w:rsidRPr="004536F0">
              <w:t>that the design is in accordance with the appropriate Certificates of Approval</w:t>
            </w:r>
          </w:p>
          <w:p w:rsidR="00000000" w:rsidRPr="004536F0" w:rsidP="004536F0">
            <w:pPr>
              <w:pStyle w:val="ListBullet"/>
            </w:pPr>
            <w:r w:rsidRPr="004536F0">
              <w:t>that the performance meets the criteria described in the Certificates of Approval, National Instrument Test Procedures and legislation</w:t>
            </w:r>
          </w:p>
          <w:p w:rsidR="00000000" w:rsidP="004536F0">
            <w:pPr>
              <w:pStyle w:val="BodyText"/>
              <w:rPr>
                <w:lang w:val="en-NZ"/>
              </w:rPr>
            </w:pPr>
          </w:p>
        </w:tc>
      </w:tr>
      <w:tr w:rsidTr="004536F0">
        <w:tblPrEx>
          <w:tblW w:w="0" w:type="auto"/>
          <w:tblLayout w:type="fixed"/>
          <w:tblCellMar>
            <w:left w:w="62" w:type="dxa"/>
            <w:right w:w="62" w:type="dxa"/>
          </w:tblCellMar>
          <w:tblLook w:val="0000"/>
        </w:tblPrEx>
        <w:tc>
          <w:tcPr>
            <w:tcW w:w="2921" w:type="dxa"/>
            <w:tcBorders>
              <w:top w:val="nil"/>
              <w:left w:val="nil"/>
              <w:bottom w:val="nil"/>
              <w:right w:val="nil"/>
            </w:tcBorders>
            <w:tcMar>
              <w:top w:w="0" w:type="dxa"/>
              <w:left w:w="62" w:type="dxa"/>
              <w:bottom w:w="0" w:type="dxa"/>
              <w:right w:w="62" w:type="dxa"/>
            </w:tcMar>
          </w:tcPr>
          <w:p w:rsidR="00000000" w:rsidP="004536F0">
            <w:pPr>
              <w:pStyle w:val="BodyText"/>
              <w:rPr>
                <w:lang w:val="en-NZ"/>
              </w:rPr>
            </w:pPr>
            <w:r w:rsidRPr="004536F0">
              <w:rPr>
                <w:rStyle w:val="SpecialBold"/>
              </w:rPr>
              <w:t>Verification</w:t>
            </w:r>
          </w:p>
        </w:tc>
        <w:tc>
          <w:tcPr>
            <w:tcW w:w="6151" w:type="dxa"/>
            <w:tcBorders>
              <w:top w:val="nil"/>
              <w:left w:val="nil"/>
              <w:bottom w:val="nil"/>
              <w:right w:val="nil"/>
            </w:tcBorders>
            <w:tcMar>
              <w:top w:w="0" w:type="dxa"/>
              <w:left w:w="62" w:type="dxa"/>
              <w:bottom w:w="0" w:type="dxa"/>
              <w:right w:w="62" w:type="dxa"/>
            </w:tcMar>
          </w:tcPr>
          <w:p w:rsidR="00000000" w:rsidRPr="004536F0" w:rsidP="004536F0">
            <w:pPr>
              <w:pStyle w:val="BodyText"/>
            </w:pPr>
            <w:r w:rsidRPr="004536F0">
              <w:t xml:space="preserve">Has the same meaning as Section 18GG of the </w:t>
            </w:r>
            <w:r w:rsidRPr="004536F0">
              <w:rPr>
                <w:rStyle w:val="Emphasis"/>
              </w:rPr>
              <w:t>National Measurement Act 1960</w:t>
            </w:r>
          </w:p>
          <w:p w:rsidR="00000000" w:rsidP="004536F0">
            <w:pPr>
              <w:pStyle w:val="BodyText"/>
              <w:rPr>
                <w:lang w:val="en-NZ"/>
              </w:rPr>
            </w:pPr>
          </w:p>
        </w:tc>
      </w:tr>
      <w:tr w:rsidTr="004536F0">
        <w:tblPrEx>
          <w:tblW w:w="0" w:type="auto"/>
          <w:tblLayout w:type="fixed"/>
          <w:tblCellMar>
            <w:left w:w="62" w:type="dxa"/>
            <w:right w:w="62" w:type="dxa"/>
          </w:tblCellMar>
          <w:tblLook w:val="0000"/>
        </w:tblPrEx>
        <w:tc>
          <w:tcPr>
            <w:tcW w:w="2921" w:type="dxa"/>
            <w:tcBorders>
              <w:top w:val="nil"/>
              <w:left w:val="nil"/>
              <w:bottom w:val="nil"/>
              <w:right w:val="nil"/>
            </w:tcBorders>
            <w:tcMar>
              <w:top w:w="0" w:type="dxa"/>
              <w:left w:w="62" w:type="dxa"/>
              <w:bottom w:w="0" w:type="dxa"/>
              <w:right w:w="62" w:type="dxa"/>
            </w:tcMar>
          </w:tcPr>
          <w:p w:rsidR="00000000" w:rsidP="004536F0">
            <w:pPr>
              <w:pStyle w:val="BodyText"/>
              <w:rPr>
                <w:lang w:val="en-NZ"/>
              </w:rPr>
            </w:pPr>
            <w:r w:rsidRPr="004536F0">
              <w:rPr>
                <w:rStyle w:val="SpecialBold"/>
              </w:rPr>
              <w:t>Verification marks</w:t>
            </w:r>
          </w:p>
        </w:tc>
        <w:tc>
          <w:tcPr>
            <w:tcW w:w="6151" w:type="dxa"/>
            <w:tcBorders>
              <w:top w:val="nil"/>
              <w:left w:val="nil"/>
              <w:bottom w:val="nil"/>
              <w:right w:val="nil"/>
            </w:tcBorders>
            <w:tcMar>
              <w:top w:w="0" w:type="dxa"/>
              <w:left w:w="62" w:type="dxa"/>
              <w:bottom w:w="0" w:type="dxa"/>
              <w:right w:w="62" w:type="dxa"/>
            </w:tcMar>
          </w:tcPr>
          <w:p w:rsidR="00000000" w:rsidRPr="004536F0" w:rsidP="004536F0">
            <w:pPr>
              <w:pStyle w:val="BodyText"/>
            </w:pPr>
            <w:r w:rsidRPr="004536F0">
              <w:t>Verificatio</w:t>
            </w:r>
            <w:r w:rsidRPr="004536F0">
              <w:t xml:space="preserve">n marks for different instruments are defined in Regulations 2.28 and 2.29 of the </w:t>
            </w:r>
            <w:r w:rsidRPr="004536F0">
              <w:rPr>
                <w:rStyle w:val="Emphasis"/>
              </w:rPr>
              <w:t>National Trade Measurement Regulations 2009</w:t>
            </w:r>
          </w:p>
          <w:p w:rsidR="00000000" w:rsidP="004536F0">
            <w:pPr>
              <w:pStyle w:val="BodyText"/>
              <w:rPr>
                <w:lang w:val="en-NZ"/>
              </w:rPr>
            </w:pPr>
          </w:p>
        </w:tc>
      </w:tr>
      <w:tr w:rsidTr="004536F0">
        <w:tblPrEx>
          <w:tblW w:w="0" w:type="auto"/>
          <w:tblLayout w:type="fixed"/>
          <w:tblCellMar>
            <w:left w:w="62" w:type="dxa"/>
            <w:right w:w="62" w:type="dxa"/>
          </w:tblCellMar>
          <w:tblLook w:val="0000"/>
        </w:tblPrEx>
        <w:tc>
          <w:tcPr>
            <w:tcW w:w="2921" w:type="dxa"/>
            <w:tcBorders>
              <w:top w:val="nil"/>
              <w:left w:val="nil"/>
              <w:bottom w:val="nil"/>
              <w:right w:val="nil"/>
            </w:tcBorders>
            <w:tcMar>
              <w:top w:w="0" w:type="dxa"/>
              <w:left w:w="62" w:type="dxa"/>
              <w:bottom w:w="0" w:type="dxa"/>
              <w:right w:w="62" w:type="dxa"/>
            </w:tcMar>
          </w:tcPr>
          <w:p w:rsidR="00000000" w:rsidP="004536F0">
            <w:pPr>
              <w:pStyle w:val="BodyText"/>
              <w:rPr>
                <w:lang w:val="en-NZ"/>
              </w:rPr>
            </w:pPr>
            <w:r w:rsidRPr="004536F0">
              <w:rPr>
                <w:rStyle w:val="SpecialBold"/>
              </w:rPr>
              <w:t>Trading practices include one or more of:</w:t>
            </w:r>
          </w:p>
        </w:tc>
        <w:tc>
          <w:tcPr>
            <w:tcW w:w="6151" w:type="dxa"/>
            <w:tcBorders>
              <w:top w:val="nil"/>
              <w:left w:val="nil"/>
              <w:bottom w:val="nil"/>
              <w:right w:val="nil"/>
            </w:tcBorders>
            <w:tcMar>
              <w:top w:w="0" w:type="dxa"/>
              <w:left w:w="62" w:type="dxa"/>
              <w:bottom w:w="0" w:type="dxa"/>
              <w:right w:w="62" w:type="dxa"/>
            </w:tcMar>
          </w:tcPr>
          <w:p w:rsidR="00000000" w:rsidRPr="004536F0" w:rsidP="004536F0">
            <w:pPr>
              <w:pStyle w:val="ListBullet"/>
            </w:pPr>
            <w:r w:rsidRPr="004536F0">
              <w:t>methods used for the sale of goods</w:t>
            </w:r>
          </w:p>
          <w:p w:rsidR="00000000" w:rsidRPr="004536F0" w:rsidP="004536F0">
            <w:pPr>
              <w:pStyle w:val="ListBullet"/>
            </w:pPr>
            <w:r w:rsidRPr="004536F0">
              <w:t>using measuring instruments</w:t>
            </w:r>
          </w:p>
          <w:p w:rsidR="00000000" w:rsidRPr="004536F0" w:rsidP="004536F0">
            <w:pPr>
              <w:pStyle w:val="ListBullet"/>
            </w:pPr>
            <w:r w:rsidRPr="004536F0">
              <w:t>position of m</w:t>
            </w:r>
            <w:r w:rsidRPr="004536F0">
              <w:t>easuring instruments</w:t>
            </w:r>
          </w:p>
          <w:p w:rsidR="00000000" w:rsidRPr="004536F0" w:rsidP="004536F0">
            <w:pPr>
              <w:pStyle w:val="ListBullet"/>
            </w:pPr>
            <w:r w:rsidRPr="004536F0">
              <w:t>environmental factors</w:t>
            </w:r>
          </w:p>
          <w:p w:rsidR="00000000" w:rsidRPr="004536F0" w:rsidP="004536F0">
            <w:pPr>
              <w:pStyle w:val="ListBullet"/>
            </w:pPr>
            <w:r w:rsidRPr="004536F0">
              <w:t>suitability of instrument</w:t>
            </w:r>
          </w:p>
          <w:p w:rsidR="00000000" w:rsidRPr="004536F0" w:rsidP="004536F0">
            <w:pPr>
              <w:pStyle w:val="ListBullet"/>
            </w:pPr>
            <w:r w:rsidRPr="004536F0">
              <w:t>incorrect measurement</w:t>
            </w:r>
          </w:p>
          <w:p w:rsidR="00000000" w:rsidP="004536F0">
            <w:pPr>
              <w:pStyle w:val="BodyText"/>
              <w:rPr>
                <w:lang w:val="en-NZ"/>
              </w:rPr>
            </w:pPr>
          </w:p>
        </w:tc>
      </w:tr>
      <w:tr w:rsidTr="004536F0">
        <w:tblPrEx>
          <w:tblW w:w="0" w:type="auto"/>
          <w:tblLayout w:type="fixed"/>
          <w:tblCellMar>
            <w:left w:w="62" w:type="dxa"/>
            <w:right w:w="62" w:type="dxa"/>
          </w:tblCellMar>
          <w:tblLook w:val="0000"/>
        </w:tblPrEx>
        <w:tc>
          <w:tcPr>
            <w:tcW w:w="2921" w:type="dxa"/>
            <w:tcBorders>
              <w:top w:val="nil"/>
              <w:left w:val="nil"/>
              <w:bottom w:val="nil"/>
              <w:right w:val="nil"/>
            </w:tcBorders>
            <w:tcMar>
              <w:top w:w="0" w:type="dxa"/>
              <w:left w:w="62" w:type="dxa"/>
              <w:bottom w:w="0" w:type="dxa"/>
              <w:right w:w="62" w:type="dxa"/>
            </w:tcMar>
          </w:tcPr>
          <w:p w:rsidR="00000000" w:rsidP="004536F0">
            <w:pPr>
              <w:pStyle w:val="BodyText"/>
              <w:rPr>
                <w:lang w:val="en-NZ"/>
              </w:rPr>
            </w:pPr>
            <w:r w:rsidRPr="004536F0">
              <w:rPr>
                <w:rStyle w:val="SpecialBold"/>
              </w:rPr>
              <w:t>Enforcement actions include one or more of:</w:t>
            </w:r>
          </w:p>
        </w:tc>
        <w:tc>
          <w:tcPr>
            <w:tcW w:w="6151" w:type="dxa"/>
            <w:tcBorders>
              <w:top w:val="nil"/>
              <w:left w:val="nil"/>
              <w:bottom w:val="nil"/>
              <w:right w:val="nil"/>
            </w:tcBorders>
            <w:tcMar>
              <w:top w:w="0" w:type="dxa"/>
              <w:left w:w="62" w:type="dxa"/>
              <w:bottom w:w="0" w:type="dxa"/>
              <w:right w:w="62" w:type="dxa"/>
            </w:tcMar>
          </w:tcPr>
          <w:p w:rsidR="00000000" w:rsidRPr="004536F0" w:rsidP="004536F0">
            <w:pPr>
              <w:pStyle w:val="ListBullet"/>
            </w:pPr>
            <w:r w:rsidRPr="004536F0">
              <w:t>formal warnings, infringement notices, undertakings, injunction and prosecutions</w:t>
            </w:r>
          </w:p>
          <w:p w:rsidR="00000000" w:rsidP="004536F0">
            <w:pPr>
              <w:pStyle w:val="BodyText"/>
              <w:rPr>
                <w:lang w:val="en-NZ"/>
              </w:rPr>
            </w:pPr>
          </w:p>
        </w:tc>
      </w:tr>
      <w:tr w:rsidTr="004536F0">
        <w:tblPrEx>
          <w:tblW w:w="0" w:type="auto"/>
          <w:tblLayout w:type="fixed"/>
          <w:tblCellMar>
            <w:left w:w="62" w:type="dxa"/>
            <w:right w:w="62" w:type="dxa"/>
          </w:tblCellMar>
          <w:tblLook w:val="0000"/>
        </w:tblPrEx>
        <w:tc>
          <w:tcPr>
            <w:tcW w:w="2921" w:type="dxa"/>
            <w:tcBorders>
              <w:top w:val="nil"/>
              <w:left w:val="nil"/>
              <w:bottom w:val="nil"/>
              <w:right w:val="nil"/>
            </w:tcBorders>
            <w:tcMar>
              <w:top w:w="0" w:type="dxa"/>
              <w:left w:w="62" w:type="dxa"/>
              <w:bottom w:w="0" w:type="dxa"/>
              <w:right w:w="62" w:type="dxa"/>
            </w:tcMar>
          </w:tcPr>
          <w:p w:rsidR="00000000" w:rsidP="004536F0">
            <w:pPr>
              <w:pStyle w:val="BodyText"/>
              <w:rPr>
                <w:lang w:val="en-NZ"/>
              </w:rPr>
            </w:pPr>
            <w:r w:rsidRPr="004536F0">
              <w:rPr>
                <w:rStyle w:val="SpecialBold"/>
              </w:rPr>
              <w:t>Legislation includes:</w:t>
            </w:r>
          </w:p>
        </w:tc>
        <w:tc>
          <w:tcPr>
            <w:tcW w:w="6151" w:type="dxa"/>
            <w:tcBorders>
              <w:top w:val="nil"/>
              <w:left w:val="nil"/>
              <w:bottom w:val="nil"/>
              <w:right w:val="nil"/>
            </w:tcBorders>
            <w:tcMar>
              <w:top w:w="0" w:type="dxa"/>
              <w:left w:w="62" w:type="dxa"/>
              <w:bottom w:w="0" w:type="dxa"/>
              <w:right w:w="62" w:type="dxa"/>
            </w:tcMar>
          </w:tcPr>
          <w:p w:rsidR="00000000" w:rsidRPr="004536F0" w:rsidP="004536F0">
            <w:pPr>
              <w:pStyle w:val="ListBullet"/>
            </w:pPr>
            <w:r w:rsidRPr="004536F0">
              <w:t>national mea</w:t>
            </w:r>
            <w:r w:rsidRPr="004536F0">
              <w:t>surement legislation</w:t>
            </w:r>
          </w:p>
          <w:p w:rsidR="00000000" w:rsidRPr="004536F0" w:rsidP="004536F0">
            <w:pPr>
              <w:pStyle w:val="ListBullet"/>
            </w:pPr>
            <w:r w:rsidRPr="004536F0">
              <w:t>applicable Commonwealth, state and territory work/occupational health and safety (WHS/OHS) legislation</w:t>
            </w:r>
          </w:p>
          <w:p w:rsidR="00000000" w:rsidP="004536F0">
            <w:pPr>
              <w:pStyle w:val="BodyText"/>
              <w:rPr>
                <w:lang w:val="en-NZ"/>
              </w:rPr>
            </w:pPr>
          </w:p>
        </w:tc>
      </w:tr>
      <w:tr w:rsidTr="004536F0">
        <w:tblPrEx>
          <w:tblW w:w="0" w:type="auto"/>
          <w:tblLayout w:type="fixed"/>
          <w:tblCellMar>
            <w:left w:w="62" w:type="dxa"/>
            <w:right w:w="62" w:type="dxa"/>
          </w:tblCellMar>
          <w:tblLook w:val="0000"/>
        </w:tblPrEx>
        <w:tc>
          <w:tcPr>
            <w:tcW w:w="2921" w:type="dxa"/>
            <w:tcBorders>
              <w:top w:val="nil"/>
              <w:left w:val="nil"/>
              <w:bottom w:val="nil"/>
              <w:right w:val="nil"/>
            </w:tcBorders>
            <w:tcMar>
              <w:top w:w="0" w:type="dxa"/>
              <w:left w:w="62" w:type="dxa"/>
              <w:bottom w:w="0" w:type="dxa"/>
              <w:right w:w="62" w:type="dxa"/>
            </w:tcMar>
          </w:tcPr>
          <w:p w:rsidR="00000000" w:rsidP="004536F0">
            <w:pPr>
              <w:pStyle w:val="BodyText"/>
              <w:rPr>
                <w:lang w:val="en-NZ"/>
              </w:rPr>
            </w:pPr>
            <w:r w:rsidRPr="004536F0">
              <w:rPr>
                <w:rStyle w:val="SpecialBold"/>
              </w:rPr>
              <w:t>NMI policy includes:</w:t>
            </w:r>
          </w:p>
        </w:tc>
        <w:tc>
          <w:tcPr>
            <w:tcW w:w="6151" w:type="dxa"/>
            <w:tcBorders>
              <w:top w:val="nil"/>
              <w:left w:val="nil"/>
              <w:bottom w:val="nil"/>
              <w:right w:val="nil"/>
            </w:tcBorders>
            <w:tcMar>
              <w:top w:w="0" w:type="dxa"/>
              <w:left w:w="62" w:type="dxa"/>
              <w:bottom w:w="0" w:type="dxa"/>
              <w:right w:w="62" w:type="dxa"/>
            </w:tcMar>
          </w:tcPr>
          <w:p w:rsidR="00000000" w:rsidRPr="004536F0" w:rsidP="004536F0">
            <w:pPr>
              <w:pStyle w:val="ListBullet"/>
            </w:pPr>
            <w:r w:rsidRPr="004536F0">
              <w:t>test procedure variations between a verification, in-service or audit inspection</w:t>
            </w:r>
          </w:p>
          <w:p w:rsidR="00000000" w:rsidRPr="004536F0" w:rsidP="004536F0">
            <w:pPr>
              <w:pStyle w:val="ListBullet"/>
            </w:pPr>
            <w:r w:rsidRPr="004536F0">
              <w:t>bulletins</w:t>
            </w:r>
          </w:p>
          <w:p w:rsidR="00000000" w:rsidRPr="004536F0" w:rsidP="004536F0">
            <w:pPr>
              <w:pStyle w:val="ListBullet"/>
            </w:pPr>
            <w:r w:rsidRPr="004536F0">
              <w:t>instructions</w:t>
            </w:r>
          </w:p>
          <w:p w:rsidR="00000000" w:rsidRPr="004536F0" w:rsidP="004536F0">
            <w:pPr>
              <w:pStyle w:val="ListBullet"/>
            </w:pPr>
            <w:r w:rsidRPr="004536F0">
              <w:t>determinations</w:t>
            </w:r>
          </w:p>
          <w:p w:rsidR="00000000" w:rsidP="004536F0">
            <w:pPr>
              <w:pStyle w:val="BodyText"/>
              <w:rPr>
                <w:lang w:val="en-NZ"/>
              </w:rPr>
            </w:pPr>
          </w:p>
        </w:tc>
      </w:tr>
      <w:tr w:rsidTr="004536F0">
        <w:tblPrEx>
          <w:tblW w:w="0" w:type="auto"/>
          <w:tblLayout w:type="fixed"/>
          <w:tblCellMar>
            <w:left w:w="62" w:type="dxa"/>
            <w:right w:w="62" w:type="dxa"/>
          </w:tblCellMar>
          <w:tblLook w:val="0000"/>
        </w:tblPrEx>
        <w:tc>
          <w:tcPr>
            <w:tcW w:w="2921" w:type="dxa"/>
            <w:tcBorders>
              <w:top w:val="nil"/>
              <w:left w:val="nil"/>
              <w:bottom w:val="nil"/>
              <w:right w:val="nil"/>
            </w:tcBorders>
            <w:tcMar>
              <w:top w:w="0" w:type="dxa"/>
              <w:left w:w="62" w:type="dxa"/>
              <w:bottom w:w="0" w:type="dxa"/>
              <w:right w:w="62" w:type="dxa"/>
            </w:tcMar>
          </w:tcPr>
          <w:p w:rsidR="00000000" w:rsidP="004536F0">
            <w:pPr>
              <w:pStyle w:val="BodyText"/>
              <w:rPr>
                <w:lang w:val="en-NZ"/>
              </w:rPr>
            </w:pPr>
            <w:r w:rsidRPr="004536F0">
              <w:rPr>
                <w:rStyle w:val="SpecialBold"/>
              </w:rPr>
              <w:t>WHS/OHS and environmental management requirements include:</w:t>
            </w:r>
          </w:p>
        </w:tc>
        <w:tc>
          <w:tcPr>
            <w:tcW w:w="6151" w:type="dxa"/>
            <w:tcBorders>
              <w:top w:val="nil"/>
              <w:left w:val="nil"/>
              <w:bottom w:val="nil"/>
              <w:right w:val="nil"/>
            </w:tcBorders>
            <w:tcMar>
              <w:top w:w="0" w:type="dxa"/>
              <w:left w:w="62" w:type="dxa"/>
              <w:bottom w:w="0" w:type="dxa"/>
              <w:right w:w="62" w:type="dxa"/>
            </w:tcMar>
          </w:tcPr>
          <w:p w:rsidR="00000000" w:rsidRPr="004536F0" w:rsidP="004536F0">
            <w:pPr>
              <w:pStyle w:val="ListBullet"/>
            </w:pPr>
            <w:r w:rsidRPr="004536F0">
              <w:t xml:space="preserve">complying with WHS/OHS and environmental management requirements at all times, which may be imposed through state/territory or federal legislation. These requirements must not be </w:t>
            </w:r>
            <w:r w:rsidRPr="004536F0">
              <w:t>compromised at any time</w:t>
            </w:r>
          </w:p>
          <w:p w:rsidR="00000000" w:rsidRPr="004536F0" w:rsidP="004536F0">
            <w:pPr>
              <w:pStyle w:val="ListBullet"/>
            </w:pPr>
            <w:r w:rsidRPr="004536F0">
              <w:t>applying standard precautions relating to the potentially hazardous nature of material/product measured</w:t>
            </w:r>
          </w:p>
          <w:p w:rsidR="00000000" w:rsidRPr="004536F0" w:rsidP="004536F0">
            <w:pPr>
              <w:pStyle w:val="ListBullet"/>
            </w:pPr>
            <w:r w:rsidRPr="004536F0">
              <w:t>applying any necessary hygiene controls</w:t>
            </w:r>
          </w:p>
        </w:tc>
      </w:tr>
    </w:tbl>
    <w:p w:rsidR="00000000" w:rsidRPr="004536F0" w:rsidP="004536F0">
      <w:pPr>
        <w:pStyle w:val="BodyText"/>
      </w:pPr>
    </w:p>
    <w:p w:rsidR="00000000" w:rsidRPr="004536F0" w:rsidP="004536F0">
      <w:pPr>
        <w:pStyle w:val="AllowPageBreak"/>
      </w:pPr>
    </w:p>
    <w:p w:rsidR="00000000" w:rsidRPr="004536F0" w:rsidP="004536F0">
      <w:pPr>
        <w:pStyle w:val="Heading1"/>
      </w:pPr>
      <w:bookmarkStart w:id="9" w:name="O_939472"/>
      <w:bookmarkEnd w:id="9"/>
      <w:r w:rsidRPr="004536F0">
        <w:t>Unit Mapping Information</w:t>
      </w:r>
    </w:p>
    <w:p w:rsidR="00000000" w:rsidRPr="004536F0" w:rsidP="000750DE">
      <w:pPr>
        <w:pStyle w:val="BodyText"/>
      </w:pPr>
      <w:r w:rsidRPr="004536F0">
        <w:t>Release 2. Adjustments to the Application, Performance Criteria and Range of Conditions. Adjustment to Assessment Conditions. Equivalent.</w:t>
      </w:r>
    </w:p>
    <w:p w:rsidR="00000000" w:rsidRPr="004536F0" w:rsidP="000750DE">
      <w:pPr>
        <w:pStyle w:val="BodyText"/>
      </w:pPr>
      <w:r w:rsidRPr="004536F0">
        <w:t>Release 1. Supersedes and is equivalent to MSATMINS402A Inspect liquid measuring instruments using volume measures</w:t>
      </w:r>
    </w:p>
    <w:p w:rsidR="00000000" w:rsidRPr="004536F0" w:rsidP="004536F0">
      <w:pPr>
        <w:pStyle w:val="Heading1"/>
      </w:pPr>
      <w:bookmarkStart w:id="10" w:name="O_939481"/>
      <w:bookmarkEnd w:id="10"/>
      <w:r w:rsidRPr="004536F0">
        <w:t>Links</w:t>
      </w:r>
    </w:p>
    <w:p w:rsidR="00000000" w:rsidRPr="004536F0" w:rsidP="000750DE">
      <w:pPr>
        <w:pStyle w:val="BodyText"/>
      </w:pPr>
      <w:r w:rsidRPr="004536F0">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F03A40">
        <w:rPr>
          <w:rStyle w:val="Hyperlink"/>
        </w:rPr>
        <w:t>https://vetnet.gov.au/Pages/TrainingDocs.aspx?q=d1287d36-dff4-4e9f-ad2c-9d6270054027</w:t>
      </w:r>
      <w:r>
        <w:fldChar w:fldCharType="end"/>
      </w:r>
    </w:p>
    <w:p w:rsidR="00000000" w:rsidRPr="004536F0" w:rsidP="004536F0"/>
    <w:sectPr w:rsidSect="004536F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6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6F0" w:rsidRPr="000750DE" w:rsidP="000750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6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0DE" w:rsidP="004536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750DE" w:rsidP="004536F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750DE" w:rsidP="004536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6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0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36F0" w:rsidRPr="000750DE" w:rsidP="000750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6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0DE" w:rsidRPr="002D2AF8" w:rsidP="004536F0">
    <w:pPr>
      <w:pStyle w:val="Header"/>
      <w:framePr w:wrap="around"/>
    </w:pPr>
    <w:r>
      <w:fldChar w:fldCharType="begin"/>
    </w:r>
    <w:r>
      <w:instrText xml:space="preserve"> TITLE   \* MERGEFORMAT </w:instrText>
    </w:r>
    <w:r>
      <w:fldChar w:fldCharType="separate"/>
    </w:r>
    <w:r>
      <w:t>MSMTMINS402 Inspect liquid measuring instruments using volume measures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0750DE" w:rsidP="004536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6E21B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BDE39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36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36F0"/>
    <w:pPr>
      <w:spacing w:before="360" w:after="60"/>
      <w:outlineLvl w:val="0"/>
    </w:pPr>
    <w:rPr>
      <w:sz w:val="32"/>
    </w:rPr>
  </w:style>
  <w:style w:type="paragraph" w:styleId="Heading2">
    <w:name w:val="heading 2"/>
    <w:basedOn w:val="HeadingBase"/>
    <w:next w:val="BodyText"/>
    <w:link w:val="Heading2Char"/>
    <w:qFormat/>
    <w:rsid w:val="004536F0"/>
    <w:pPr>
      <w:keepLines/>
      <w:spacing w:before="240" w:after="120"/>
      <w:outlineLvl w:val="1"/>
    </w:pPr>
    <w:rPr>
      <w:sz w:val="28"/>
      <w:szCs w:val="40"/>
    </w:rPr>
  </w:style>
  <w:style w:type="paragraph" w:styleId="Heading3">
    <w:name w:val="heading 3"/>
    <w:basedOn w:val="HeadingBase"/>
    <w:next w:val="BodyText"/>
    <w:link w:val="Heading3Char"/>
    <w:qFormat/>
    <w:rsid w:val="004536F0"/>
    <w:pPr>
      <w:spacing w:before="180" w:after="120"/>
      <w:outlineLvl w:val="2"/>
    </w:pPr>
    <w:rPr>
      <w:spacing w:val="-10"/>
      <w:kern w:val="32"/>
    </w:rPr>
  </w:style>
  <w:style w:type="paragraph" w:styleId="Heading4">
    <w:name w:val="heading 4"/>
    <w:basedOn w:val="HeadingBase"/>
    <w:next w:val="BodyText"/>
    <w:link w:val="Heading4Char"/>
    <w:qFormat/>
    <w:rsid w:val="004536F0"/>
    <w:pPr>
      <w:spacing w:before="160" w:after="120"/>
      <w:outlineLvl w:val="3"/>
    </w:pPr>
    <w:rPr>
      <w:sz w:val="22"/>
    </w:rPr>
  </w:style>
  <w:style w:type="paragraph" w:styleId="Heading5">
    <w:name w:val="heading 5"/>
    <w:basedOn w:val="HeadingBase"/>
    <w:next w:val="Normal"/>
    <w:link w:val="Heading5Char"/>
    <w:qFormat/>
    <w:rsid w:val="004536F0"/>
    <w:pPr>
      <w:spacing w:before="80"/>
      <w:outlineLvl w:val="4"/>
    </w:pPr>
    <w:rPr>
      <w:color w:val="918585"/>
      <w:sz w:val="20"/>
    </w:rPr>
  </w:style>
  <w:style w:type="paragraph" w:styleId="Heading6">
    <w:name w:val="heading 6"/>
    <w:basedOn w:val="HeadingBase"/>
    <w:next w:val="Normal"/>
    <w:link w:val="Heading6Char"/>
    <w:qFormat/>
    <w:rsid w:val="004536F0"/>
    <w:pPr>
      <w:spacing w:before="60"/>
      <w:outlineLvl w:val="5"/>
    </w:pPr>
    <w:rPr>
      <w:color w:val="918585"/>
      <w:sz w:val="20"/>
    </w:rPr>
  </w:style>
  <w:style w:type="paragraph" w:styleId="Heading7">
    <w:name w:val="heading 7"/>
    <w:basedOn w:val="Normal"/>
    <w:next w:val="Normal"/>
    <w:link w:val="Heading7Char"/>
    <w:qFormat/>
    <w:rsid w:val="004536F0"/>
    <w:pPr>
      <w:ind w:left="720"/>
      <w:outlineLvl w:val="6"/>
    </w:pPr>
    <w:rPr>
      <w:i/>
    </w:rPr>
  </w:style>
  <w:style w:type="paragraph" w:styleId="Heading8">
    <w:name w:val="heading 8"/>
    <w:basedOn w:val="Normal"/>
    <w:next w:val="Normal"/>
    <w:link w:val="Heading8Char"/>
    <w:qFormat/>
    <w:rsid w:val="004536F0"/>
    <w:pPr>
      <w:ind w:left="720"/>
      <w:outlineLvl w:val="7"/>
    </w:pPr>
    <w:rPr>
      <w:i/>
    </w:rPr>
  </w:style>
  <w:style w:type="paragraph" w:styleId="Heading9">
    <w:name w:val="heading 9"/>
    <w:basedOn w:val="Normal"/>
    <w:next w:val="Normal"/>
    <w:link w:val="Heading9Char"/>
    <w:qFormat/>
    <w:rsid w:val="004536F0"/>
    <w:pPr>
      <w:ind w:left="720"/>
      <w:outlineLvl w:val="8"/>
    </w:pPr>
    <w:rPr>
      <w:i/>
    </w:rPr>
  </w:style>
  <w:style w:type="character" w:default="1" w:styleId="DefaultParagraphFont">
    <w:name w:val="Default Paragraph Font"/>
    <w:uiPriority w:val="1"/>
    <w:unhideWhenUsed/>
    <w:rsid w:val="004536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36F0"/>
  </w:style>
  <w:style w:type="character" w:customStyle="1" w:styleId="Heading1Char">
    <w:name w:val="Heading 1 Char"/>
    <w:basedOn w:val="DefaultParagraphFont"/>
    <w:link w:val="Heading1"/>
    <w:rsid w:val="004536F0"/>
    <w:rPr>
      <w:rFonts w:ascii="Times New Roman" w:eastAsia="Times New Roman" w:hAnsi="Times New Roman" w:cs="Times New Roman"/>
      <w:b/>
      <w:sz w:val="32"/>
      <w:szCs w:val="20"/>
      <w:lang w:eastAsia="en-US"/>
    </w:rPr>
  </w:style>
  <w:style w:type="paragraph" w:styleId="BodyText">
    <w:name w:val="Body Text"/>
    <w:basedOn w:val="Normal"/>
    <w:link w:val="BodyTextChar"/>
    <w:rsid w:val="004536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36F0"/>
    <w:rPr>
      <w:rFonts w:ascii="Times New Roman" w:eastAsia="Times New Roman" w:hAnsi="Times New Roman" w:cs="Times New Roman"/>
      <w:sz w:val="24"/>
      <w:lang w:eastAsia="en-US"/>
    </w:rPr>
  </w:style>
  <w:style w:type="paragraph" w:styleId="ListBullet">
    <w:name w:val="List Bullet"/>
    <w:basedOn w:val="List"/>
    <w:rsid w:val="004536F0"/>
    <w:pPr>
      <w:numPr>
        <w:numId w:val="11"/>
      </w:numPr>
      <w:tabs>
        <w:tab w:val="clear" w:pos="340"/>
      </w:tabs>
      <w:spacing w:before="40" w:after="40"/>
    </w:pPr>
  </w:style>
  <w:style w:type="character" w:customStyle="1" w:styleId="SpecialBold">
    <w:name w:val="Special Bold"/>
    <w:basedOn w:val="DefaultParagraphFont"/>
    <w:rsid w:val="004536F0"/>
    <w:rPr>
      <w:b/>
      <w:spacing w:val="0"/>
    </w:rPr>
  </w:style>
  <w:style w:type="character" w:styleId="Emphasis">
    <w:name w:val="Emphasis"/>
    <w:basedOn w:val="DefaultParagraphFont"/>
    <w:qFormat/>
    <w:rsid w:val="004536F0"/>
    <w:rPr>
      <w:i/>
    </w:rPr>
  </w:style>
  <w:style w:type="paragraph" w:customStyle="1" w:styleId="SuperHeading">
    <w:name w:val="SuperHeading"/>
    <w:basedOn w:val="Normal"/>
    <w:rsid w:val="004536F0"/>
    <w:pPr>
      <w:spacing w:before="240" w:after="120"/>
      <w:outlineLvl w:val="0"/>
    </w:pPr>
    <w:rPr>
      <w:rFonts w:ascii="Times New Roman" w:hAnsi="Times New Roman"/>
      <w:b/>
      <w:sz w:val="32"/>
    </w:rPr>
  </w:style>
  <w:style w:type="paragraph" w:customStyle="1" w:styleId="AllowPageBreak">
    <w:name w:val="AllowPageBreak"/>
    <w:rsid w:val="004536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536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36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36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36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36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36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36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36F0"/>
    <w:rPr>
      <w:rFonts w:ascii="Courier New" w:eastAsia="Times New Roman" w:hAnsi="Courier New" w:cs="Times New Roman"/>
      <w:i/>
      <w:szCs w:val="20"/>
      <w:lang w:eastAsia="en-US"/>
    </w:rPr>
  </w:style>
  <w:style w:type="paragraph" w:customStyle="1" w:styleId="HeadingBase">
    <w:name w:val="Heading Base"/>
    <w:rsid w:val="004536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36F0"/>
    <w:pPr>
      <w:tabs>
        <w:tab w:val="right" w:leader="dot" w:pos="9072"/>
      </w:tabs>
      <w:ind w:left="567"/>
    </w:pPr>
    <w:rPr>
      <w:szCs w:val="22"/>
    </w:rPr>
  </w:style>
  <w:style w:type="paragraph" w:customStyle="1" w:styleId="TOCBase">
    <w:name w:val="TOC Base"/>
    <w:rsid w:val="004536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36F0"/>
    <w:pPr>
      <w:tabs>
        <w:tab w:val="right" w:leader="dot" w:pos="9072"/>
      </w:tabs>
      <w:spacing w:before="40" w:after="40"/>
      <w:ind w:left="284"/>
    </w:pPr>
    <w:rPr>
      <w:rFonts w:ascii="Times New Roman" w:hAnsi="Times New Roman"/>
    </w:rPr>
  </w:style>
  <w:style w:type="paragraph" w:styleId="TOC1">
    <w:name w:val="toc 1"/>
    <w:basedOn w:val="TOCBase"/>
    <w:next w:val="Normal"/>
    <w:rsid w:val="004536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36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36F0"/>
    <w:rPr>
      <w:rFonts w:ascii="Times New Roman" w:eastAsia="Times New Roman" w:hAnsi="Times New Roman" w:cs="Times New Roman"/>
      <w:sz w:val="16"/>
      <w:lang w:eastAsia="en-US"/>
    </w:rPr>
  </w:style>
  <w:style w:type="paragraph" w:styleId="Title">
    <w:name w:val="Title"/>
    <w:basedOn w:val="HeadingBase"/>
    <w:link w:val="TitleChar"/>
    <w:qFormat/>
    <w:rsid w:val="004536F0"/>
    <w:pPr>
      <w:spacing w:before="5040"/>
      <w:jc w:val="center"/>
    </w:pPr>
    <w:rPr>
      <w:sz w:val="48"/>
      <w:szCs w:val="72"/>
      <w:lang w:val="en-US"/>
    </w:rPr>
  </w:style>
  <w:style w:type="character" w:customStyle="1" w:styleId="TitleChar">
    <w:name w:val="Title Char"/>
    <w:basedOn w:val="DefaultParagraphFont"/>
    <w:link w:val="Title"/>
    <w:rsid w:val="004536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36F0"/>
    <w:pPr>
      <w:tabs>
        <w:tab w:val="left" w:pos="3600"/>
        <w:tab w:val="left" w:pos="3958"/>
      </w:tabs>
    </w:pPr>
  </w:style>
  <w:style w:type="paragraph" w:styleId="List">
    <w:name w:val="List"/>
    <w:basedOn w:val="BodyText"/>
    <w:next w:val="BodyText"/>
    <w:rsid w:val="004536F0"/>
    <w:pPr>
      <w:tabs>
        <w:tab w:val="left" w:pos="340"/>
      </w:tabs>
      <w:spacing w:before="60" w:after="60"/>
      <w:ind w:left="340" w:hanging="340"/>
    </w:pPr>
  </w:style>
  <w:style w:type="paragraph" w:customStyle="1" w:styleId="Note">
    <w:name w:val="Note"/>
    <w:basedOn w:val="BodyText"/>
    <w:rsid w:val="004536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36F0"/>
    <w:pPr>
      <w:framePr w:wrap="auto" w:hAnchor="text" w:y="6049"/>
    </w:pPr>
    <w:rPr>
      <w:color w:val="000000"/>
      <w:sz w:val="40"/>
    </w:rPr>
  </w:style>
  <w:style w:type="paragraph" w:customStyle="1" w:styleId="TOCTitle">
    <w:name w:val="TOCTitle"/>
    <w:basedOn w:val="Heading1"/>
    <w:rsid w:val="004536F0"/>
    <w:pPr>
      <w:spacing w:after="240"/>
      <w:jc w:val="center"/>
      <w:outlineLvl w:val="9"/>
    </w:pPr>
    <w:rPr>
      <w:caps/>
    </w:rPr>
  </w:style>
  <w:style w:type="paragraph" w:customStyle="1" w:styleId="Version">
    <w:name w:val="Version"/>
    <w:rsid w:val="004536F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536F0"/>
    <w:pPr>
      <w:numPr>
        <w:numId w:val="12"/>
      </w:numPr>
      <w:tabs>
        <w:tab w:val="clear" w:pos="680"/>
      </w:tabs>
    </w:pPr>
  </w:style>
  <w:style w:type="paragraph" w:styleId="Index1">
    <w:name w:val="index 1"/>
    <w:basedOn w:val="Normal"/>
    <w:next w:val="Normal"/>
    <w:semiHidden/>
    <w:rsid w:val="004536F0"/>
    <w:pPr>
      <w:keepNext w:val="0"/>
      <w:tabs>
        <w:tab w:val="right" w:pos="4176"/>
      </w:tabs>
      <w:ind w:left="198" w:hanging="198"/>
    </w:pPr>
    <w:rPr>
      <w:rFonts w:ascii="Garamond" w:hAnsi="Garamond"/>
    </w:rPr>
  </w:style>
  <w:style w:type="paragraph" w:styleId="IndexHeading">
    <w:name w:val="index heading"/>
    <w:basedOn w:val="Normal"/>
    <w:next w:val="Index1"/>
    <w:semiHidden/>
    <w:rsid w:val="004536F0"/>
    <w:pPr>
      <w:spacing w:before="120" w:after="120"/>
    </w:pPr>
    <w:rPr>
      <w:rFonts w:ascii="Arial" w:hAnsi="Arial"/>
      <w:b/>
      <w:color w:val="918585"/>
      <w:sz w:val="24"/>
    </w:rPr>
  </w:style>
  <w:style w:type="paragraph" w:styleId="Header">
    <w:name w:val="header"/>
    <w:basedOn w:val="Normal"/>
    <w:link w:val="HeaderChar"/>
    <w:rsid w:val="004536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36F0"/>
    <w:rPr>
      <w:rFonts w:ascii="Times New Roman" w:eastAsia="Times New Roman" w:hAnsi="Times New Roman" w:cs="Times New Roman"/>
      <w:sz w:val="16"/>
      <w:szCs w:val="20"/>
      <w:lang w:val="en-GB" w:eastAsia="en-US"/>
    </w:rPr>
  </w:style>
  <w:style w:type="paragraph" w:customStyle="1" w:styleId="Chapter">
    <w:name w:val="Chapter"/>
    <w:basedOn w:val="Normal"/>
    <w:rsid w:val="004536F0"/>
    <w:pPr>
      <w:spacing w:before="240"/>
    </w:pPr>
    <w:rPr>
      <w:rFonts w:ascii="Times New Roman" w:hAnsi="Times New Roman"/>
      <w:smallCaps/>
      <w:spacing w:val="80"/>
      <w:sz w:val="28"/>
    </w:rPr>
  </w:style>
  <w:style w:type="paragraph" w:customStyle="1" w:styleId="InChapter">
    <w:name w:val="InChapter"/>
    <w:basedOn w:val="Heading3"/>
    <w:rsid w:val="004536F0"/>
    <w:pPr>
      <w:spacing w:after="240"/>
      <w:outlineLvl w:val="9"/>
    </w:pPr>
    <w:rPr>
      <w:noProof/>
    </w:rPr>
  </w:style>
  <w:style w:type="paragraph" w:styleId="Index2">
    <w:name w:val="index 2"/>
    <w:basedOn w:val="Normal"/>
    <w:next w:val="Normal"/>
    <w:semiHidden/>
    <w:rsid w:val="004536F0"/>
    <w:pPr>
      <w:tabs>
        <w:tab w:val="right" w:pos="4176"/>
      </w:tabs>
      <w:ind w:left="568" w:hanging="284"/>
    </w:pPr>
    <w:rPr>
      <w:rFonts w:ascii="Garamond" w:hAnsi="Garamond"/>
    </w:rPr>
  </w:style>
  <w:style w:type="paragraph" w:customStyle="1" w:styleId="Byline">
    <w:name w:val="Byline"/>
    <w:rsid w:val="004536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36F0"/>
    <w:pPr>
      <w:tabs>
        <w:tab w:val="clear" w:pos="3600"/>
        <w:tab w:val="clear" w:pos="3958"/>
      </w:tabs>
      <w:jc w:val="right"/>
    </w:pPr>
  </w:style>
  <w:style w:type="paragraph" w:styleId="Caption">
    <w:name w:val="caption"/>
    <w:basedOn w:val="BodyText"/>
    <w:next w:val="Normal"/>
    <w:qFormat/>
    <w:rsid w:val="004536F0"/>
    <w:pPr>
      <w:framePr w:w="2268" w:hSpace="181" w:vSpace="181" w:wrap="around" w:vAnchor="text" w:hAnchor="page" w:x="1135" w:y="285" w:anchorLock="1"/>
    </w:pPr>
    <w:rPr>
      <w:i/>
    </w:rPr>
  </w:style>
  <w:style w:type="paragraph" w:customStyle="1" w:styleId="MiniTOCTitle">
    <w:name w:val="MiniTOCTitle"/>
    <w:basedOn w:val="Heading4"/>
    <w:rsid w:val="004536F0"/>
    <w:pPr>
      <w:spacing w:before="240"/>
      <w:outlineLvl w:val="9"/>
    </w:pPr>
    <w:rPr>
      <w:noProof/>
      <w:sz w:val="24"/>
    </w:rPr>
  </w:style>
  <w:style w:type="paragraph" w:customStyle="1" w:styleId="MiniTOCItem">
    <w:name w:val="MiniTOCItem"/>
    <w:basedOn w:val="ListBullet"/>
    <w:rsid w:val="004536F0"/>
    <w:pPr>
      <w:numPr>
        <w:numId w:val="0"/>
      </w:numPr>
      <w:tabs>
        <w:tab w:val="right" w:leader="dot" w:pos="6521"/>
      </w:tabs>
      <w:spacing w:before="0" w:after="0"/>
    </w:pPr>
  </w:style>
  <w:style w:type="paragraph" w:customStyle="1" w:styleId="TOFTitle">
    <w:name w:val="TOFTitle"/>
    <w:basedOn w:val="TOCTitle"/>
    <w:rsid w:val="004536F0"/>
  </w:style>
  <w:style w:type="paragraph" w:styleId="TableofFigures">
    <w:name w:val="table of figures"/>
    <w:basedOn w:val="Normal"/>
    <w:next w:val="Normal"/>
    <w:semiHidden/>
    <w:rsid w:val="004536F0"/>
    <w:pPr>
      <w:tabs>
        <w:tab w:val="right" w:leader="dot" w:pos="9072"/>
      </w:tabs>
      <w:ind w:left="970" w:hanging="403"/>
    </w:pPr>
    <w:rPr>
      <w:rFonts w:ascii="Times New Roman" w:hAnsi="Times New Roman"/>
      <w:b/>
    </w:rPr>
  </w:style>
  <w:style w:type="paragraph" w:styleId="ListNumber">
    <w:name w:val="List Number"/>
    <w:basedOn w:val="List"/>
    <w:rsid w:val="004536F0"/>
    <w:pPr>
      <w:numPr>
        <w:numId w:val="14"/>
      </w:numPr>
      <w:tabs>
        <w:tab w:val="clear" w:pos="340"/>
      </w:tabs>
    </w:pPr>
  </w:style>
  <w:style w:type="character" w:customStyle="1" w:styleId="WingdingSymbols">
    <w:name w:val="Wingding Symbols"/>
    <w:rsid w:val="004536F0"/>
    <w:rPr>
      <w:rFonts w:ascii="Wingdings" w:hAnsi="Wingdings"/>
    </w:rPr>
  </w:style>
  <w:style w:type="paragraph" w:customStyle="1" w:styleId="TableHeading">
    <w:name w:val="Table Heading"/>
    <w:basedOn w:val="HeadingBase"/>
    <w:rsid w:val="004536F0"/>
    <w:pPr>
      <w:keepLines/>
      <w:pBdr>
        <w:bottom w:val="single" w:sz="6" w:space="1" w:color="918585"/>
      </w:pBdr>
      <w:spacing w:before="240"/>
    </w:pPr>
  </w:style>
  <w:style w:type="character" w:customStyle="1" w:styleId="HotSpot">
    <w:name w:val="HotSpot"/>
    <w:rsid w:val="004536F0"/>
    <w:rPr>
      <w:color w:val="0033CC"/>
      <w:u w:val="none"/>
    </w:rPr>
  </w:style>
  <w:style w:type="paragraph" w:customStyle="1" w:styleId="BodyTextRight">
    <w:name w:val="Body Text Right"/>
    <w:basedOn w:val="BodyText"/>
    <w:rsid w:val="004536F0"/>
    <w:pPr>
      <w:spacing w:before="0" w:after="0"/>
      <w:jc w:val="right"/>
    </w:pPr>
  </w:style>
  <w:style w:type="paragraph" w:styleId="Index3">
    <w:name w:val="index 3"/>
    <w:basedOn w:val="ListNumber2"/>
    <w:next w:val="Normal"/>
    <w:semiHidden/>
    <w:rsid w:val="004536F0"/>
    <w:pPr>
      <w:numPr>
        <w:numId w:val="0"/>
      </w:numPr>
      <w:tabs>
        <w:tab w:val="right" w:leader="dot" w:pos="4176"/>
      </w:tabs>
    </w:pPr>
  </w:style>
  <w:style w:type="paragraph" w:styleId="ListNumber2">
    <w:name w:val="List Number 2"/>
    <w:basedOn w:val="List2"/>
    <w:rsid w:val="004536F0"/>
    <w:pPr>
      <w:numPr>
        <w:numId w:val="9"/>
      </w:numPr>
      <w:tabs>
        <w:tab w:val="clear" w:pos="1060"/>
      </w:tabs>
    </w:pPr>
  </w:style>
  <w:style w:type="paragraph" w:customStyle="1" w:styleId="MarginNote">
    <w:name w:val="Margin Note"/>
    <w:basedOn w:val="BodyText"/>
    <w:rsid w:val="004536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36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36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36F0"/>
    <w:rPr>
      <w:sz w:val="32"/>
    </w:rPr>
  </w:style>
  <w:style w:type="paragraph" w:customStyle="1" w:styleId="HeadingProcedure">
    <w:name w:val="Heading Procedure"/>
    <w:basedOn w:val="HeadingBase"/>
    <w:next w:val="Normal"/>
    <w:rsid w:val="004536F0"/>
    <w:pPr>
      <w:tabs>
        <w:tab w:val="left" w:pos="0"/>
      </w:tabs>
      <w:spacing w:before="120" w:after="60"/>
    </w:pPr>
    <w:rPr>
      <w:i/>
      <w:color w:val="918585"/>
      <w:sz w:val="22"/>
    </w:rPr>
  </w:style>
  <w:style w:type="paragraph" w:customStyle="1" w:styleId="TableBodyText">
    <w:name w:val="Table Body Text"/>
    <w:basedOn w:val="BodyText"/>
    <w:rsid w:val="004536F0"/>
    <w:pPr>
      <w:spacing w:before="60" w:after="60"/>
    </w:pPr>
  </w:style>
  <w:style w:type="paragraph" w:styleId="ListContinue">
    <w:name w:val="List Continue"/>
    <w:basedOn w:val="List"/>
    <w:rsid w:val="004536F0"/>
    <w:pPr>
      <w:ind w:firstLine="0"/>
    </w:pPr>
  </w:style>
  <w:style w:type="paragraph" w:customStyle="1" w:styleId="ListNote">
    <w:name w:val="List Note"/>
    <w:basedOn w:val="List"/>
    <w:rsid w:val="004536F0"/>
    <w:pPr>
      <w:pBdr>
        <w:top w:val="single" w:sz="6" w:space="2" w:color="918585"/>
        <w:bottom w:val="single" w:sz="6" w:space="2" w:color="918585"/>
      </w:pBdr>
      <w:tabs>
        <w:tab w:val="left" w:pos="1021"/>
      </w:tabs>
      <w:ind w:firstLine="0"/>
    </w:pPr>
  </w:style>
  <w:style w:type="paragraph" w:customStyle="1" w:styleId="Warning">
    <w:name w:val="Warning"/>
    <w:basedOn w:val="BodyText"/>
    <w:rsid w:val="004536F0"/>
    <w:pPr>
      <w:shd w:val="clear" w:color="auto" w:fill="D9D9D9"/>
      <w:tabs>
        <w:tab w:val="left" w:pos="992"/>
      </w:tabs>
      <w:ind w:left="119" w:right="119"/>
    </w:pPr>
    <w:rPr>
      <w:sz w:val="20"/>
    </w:rPr>
  </w:style>
  <w:style w:type="paragraph" w:customStyle="1" w:styleId="MarginIcons">
    <w:name w:val="Margin Icons"/>
    <w:basedOn w:val="BodyText"/>
    <w:rsid w:val="004536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36F0"/>
    <w:rPr>
      <w:rFonts w:ascii="Courier New" w:hAnsi="Courier New"/>
    </w:rPr>
  </w:style>
  <w:style w:type="paragraph" w:customStyle="1" w:styleId="NoteBullet">
    <w:name w:val="Note Bullet"/>
    <w:basedOn w:val="Note"/>
    <w:rsid w:val="004536F0"/>
    <w:pPr>
      <w:tabs>
        <w:tab w:val="clear" w:pos="680"/>
      </w:tabs>
      <w:spacing w:before="60" w:after="60"/>
    </w:pPr>
  </w:style>
  <w:style w:type="paragraph" w:customStyle="1" w:styleId="SubHeading2">
    <w:name w:val="SubHeading2"/>
    <w:basedOn w:val="HeadingBase"/>
    <w:rsid w:val="004536F0"/>
    <w:pPr>
      <w:spacing w:before="240" w:after="60"/>
    </w:pPr>
    <w:rPr>
      <w:sz w:val="20"/>
    </w:rPr>
  </w:style>
  <w:style w:type="paragraph" w:customStyle="1" w:styleId="SubHeading1">
    <w:name w:val="SubHeading1"/>
    <w:basedOn w:val="HeadingBase"/>
    <w:rsid w:val="004536F0"/>
    <w:pPr>
      <w:spacing w:before="240" w:after="60"/>
    </w:pPr>
    <w:rPr>
      <w:color w:val="918585"/>
      <w:sz w:val="22"/>
    </w:rPr>
  </w:style>
  <w:style w:type="paragraph" w:customStyle="1" w:styleId="SideHeading">
    <w:name w:val="Side Heading"/>
    <w:basedOn w:val="HeadingBase"/>
    <w:rsid w:val="004536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36F0"/>
    <w:pPr>
      <w:numPr>
        <w:numId w:val="10"/>
      </w:numPr>
    </w:pPr>
  </w:style>
  <w:style w:type="paragraph" w:styleId="PlainText">
    <w:name w:val="Plain Text"/>
    <w:basedOn w:val="Normal"/>
    <w:link w:val="PlainTextChar"/>
    <w:rsid w:val="004536F0"/>
    <w:rPr>
      <w:sz w:val="20"/>
    </w:rPr>
  </w:style>
  <w:style w:type="character" w:customStyle="1" w:styleId="PlainTextChar">
    <w:name w:val="Plain Text Char"/>
    <w:basedOn w:val="DefaultParagraphFont"/>
    <w:link w:val="PlainText"/>
    <w:rsid w:val="004536F0"/>
    <w:rPr>
      <w:rFonts w:ascii="Courier New" w:eastAsia="Times New Roman" w:hAnsi="Courier New" w:cs="Times New Roman"/>
      <w:sz w:val="20"/>
      <w:szCs w:val="20"/>
      <w:lang w:eastAsia="en-US"/>
    </w:rPr>
  </w:style>
  <w:style w:type="character" w:customStyle="1" w:styleId="MenuOption">
    <w:name w:val="Menu Option"/>
    <w:basedOn w:val="DefaultParagraphFont"/>
    <w:rsid w:val="004536F0"/>
    <w:rPr>
      <w:b/>
      <w:smallCaps/>
    </w:rPr>
  </w:style>
  <w:style w:type="paragraph" w:customStyle="1" w:styleId="TableListNumber">
    <w:name w:val="Table List Number"/>
    <w:basedOn w:val="ListNumber"/>
    <w:rsid w:val="004536F0"/>
    <w:pPr>
      <w:numPr>
        <w:numId w:val="0"/>
      </w:numPr>
    </w:pPr>
  </w:style>
  <w:style w:type="paragraph" w:styleId="TOC4">
    <w:name w:val="toc 4"/>
    <w:basedOn w:val="TOCBase"/>
    <w:next w:val="Normal"/>
    <w:semiHidden/>
    <w:rsid w:val="004536F0"/>
    <w:pPr>
      <w:tabs>
        <w:tab w:val="right" w:leader="dot" w:pos="9071"/>
      </w:tabs>
      <w:ind w:left="1701"/>
    </w:pPr>
  </w:style>
  <w:style w:type="paragraph" w:customStyle="1" w:styleId="ListAlpha">
    <w:name w:val="List Alpha"/>
    <w:basedOn w:val="List"/>
    <w:rsid w:val="004536F0"/>
    <w:pPr>
      <w:numPr>
        <w:numId w:val="8"/>
      </w:numPr>
    </w:pPr>
  </w:style>
  <w:style w:type="paragraph" w:customStyle="1" w:styleId="ListAlpha2">
    <w:name w:val="List Alpha 2"/>
    <w:basedOn w:val="List2"/>
    <w:rsid w:val="004536F0"/>
    <w:pPr>
      <w:numPr>
        <w:numId w:val="7"/>
      </w:numPr>
    </w:pPr>
  </w:style>
  <w:style w:type="paragraph" w:styleId="List2">
    <w:name w:val="List 2"/>
    <w:basedOn w:val="BodyText"/>
    <w:rsid w:val="004536F0"/>
    <w:pPr>
      <w:tabs>
        <w:tab w:val="left" w:pos="680"/>
      </w:tabs>
      <w:spacing w:before="60" w:after="60"/>
      <w:ind w:left="680" w:hanging="340"/>
    </w:pPr>
  </w:style>
  <w:style w:type="paragraph" w:styleId="List3">
    <w:name w:val="List 3"/>
    <w:basedOn w:val="BodyText"/>
    <w:rsid w:val="004536F0"/>
    <w:pPr>
      <w:tabs>
        <w:tab w:val="left" w:pos="1021"/>
      </w:tabs>
      <w:spacing w:before="60" w:after="60"/>
      <w:ind w:left="1020" w:hanging="340"/>
    </w:pPr>
  </w:style>
  <w:style w:type="paragraph" w:styleId="List4">
    <w:name w:val="List 4"/>
    <w:basedOn w:val="BodyText"/>
    <w:rsid w:val="004536F0"/>
    <w:pPr>
      <w:tabs>
        <w:tab w:val="left" w:pos="1361"/>
      </w:tabs>
      <w:spacing w:before="60" w:after="60"/>
      <w:ind w:left="1361" w:hanging="340"/>
    </w:pPr>
  </w:style>
  <w:style w:type="paragraph" w:styleId="List5">
    <w:name w:val="List 5"/>
    <w:basedOn w:val="BodyText"/>
    <w:rsid w:val="004536F0"/>
    <w:pPr>
      <w:tabs>
        <w:tab w:val="left" w:pos="1701"/>
      </w:tabs>
      <w:spacing w:before="60" w:after="60"/>
      <w:ind w:left="1701" w:hanging="340"/>
    </w:pPr>
  </w:style>
  <w:style w:type="paragraph" w:styleId="ListBullet3">
    <w:name w:val="List Bullet 3"/>
    <w:basedOn w:val="List3"/>
    <w:rsid w:val="004536F0"/>
    <w:pPr>
      <w:numPr>
        <w:numId w:val="13"/>
      </w:numPr>
      <w:tabs>
        <w:tab w:val="clear" w:pos="1021"/>
      </w:tabs>
      <w:ind w:left="1037" w:hanging="357"/>
    </w:pPr>
  </w:style>
  <w:style w:type="paragraph" w:styleId="ListBullet4">
    <w:name w:val="List Bullet 4"/>
    <w:basedOn w:val="List4"/>
    <w:rsid w:val="004536F0"/>
    <w:pPr>
      <w:numPr>
        <w:numId w:val="2"/>
      </w:numPr>
      <w:tabs>
        <w:tab w:val="clear" w:pos="1361"/>
      </w:tabs>
    </w:pPr>
  </w:style>
  <w:style w:type="paragraph" w:styleId="ListBullet5">
    <w:name w:val="List Bullet 5"/>
    <w:basedOn w:val="List5"/>
    <w:rsid w:val="004536F0"/>
    <w:pPr>
      <w:numPr>
        <w:numId w:val="3"/>
      </w:numPr>
    </w:pPr>
  </w:style>
  <w:style w:type="paragraph" w:styleId="ListContinue2">
    <w:name w:val="List Continue 2"/>
    <w:basedOn w:val="List2"/>
    <w:rsid w:val="004536F0"/>
    <w:pPr>
      <w:ind w:firstLine="0"/>
    </w:pPr>
  </w:style>
  <w:style w:type="paragraph" w:styleId="ListContinue3">
    <w:name w:val="List Continue 3"/>
    <w:basedOn w:val="List3"/>
    <w:rsid w:val="004536F0"/>
    <w:pPr>
      <w:ind w:left="1021" w:firstLine="0"/>
    </w:pPr>
  </w:style>
  <w:style w:type="paragraph" w:styleId="ListContinue4">
    <w:name w:val="List Continue 4"/>
    <w:basedOn w:val="List4"/>
    <w:rsid w:val="004536F0"/>
    <w:pPr>
      <w:ind w:firstLine="0"/>
    </w:pPr>
  </w:style>
  <w:style w:type="paragraph" w:styleId="ListContinue5">
    <w:name w:val="List Continue 5"/>
    <w:basedOn w:val="List5"/>
    <w:rsid w:val="004536F0"/>
    <w:pPr>
      <w:ind w:firstLine="0"/>
    </w:pPr>
  </w:style>
  <w:style w:type="paragraph" w:styleId="ListNumber3">
    <w:name w:val="List Number 3"/>
    <w:basedOn w:val="List3"/>
    <w:rsid w:val="004536F0"/>
    <w:pPr>
      <w:numPr>
        <w:numId w:val="4"/>
      </w:numPr>
    </w:pPr>
  </w:style>
  <w:style w:type="paragraph" w:styleId="ListNumber4">
    <w:name w:val="List Number 4"/>
    <w:basedOn w:val="List4"/>
    <w:rsid w:val="004536F0"/>
    <w:pPr>
      <w:numPr>
        <w:numId w:val="5"/>
      </w:numPr>
    </w:pPr>
  </w:style>
  <w:style w:type="paragraph" w:styleId="ListNumber5">
    <w:name w:val="List Number 5"/>
    <w:basedOn w:val="List5"/>
    <w:rsid w:val="004536F0"/>
    <w:pPr>
      <w:numPr>
        <w:numId w:val="6"/>
      </w:numPr>
    </w:pPr>
  </w:style>
  <w:style w:type="paragraph" w:styleId="BlockText">
    <w:name w:val="Block Text"/>
    <w:basedOn w:val="Normal"/>
    <w:rsid w:val="004536F0"/>
    <w:pPr>
      <w:spacing w:after="120"/>
      <w:ind w:left="1440" w:right="1440"/>
    </w:pPr>
  </w:style>
  <w:style w:type="character" w:customStyle="1" w:styleId="Subscript">
    <w:name w:val="Subscript"/>
    <w:basedOn w:val="DefaultParagraphFont"/>
    <w:rsid w:val="004536F0"/>
    <w:rPr>
      <w:sz w:val="16"/>
      <w:vertAlign w:val="subscript"/>
    </w:rPr>
  </w:style>
  <w:style w:type="character" w:customStyle="1" w:styleId="Superscript">
    <w:name w:val="Superscript"/>
    <w:basedOn w:val="DefaultParagraphFont"/>
    <w:rsid w:val="004536F0"/>
    <w:rPr>
      <w:sz w:val="16"/>
      <w:vertAlign w:val="superscript"/>
    </w:rPr>
  </w:style>
  <w:style w:type="character" w:customStyle="1" w:styleId="Symbols">
    <w:name w:val="Symbols"/>
    <w:basedOn w:val="DefaultParagraphFont"/>
    <w:rsid w:val="004536F0"/>
    <w:rPr>
      <w:rFonts w:ascii="Symbol" w:hAnsi="Symbol"/>
    </w:rPr>
  </w:style>
  <w:style w:type="character" w:customStyle="1" w:styleId="MenuOptions">
    <w:name w:val="Menu Options"/>
    <w:basedOn w:val="DefaultParagraphFont"/>
    <w:rsid w:val="004536F0"/>
    <w:rPr>
      <w:rFonts w:ascii="Arial Narrow" w:hAnsi="Arial Narrow"/>
      <w:smallCaps/>
    </w:rPr>
  </w:style>
  <w:style w:type="character" w:customStyle="1" w:styleId="Buttons">
    <w:name w:val="Buttons"/>
    <w:basedOn w:val="DefaultParagraphFont"/>
    <w:rsid w:val="004536F0"/>
    <w:rPr>
      <w:b/>
    </w:rPr>
  </w:style>
  <w:style w:type="character" w:customStyle="1" w:styleId="Underlined">
    <w:name w:val="Underlined"/>
    <w:basedOn w:val="DefaultParagraphFont"/>
    <w:rsid w:val="004536F0"/>
    <w:rPr>
      <w:u w:val="single"/>
    </w:rPr>
  </w:style>
  <w:style w:type="paragraph" w:customStyle="1" w:styleId="TableBodyTextRight">
    <w:name w:val="Table Body Text Right"/>
    <w:basedOn w:val="TableBodyText"/>
    <w:rsid w:val="004536F0"/>
    <w:pPr>
      <w:widowControl w:val="0"/>
      <w:autoSpaceDE w:val="0"/>
      <w:autoSpaceDN w:val="0"/>
      <w:adjustRightInd w:val="0"/>
      <w:jc w:val="right"/>
    </w:pPr>
    <w:rPr>
      <w:rFonts w:cs="Arial"/>
      <w:szCs w:val="18"/>
    </w:rPr>
  </w:style>
  <w:style w:type="paragraph" w:customStyle="1" w:styleId="CopyrightText">
    <w:name w:val="Copyright Text"/>
    <w:basedOn w:val="BodyText"/>
    <w:rsid w:val="004536F0"/>
    <w:rPr>
      <w:sz w:val="18"/>
    </w:rPr>
  </w:style>
  <w:style w:type="paragraph" w:customStyle="1" w:styleId="BodySmallRight">
    <w:name w:val="Body Small Right"/>
    <w:basedOn w:val="BodyTextRight"/>
    <w:rsid w:val="004536F0"/>
    <w:rPr>
      <w:sz w:val="18"/>
      <w:szCs w:val="18"/>
    </w:rPr>
  </w:style>
  <w:style w:type="paragraph" w:customStyle="1" w:styleId="MarginEdition">
    <w:name w:val="Margin Edition"/>
    <w:basedOn w:val="MarginNote"/>
    <w:rsid w:val="004536F0"/>
    <w:pPr>
      <w:spacing w:before="0" w:after="0"/>
    </w:pPr>
    <w:rPr>
      <w:rFonts w:ascii="Times New Roman" w:hAnsi="Times New Roman"/>
      <w:color w:val="999999"/>
    </w:rPr>
  </w:style>
  <w:style w:type="paragraph" w:customStyle="1" w:styleId="Spacer">
    <w:name w:val="Spacer"/>
    <w:basedOn w:val="Normal"/>
    <w:rsid w:val="004536F0"/>
    <w:rPr>
      <w:sz w:val="2"/>
      <w:szCs w:val="2"/>
    </w:rPr>
  </w:style>
  <w:style w:type="character" w:customStyle="1" w:styleId="Small">
    <w:name w:val="Small"/>
    <w:basedOn w:val="DefaultParagraphFont"/>
    <w:rsid w:val="004536F0"/>
    <w:rPr>
      <w:sz w:val="16"/>
    </w:rPr>
  </w:style>
  <w:style w:type="paragraph" w:customStyle="1" w:styleId="WideTable">
    <w:name w:val="Wide Table"/>
    <w:basedOn w:val="Normal"/>
    <w:rsid w:val="004536F0"/>
    <w:pPr>
      <w:ind w:left="-1418"/>
    </w:pPr>
    <w:rPr>
      <w:sz w:val="2"/>
      <w:szCs w:val="2"/>
    </w:rPr>
  </w:style>
  <w:style w:type="character" w:styleId="PageNumber">
    <w:name w:val="page number"/>
    <w:basedOn w:val="DefaultParagraphFont"/>
    <w:rsid w:val="004536F0"/>
  </w:style>
  <w:style w:type="paragraph" w:styleId="Quote">
    <w:name w:val="Quote"/>
    <w:basedOn w:val="Heading1"/>
    <w:link w:val="QuoteChar"/>
    <w:qFormat/>
    <w:rsid w:val="004536F0"/>
    <w:rPr>
      <w:b w:val="0"/>
      <w:sz w:val="72"/>
      <w:szCs w:val="72"/>
      <w:lang w:val="en-NZ"/>
    </w:rPr>
  </w:style>
  <w:style w:type="character" w:customStyle="1" w:styleId="QuoteChar">
    <w:name w:val="Quote Char"/>
    <w:basedOn w:val="DefaultParagraphFont"/>
    <w:link w:val="Quote"/>
    <w:rsid w:val="004536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36F0"/>
    <w:pPr>
      <w:pageBreakBefore/>
    </w:pPr>
  </w:style>
  <w:style w:type="paragraph" w:customStyle="1" w:styleId="Border">
    <w:name w:val="Border"/>
    <w:basedOn w:val="Normal"/>
    <w:qFormat/>
    <w:rsid w:val="004536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36F0"/>
    <w:rPr>
      <w:b/>
      <w:bCs/>
      <w:i/>
      <w:iCs/>
      <w:color w:val="auto"/>
    </w:rPr>
  </w:style>
  <w:style w:type="paragraph" w:styleId="IntenseQuote">
    <w:name w:val="Intense Quote"/>
    <w:basedOn w:val="Normal"/>
    <w:next w:val="Normal"/>
    <w:link w:val="IntenseQuoteChar"/>
    <w:uiPriority w:val="30"/>
    <w:qFormat/>
    <w:rsid w:val="004536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36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36F0"/>
    <w:rPr>
      <w:smallCaps/>
      <w:color w:val="auto"/>
      <w:u w:val="single"/>
    </w:rPr>
  </w:style>
  <w:style w:type="character" w:styleId="IntenseReference">
    <w:name w:val="Intense Reference"/>
    <w:basedOn w:val="DefaultParagraphFont"/>
    <w:uiPriority w:val="32"/>
    <w:qFormat/>
    <w:rsid w:val="004536F0"/>
    <w:rPr>
      <w:b/>
      <w:bCs/>
      <w:smallCaps/>
      <w:color w:val="auto"/>
      <w:spacing w:val="5"/>
      <w:u w:val="single"/>
    </w:rPr>
  </w:style>
  <w:style w:type="paragraph" w:customStyle="1" w:styleId="2ColumnHeading">
    <w:name w:val="2Column Heading"/>
    <w:basedOn w:val="BodyText"/>
    <w:qFormat/>
    <w:rsid w:val="004536F0"/>
    <w:pPr>
      <w:spacing w:after="60"/>
      <w:ind w:left="-2268"/>
    </w:pPr>
    <w:rPr>
      <w:b/>
    </w:rPr>
  </w:style>
  <w:style w:type="paragraph" w:customStyle="1" w:styleId="Heading1TOC">
    <w:name w:val="Heading1 TOC"/>
    <w:basedOn w:val="Normal"/>
    <w:qFormat/>
    <w:rsid w:val="004536F0"/>
    <w:pPr>
      <w:spacing w:before="240" w:after="120"/>
    </w:pPr>
    <w:rPr>
      <w:rFonts w:ascii="Times New Roman" w:hAnsi="Times New Roman"/>
      <w:b/>
      <w:sz w:val="32"/>
    </w:rPr>
  </w:style>
  <w:style w:type="paragraph" w:customStyle="1" w:styleId="Heading2TOC">
    <w:name w:val="Heading2 TOC"/>
    <w:basedOn w:val="Normal"/>
    <w:qFormat/>
    <w:rsid w:val="004536F0"/>
    <w:pPr>
      <w:spacing w:before="240" w:after="60"/>
    </w:pPr>
    <w:rPr>
      <w:rFonts w:ascii="Times New Roman" w:hAnsi="Times New Roman"/>
      <w:b/>
      <w:sz w:val="28"/>
    </w:rPr>
  </w:style>
  <w:style w:type="character" w:customStyle="1" w:styleId="Underline">
    <w:name w:val="Underline"/>
    <w:basedOn w:val="DefaultParagraphFont"/>
    <w:qFormat/>
    <w:rsid w:val="004536F0"/>
    <w:rPr>
      <w:u w:val="single"/>
    </w:rPr>
  </w:style>
  <w:style w:type="character" w:customStyle="1" w:styleId="BoldandItalics">
    <w:name w:val="Bold and Italics"/>
    <w:qFormat/>
    <w:rsid w:val="004536F0"/>
    <w:rPr>
      <w:b/>
      <w:i/>
      <w:u w:val="none"/>
    </w:rPr>
  </w:style>
  <w:style w:type="paragraph" w:styleId="BalloonText">
    <w:name w:val="Balloon Text"/>
    <w:basedOn w:val="Normal"/>
    <w:link w:val="BalloonTextChar"/>
    <w:rsid w:val="004536F0"/>
    <w:rPr>
      <w:rFonts w:ascii="Tahoma" w:hAnsi="Tahoma" w:cs="Tahoma"/>
      <w:sz w:val="16"/>
      <w:szCs w:val="16"/>
    </w:rPr>
  </w:style>
  <w:style w:type="character" w:customStyle="1" w:styleId="BalloonTextChar">
    <w:name w:val="Balloon Text Char"/>
    <w:basedOn w:val="DefaultParagraphFont"/>
    <w:link w:val="BalloonText"/>
    <w:rsid w:val="004536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36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36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36F0"/>
    <w:rPr>
      <w:b/>
      <w:color w:val="660033"/>
      <w:spacing w:val="0"/>
    </w:rPr>
  </w:style>
  <w:style w:type="paragraph" w:customStyle="1" w:styleId="Nameditemlist">
    <w:name w:val="Named item list"/>
    <w:basedOn w:val="BodyText"/>
    <w:qFormat/>
    <w:rsid w:val="004536F0"/>
    <w:pPr>
      <w:tabs>
        <w:tab w:val="left" w:pos="2835"/>
      </w:tabs>
      <w:ind w:left="2835" w:hanging="2835"/>
    </w:pPr>
  </w:style>
  <w:style w:type="paragraph" w:customStyle="1" w:styleId="BodyTextnopadding">
    <w:name w:val="Body Text no padding"/>
    <w:basedOn w:val="BodyText"/>
    <w:qFormat/>
    <w:rsid w:val="004536F0"/>
    <w:pPr>
      <w:spacing w:before="0" w:after="0"/>
    </w:pPr>
  </w:style>
  <w:style w:type="paragraph" w:customStyle="1" w:styleId="BodyTextBold">
    <w:name w:val="Body Text Bold"/>
    <w:basedOn w:val="BodyText"/>
    <w:qFormat/>
    <w:rsid w:val="004536F0"/>
    <w:rPr>
      <w:b/>
    </w:rPr>
  </w:style>
  <w:style w:type="character" w:styleId="Hyperlink">
    <w:name w:val="Hyperlink"/>
    <w:basedOn w:val="DefaultParagraphFont"/>
    <w:uiPriority w:val="99"/>
    <w:unhideWhenUsed/>
    <w:rsid w:val="000750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1219</Words>
  <Characters>7918</Characters>
  <Application>Microsoft Office Word</Application>
  <DocSecurity>0</DocSecurity>
  <Lines>359</Lines>
  <Paragraphs>172</Paragraphs>
  <ScaleCrop>false</ScaleCrop>
  <Company>Author-it Software Corporation Ltd.</Company>
  <LinksUpToDate>false</LinksUpToDate>
  <CharactersWithSpaces>8965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MSMTMINS402 Inspect liquid measuring instruments using volume measures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2022-11-21T09:15:00Z</dcterms:created>
  <dcterms:modified xsi:type="dcterms:W3CDTF">2022-11-21T09:15:00Z</dcterms:modified>
</cp:coreProperties>
</file>