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24FB" w:rsidP="002924FB">
      <w:pPr>
        <w:pStyle w:val="Title"/>
      </w:pPr>
      <w:r>
        <w:fldChar w:fldCharType="begin"/>
      </w:r>
      <w:r>
        <w:instrText xml:space="preserve"> TITLE   \* MERGEFORMAT </w:instrText>
      </w:r>
      <w:r>
        <w:fldChar w:fldCharType="separate"/>
      </w:r>
      <w:r>
        <w:t>MSMTMINS401 Inspect a range of weighing instruments</w:t>
      </w:r>
      <w:r>
        <w:fldChar w:fldCharType="end"/>
      </w:r>
    </w:p>
    <w:p w:rsidR="002924FB" w:rsidP="002924FB">
      <w:pPr>
        <w:pStyle w:val="Version"/>
        <w:sectPr w:rsidSect="002913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13A2" w:rsidP="002913A2">
      <w:pPr>
        <w:pStyle w:val="SuperHeading"/>
      </w:pPr>
      <w:r w:rsidRPr="002913A2">
        <w:t>MSMTMINS401 Inspect a range of weighing instruments</w:t>
      </w:r>
    </w:p>
    <w:p w:rsidR="00000000" w:rsidRPr="002913A2" w:rsidP="002913A2">
      <w:pPr>
        <w:pStyle w:val="Heading1"/>
      </w:pPr>
      <w:bookmarkStart w:id="1" w:name="O_939462"/>
      <w:bookmarkEnd w:id="1"/>
      <w:r w:rsidRPr="002913A2">
        <w:t>Modification History</w:t>
      </w:r>
    </w:p>
    <w:p w:rsidR="00000000" w:rsidRPr="002913A2" w:rsidP="002924FB">
      <w:pPr>
        <w:pStyle w:val="BodyText"/>
      </w:pPr>
      <w:r w:rsidRPr="002913A2">
        <w:t>Release 2. Adjustments to the Application, Performance Criteria and Range of Conditions. Adjustment to the Assessment Conditions. Equivalent.</w:t>
      </w:r>
    </w:p>
    <w:p w:rsidR="00000000" w:rsidRPr="002913A2" w:rsidP="002924FB">
      <w:pPr>
        <w:pStyle w:val="BodyText"/>
      </w:pPr>
      <w:r w:rsidRPr="002913A2">
        <w:t>Release 1. Supersedes and is equivalent to MSATMINS401A Inspect a range of weighing i</w:t>
      </w:r>
      <w:r w:rsidRPr="002913A2">
        <w:t>nstruments</w:t>
      </w:r>
    </w:p>
    <w:p w:rsidR="00000000" w:rsidRPr="002913A2" w:rsidP="002913A2">
      <w:pPr>
        <w:pStyle w:val="Heading1"/>
      </w:pPr>
      <w:bookmarkStart w:id="2" w:name="O_939461"/>
      <w:bookmarkEnd w:id="2"/>
      <w:r w:rsidRPr="002913A2">
        <w:t>Application</w:t>
      </w:r>
    </w:p>
    <w:p w:rsidR="00000000" w:rsidRPr="002913A2" w:rsidP="002924FB">
      <w:pPr>
        <w:pStyle w:val="BodyText"/>
      </w:pPr>
      <w:r w:rsidRPr="002913A2">
        <w:t>This unit of competency covers the ability to apply National Instrument Test Procedures to determine whether non-automatic weighing instruments and catchweighers are suitable for trade use. The unit also involves ass</w:t>
      </w:r>
      <w:r w:rsidRPr="002913A2">
        <w:t>essing the performance of verifiers, by auditing recently verified weighing instruments, to ensure they meet the legislative requirements for trade use.</w:t>
      </w:r>
    </w:p>
    <w:p w:rsidR="00000000" w:rsidRPr="002913A2" w:rsidP="002924FB">
      <w:pPr>
        <w:pStyle w:val="BodyText"/>
      </w:pPr>
      <w:r w:rsidRPr="002913A2">
        <w:t>This unit of competency is applicable to trade measurement inspectors appointed under national measure</w:t>
      </w:r>
      <w:r w:rsidRPr="002913A2">
        <w:t>ment legislation who may inspect a wide range of weighing instruments as part of their allocated duties. For example, weighing instruments are used to measure a wide range of products at the point of sale, as an order or as a pre-packaged article. There is</w:t>
      </w:r>
      <w:r w:rsidRPr="002913A2">
        <w:t xml:space="preserve"> a large range of environments where these instruments are used including pharmaceutical laboratories, supermarkets, fresh food retailers, packing houses, the chemical/petroleum industry, construction, mining and other extractive industry sectors. Inspecto</w:t>
      </w:r>
      <w:r w:rsidRPr="002913A2">
        <w:t>rs must work safely, including applying basic first aid, assessing potential confined spaces, working with hazardous materials, working in hazardous environments, working with heavy machinery, completing safety inductions and working at heights.</w:t>
      </w:r>
    </w:p>
    <w:p w:rsidR="00000000" w:rsidRPr="002913A2" w:rsidP="002924FB">
      <w:pPr>
        <w:pStyle w:val="BodyText"/>
      </w:pPr>
      <w:r w:rsidRPr="002913A2">
        <w:t xml:space="preserve">While no </w:t>
      </w:r>
      <w:r w:rsidRPr="002913A2">
        <w:t xml:space="preserve">specific licensing or certification requirements apply to this unit at the time of publication, all inspection activity is legislated under the </w:t>
      </w:r>
      <w:r w:rsidRPr="002913A2">
        <w:rPr>
          <w:rStyle w:val="Emphasis"/>
        </w:rPr>
        <w:t>National Measurement Act 1960</w:t>
      </w:r>
      <w:r w:rsidRPr="002913A2">
        <w:t xml:space="preserve">. </w:t>
      </w:r>
    </w:p>
    <w:p w:rsidR="00000000" w:rsidRPr="002913A2" w:rsidP="002913A2">
      <w:pPr>
        <w:pStyle w:val="Heading1"/>
      </w:pPr>
      <w:bookmarkStart w:id="3" w:name="O_939460"/>
      <w:bookmarkEnd w:id="3"/>
      <w:r w:rsidRPr="002913A2">
        <w:t>Pre-requisite Unit</w:t>
      </w:r>
    </w:p>
    <w:p w:rsidR="00000000" w:rsidRPr="002913A2" w:rsidP="002924FB">
      <w:pPr>
        <w:pStyle w:val="BodyText"/>
      </w:pPr>
      <w:r w:rsidRPr="002913A2">
        <w:t>Nil</w:t>
      </w:r>
    </w:p>
    <w:p w:rsidR="00000000" w:rsidRPr="002913A2" w:rsidP="002913A2">
      <w:pPr>
        <w:pStyle w:val="Heading1"/>
      </w:pPr>
      <w:bookmarkStart w:id="4" w:name="O_939459"/>
      <w:bookmarkEnd w:id="4"/>
      <w:r w:rsidRPr="002913A2">
        <w:t>Competency Field</w:t>
      </w:r>
    </w:p>
    <w:p w:rsidR="00000000" w:rsidRPr="002913A2" w:rsidP="002924FB">
      <w:pPr>
        <w:pStyle w:val="BodyText"/>
      </w:pPr>
      <w:r w:rsidRPr="002913A2">
        <w:t xml:space="preserve">Trade </w:t>
      </w:r>
      <w:r w:rsidRPr="002913A2">
        <w:t>measurement</w:t>
      </w:r>
    </w:p>
    <w:p w:rsidR="00000000" w:rsidRPr="002913A2" w:rsidP="002913A2">
      <w:pPr>
        <w:pStyle w:val="Heading1"/>
      </w:pPr>
      <w:bookmarkStart w:id="5" w:name="O_939458"/>
      <w:bookmarkEnd w:id="5"/>
      <w:r w:rsidRPr="002913A2">
        <w:t>Unit Sector</w:t>
      </w:r>
    </w:p>
    <w:p w:rsidR="00000000" w:rsidRPr="002913A2" w:rsidP="002913A2">
      <w:pPr>
        <w:pStyle w:val="Heading1"/>
      </w:pPr>
      <w:bookmarkStart w:id="6" w:name="O_939457"/>
      <w:bookmarkEnd w:id="6"/>
      <w:r w:rsidRPr="002913A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913A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Performance criteria describe the performance needed to demonstrate achievement of the element</w:t>
            </w:r>
          </w:p>
        </w:tc>
      </w:tr>
      <w:tr w:rsidTr="002913A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2913A2">
            <w:pPr>
              <w:pStyle w:val="BodyText"/>
              <w:rPr>
                <w:lang w:val="en-NZ"/>
              </w:rPr>
            </w:pP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1</w:t>
            </w:r>
          </w:p>
        </w:tc>
        <w:tc>
          <w:tcPr>
            <w:tcW w:w="1962" w:type="dxa"/>
            <w:vMerge w:val="restart"/>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Prepare for inspection</w:t>
            </w: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1.1</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Identify and evaluate the type of instrument to be inspected</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1.2</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Access and review any history of previous inspections at trader</w:t>
            </w:r>
            <w:r>
              <w:t>’</w:t>
            </w:r>
            <w:r w:rsidRPr="002913A2">
              <w:t>s premises</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1.3</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Access and correctly interpret appropriate documentation required for the inspection</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1.4</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Identify and access test equipment, products and consumables required for the inspection</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1.5</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Ensure specified test equipment is fit for purpose in accordance wit</w:t>
            </w:r>
            <w:r w:rsidRPr="002913A2">
              <w:t>h applicable legislation and organisational procedures</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1.6</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Store and transport test equipment in accordance with organisational procedures and industry best practice</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1.7</w:t>
            </w:r>
          </w:p>
        </w:tc>
        <w:tc>
          <w:tcPr>
            <w:tcW w:w="5610" w:type="dxa"/>
            <w:tcBorders>
              <w:top w:val="nil"/>
              <w:left w:val="nil"/>
              <w:bottom w:val="nil"/>
              <w:right w:val="nil"/>
            </w:tcBorders>
            <w:tcMar>
              <w:top w:w="0" w:type="dxa"/>
              <w:left w:w="62" w:type="dxa"/>
              <w:bottom w:w="0" w:type="dxa"/>
              <w:right w:w="62" w:type="dxa"/>
            </w:tcMar>
          </w:tcPr>
          <w:p w:rsidR="00000000" w:rsidRPr="002913A2" w:rsidP="002913A2">
            <w:pPr>
              <w:pStyle w:val="BodyText"/>
            </w:pPr>
            <w:r w:rsidRPr="002913A2">
              <w:t>Identify workplace health and safety issues relevant to the inspection</w:t>
            </w:r>
          </w:p>
        </w:tc>
      </w:tr>
    </w:tbl>
    <w:p w:rsidR="00000000" w:rsidRPr="002913A2" w:rsidP="002913A2">
      <w:pPr>
        <w:pStyle w:val="BodyText"/>
      </w:pPr>
    </w:p>
    <w:tbl>
      <w:tblPr>
        <w:tblW w:w="0" w:type="auto"/>
        <w:tblLayout w:type="fixed"/>
        <w:tblCellMar>
          <w:left w:w="62" w:type="dxa"/>
          <w:right w:w="62" w:type="dxa"/>
        </w:tblCellMar>
        <w:tblLook w:val="0000"/>
      </w:tblPr>
      <w:tblGrid>
        <w:gridCol w:w="678"/>
        <w:gridCol w:w="1962"/>
        <w:gridCol w:w="770"/>
        <w:gridCol w:w="5610"/>
      </w:tblGrid>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2</w:t>
            </w:r>
          </w:p>
        </w:tc>
        <w:tc>
          <w:tcPr>
            <w:tcW w:w="1962" w:type="dxa"/>
            <w:vMerge w:val="restart"/>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Initiate inspection</w:t>
            </w: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2.1</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 xml:space="preserve">Identify the site controller, explain the purpose of the inspection and produce formal identification, if required </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2.2</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Identify relevant site health and safety issues and implement appropriate control strategies</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2.3</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Conduct a preliminary evaluation of the site</w:t>
            </w:r>
            <w:r>
              <w:t>’</w:t>
            </w:r>
            <w:r w:rsidRPr="002913A2">
              <w:t>s trading practices and prioritise activities to maximise inspection outcomes.</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2.4</w:t>
            </w:r>
          </w:p>
        </w:tc>
        <w:tc>
          <w:tcPr>
            <w:tcW w:w="5610" w:type="dxa"/>
            <w:tcBorders>
              <w:top w:val="nil"/>
              <w:left w:val="nil"/>
              <w:bottom w:val="nil"/>
              <w:right w:val="nil"/>
            </w:tcBorders>
            <w:tcMar>
              <w:top w:w="0" w:type="dxa"/>
              <w:left w:w="62" w:type="dxa"/>
              <w:bottom w:w="0" w:type="dxa"/>
              <w:right w:w="62" w:type="dxa"/>
            </w:tcMar>
          </w:tcPr>
          <w:p w:rsidR="00000000" w:rsidRPr="002913A2" w:rsidP="002913A2">
            <w:pPr>
              <w:pStyle w:val="BodyText"/>
            </w:pPr>
            <w:r w:rsidRPr="002913A2">
              <w:t>Identify measuring instruments used for trade and plan inspection to minimise disruption to the public and trader</w:t>
            </w:r>
          </w:p>
        </w:tc>
      </w:tr>
    </w:tbl>
    <w:p w:rsidR="00000000" w:rsidRPr="002913A2" w:rsidP="002913A2">
      <w:pPr>
        <w:pStyle w:val="BodyText"/>
      </w:pPr>
    </w:p>
    <w:tbl>
      <w:tblPr>
        <w:tblW w:w="0" w:type="auto"/>
        <w:tblLayout w:type="fixed"/>
        <w:tblCellMar>
          <w:left w:w="62" w:type="dxa"/>
          <w:right w:w="62" w:type="dxa"/>
        </w:tblCellMar>
        <w:tblLook w:val="0000"/>
      </w:tblPr>
      <w:tblGrid>
        <w:gridCol w:w="678"/>
        <w:gridCol w:w="1962"/>
        <w:gridCol w:w="770"/>
        <w:gridCol w:w="5610"/>
      </w:tblGrid>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3</w:t>
            </w:r>
          </w:p>
        </w:tc>
        <w:tc>
          <w:tcPr>
            <w:tcW w:w="1962" w:type="dxa"/>
            <w:vMerge w:val="restart"/>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Evaluat</w:t>
            </w:r>
            <w:r w:rsidRPr="002913A2">
              <w:t>e weighing instrument performance</w:t>
            </w: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3.1</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Evaluate whether the operating environment will impact on the instrument performance</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3.2</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Modify the operating environment or implement alternative arrangements to ensure reliable test conditions as necessary</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3.3</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Identify the maximum permissible errors for the instrument from the legislative requirements</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3.4</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Use test equipment safely in accordance with applicable legislation and organisational procedures</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3.5</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Check instrument for compliance with the appropriate Certificates of Approval</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3.6</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 xml:space="preserve">Inspect the instrument in accordance with relevant National Instrument Test Procedures and appropriate National Measurement Institute (NMI) policy </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3.7</w:t>
            </w:r>
          </w:p>
        </w:tc>
        <w:tc>
          <w:tcPr>
            <w:tcW w:w="5610" w:type="dxa"/>
            <w:tcBorders>
              <w:top w:val="nil"/>
              <w:left w:val="nil"/>
              <w:bottom w:val="nil"/>
              <w:right w:val="nil"/>
            </w:tcBorders>
            <w:tcMar>
              <w:top w:w="0" w:type="dxa"/>
              <w:left w:w="62" w:type="dxa"/>
              <w:bottom w:w="0" w:type="dxa"/>
              <w:right w:w="62" w:type="dxa"/>
            </w:tcMar>
          </w:tcPr>
          <w:p w:rsidR="00000000" w:rsidRPr="002913A2" w:rsidP="002913A2">
            <w:pPr>
              <w:pStyle w:val="BodyText"/>
            </w:pPr>
            <w:r w:rsidRPr="002913A2">
              <w:t>Evaluate results</w:t>
            </w:r>
            <w:r w:rsidRPr="002913A2">
              <w:t xml:space="preserve"> against prescribed performance criteria and determine if the instrument is suitable for trade use in accordance with legislative requirements</w:t>
            </w:r>
          </w:p>
        </w:tc>
      </w:tr>
    </w:tbl>
    <w:p w:rsidR="00000000" w:rsidRPr="002913A2" w:rsidP="002913A2">
      <w:pPr>
        <w:pStyle w:val="BodyText"/>
      </w:pPr>
    </w:p>
    <w:tbl>
      <w:tblPr>
        <w:tblW w:w="0" w:type="auto"/>
        <w:tblLayout w:type="fixed"/>
        <w:tblCellMar>
          <w:left w:w="62" w:type="dxa"/>
          <w:right w:w="62" w:type="dxa"/>
        </w:tblCellMar>
        <w:tblLook w:val="0000"/>
      </w:tblPr>
      <w:tblGrid>
        <w:gridCol w:w="678"/>
        <w:gridCol w:w="1962"/>
        <w:gridCol w:w="770"/>
        <w:gridCol w:w="5610"/>
      </w:tblGrid>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4</w:t>
            </w:r>
          </w:p>
        </w:tc>
        <w:tc>
          <w:tcPr>
            <w:tcW w:w="1962" w:type="dxa"/>
            <w:vMerge w:val="restart"/>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Conduct a verifier instrument audit</w:t>
            </w: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4.1</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Identify the scope of the verifier instrument audit</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4.2</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Identify the expected outcomes of the verifier instrument audit</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4.3</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Assess the instrument</w:t>
            </w:r>
            <w:r>
              <w:t>’</w:t>
            </w:r>
            <w:r w:rsidRPr="002913A2">
              <w:t>s performance against the expected outcome</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4.4</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Check that the verification mark complies with legislation</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4.5</w:t>
            </w:r>
          </w:p>
        </w:tc>
        <w:tc>
          <w:tcPr>
            <w:tcW w:w="5610" w:type="dxa"/>
            <w:tcBorders>
              <w:top w:val="nil"/>
              <w:left w:val="nil"/>
              <w:bottom w:val="nil"/>
              <w:right w:val="nil"/>
            </w:tcBorders>
            <w:tcMar>
              <w:top w:w="0" w:type="dxa"/>
              <w:left w:w="62" w:type="dxa"/>
              <w:bottom w:w="0" w:type="dxa"/>
              <w:right w:w="62" w:type="dxa"/>
            </w:tcMar>
          </w:tcPr>
          <w:p w:rsidR="00000000" w:rsidRPr="002913A2" w:rsidP="002913A2">
            <w:pPr>
              <w:pStyle w:val="BodyText"/>
            </w:pPr>
            <w:r w:rsidRPr="002913A2">
              <w:t>Analyse any variances from the expected outcomes to identify isolated or systemic problems</w:t>
            </w:r>
          </w:p>
        </w:tc>
      </w:tr>
    </w:tbl>
    <w:p w:rsidR="00000000" w:rsidRPr="002913A2" w:rsidP="002913A2">
      <w:pPr>
        <w:pStyle w:val="BodyText"/>
      </w:pPr>
    </w:p>
    <w:tbl>
      <w:tblPr>
        <w:tblW w:w="0" w:type="auto"/>
        <w:tblLayout w:type="fixed"/>
        <w:tblCellMar>
          <w:left w:w="62" w:type="dxa"/>
          <w:right w:w="62" w:type="dxa"/>
        </w:tblCellMar>
        <w:tblLook w:val="0000"/>
      </w:tblPr>
      <w:tblGrid>
        <w:gridCol w:w="678"/>
        <w:gridCol w:w="1962"/>
        <w:gridCol w:w="770"/>
        <w:gridCol w:w="5610"/>
      </w:tblGrid>
      <w:tr w:rsidTr="002924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5</w:t>
            </w:r>
          </w:p>
        </w:tc>
        <w:tc>
          <w:tcPr>
            <w:tcW w:w="1962" w:type="dxa"/>
            <w:vMerge w:val="restart"/>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Analyse and report inspection results</w:t>
            </w: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5.1</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Analyse inspection data for unacceptable performance trends</w:t>
            </w:r>
          </w:p>
        </w:tc>
      </w:tr>
      <w:tr w:rsidTr="002924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5.2</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 xml:space="preserve">If required, display the inspection result on the instrument in accordance with legislative requirements </w:t>
            </w:r>
          </w:p>
        </w:tc>
      </w:tr>
      <w:tr w:rsidTr="002924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5.3</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Use test reports to present inspection results in the required format</w:t>
            </w:r>
          </w:p>
        </w:tc>
      </w:tr>
      <w:tr w:rsidTr="002924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5.4</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Complete inspection documentation in accordance with legislative r</w:t>
            </w:r>
            <w:r w:rsidRPr="002913A2">
              <w:t>equirements and organisational procedures</w:t>
            </w:r>
          </w:p>
        </w:tc>
      </w:tr>
      <w:tr w:rsidTr="002924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5.5</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Communicate inspection results within the specified time and in accordance with organisational guidelines</w:t>
            </w:r>
          </w:p>
        </w:tc>
      </w:tr>
      <w:tr w:rsidTr="002924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5.6</w:t>
            </w:r>
          </w:p>
        </w:tc>
        <w:tc>
          <w:tcPr>
            <w:tcW w:w="5610" w:type="dxa"/>
            <w:tcBorders>
              <w:top w:val="nil"/>
              <w:left w:val="nil"/>
              <w:bottom w:val="nil"/>
              <w:right w:val="nil"/>
            </w:tcBorders>
            <w:tcMar>
              <w:top w:w="0" w:type="dxa"/>
              <w:left w:w="62" w:type="dxa"/>
              <w:bottom w:w="0" w:type="dxa"/>
              <w:right w:w="62" w:type="dxa"/>
            </w:tcMar>
          </w:tcPr>
          <w:p w:rsidR="00000000" w:rsidRPr="002913A2" w:rsidP="002913A2">
            <w:pPr>
              <w:pStyle w:val="BodyText"/>
            </w:pPr>
            <w:r w:rsidRPr="002913A2">
              <w:t>Recommend follow-up actions as appropriate</w:t>
            </w:r>
          </w:p>
        </w:tc>
      </w:tr>
    </w:tbl>
    <w:p w:rsidR="00000000" w:rsidRPr="002913A2" w:rsidP="002913A2">
      <w:pPr>
        <w:pStyle w:val="BodyText"/>
      </w:pPr>
    </w:p>
    <w:tbl>
      <w:tblPr>
        <w:tblW w:w="0" w:type="auto"/>
        <w:tblLayout w:type="fixed"/>
        <w:tblCellMar>
          <w:left w:w="62" w:type="dxa"/>
          <w:right w:w="62" w:type="dxa"/>
        </w:tblCellMar>
        <w:tblLook w:val="0000"/>
      </w:tblPr>
      <w:tblGrid>
        <w:gridCol w:w="678"/>
        <w:gridCol w:w="1962"/>
        <w:gridCol w:w="770"/>
        <w:gridCol w:w="5610"/>
      </w:tblGrid>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6</w:t>
            </w:r>
          </w:p>
        </w:tc>
        <w:tc>
          <w:tcPr>
            <w:tcW w:w="1962" w:type="dxa"/>
            <w:vMerge w:val="restart"/>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Act on non-compliance</w:t>
            </w: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6.1</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 xml:space="preserve">Select applicable enforcement action for the non-compliance in accordance with legislative requirements and organisational policy and procedures </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6.2</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 xml:space="preserve">Inform traders of non-compliances and consequences of failing to have them corrected </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6.3</w:t>
            </w:r>
          </w:p>
        </w:tc>
        <w:tc>
          <w:tcPr>
            <w:tcW w:w="561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Implement enforcement action in accordance with legislative requirements and organisational policy and procedures</w:t>
            </w:r>
          </w:p>
        </w:tc>
      </w:tr>
      <w:tr w:rsidTr="002913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6.4</w:t>
            </w:r>
          </w:p>
        </w:tc>
        <w:tc>
          <w:tcPr>
            <w:tcW w:w="5610" w:type="dxa"/>
            <w:tcBorders>
              <w:top w:val="nil"/>
              <w:left w:val="nil"/>
              <w:bottom w:val="nil"/>
              <w:right w:val="nil"/>
            </w:tcBorders>
            <w:tcMar>
              <w:top w:w="0" w:type="dxa"/>
              <w:left w:w="62" w:type="dxa"/>
              <w:bottom w:w="0" w:type="dxa"/>
              <w:right w:w="62" w:type="dxa"/>
            </w:tcMar>
          </w:tcPr>
          <w:p w:rsidR="00000000" w:rsidRPr="002913A2" w:rsidP="002913A2">
            <w:pPr>
              <w:pStyle w:val="BodyText"/>
            </w:pPr>
            <w:r w:rsidRPr="002913A2">
              <w:t>Respect the rights of the trader at all times</w:t>
            </w:r>
          </w:p>
        </w:tc>
      </w:tr>
    </w:tbl>
    <w:p w:rsidR="00000000" w:rsidRPr="002913A2" w:rsidP="002913A2">
      <w:pPr>
        <w:pStyle w:val="BodyText"/>
      </w:pPr>
    </w:p>
    <w:p w:rsidR="00000000" w:rsidRPr="002913A2" w:rsidP="002913A2">
      <w:pPr>
        <w:pStyle w:val="AllowPageBreak"/>
      </w:pPr>
    </w:p>
    <w:p w:rsidR="00000000" w:rsidRPr="002913A2" w:rsidP="002913A2">
      <w:pPr>
        <w:pStyle w:val="Heading1"/>
      </w:pPr>
      <w:bookmarkStart w:id="7" w:name="O_939456"/>
      <w:bookmarkEnd w:id="7"/>
      <w:r w:rsidRPr="002913A2">
        <w:t>Foundation Skills</w:t>
      </w:r>
    </w:p>
    <w:p w:rsidR="00000000" w:rsidRPr="002913A2" w:rsidP="002924FB">
      <w:pPr>
        <w:pStyle w:val="BodyText"/>
      </w:pPr>
      <w:r w:rsidRPr="002913A2">
        <w:t>This section describes those language, literacy, num</w:t>
      </w:r>
      <w:r w:rsidRPr="002913A2">
        <w:t>eracy and employment skills that are essential to performance.</w:t>
      </w:r>
    </w:p>
    <w:p w:rsidR="00000000" w:rsidRPr="002913A2" w:rsidP="002924FB">
      <w:pPr>
        <w:pStyle w:val="BodyText"/>
      </w:pPr>
      <w:r w:rsidRPr="002913A2">
        <w:t>Foundation skills essential to performance are explicit in the performance criteria of this unit of competency.</w:t>
      </w:r>
    </w:p>
    <w:p w:rsidR="00000000" w:rsidRPr="002913A2" w:rsidP="002913A2">
      <w:pPr>
        <w:pStyle w:val="Heading1"/>
      </w:pPr>
      <w:bookmarkStart w:id="8" w:name="O_939455"/>
      <w:bookmarkEnd w:id="8"/>
      <w:r w:rsidRPr="002913A2">
        <w:t>Range of Conditions</w:t>
      </w:r>
    </w:p>
    <w:tbl>
      <w:tblPr>
        <w:tblW w:w="0" w:type="auto"/>
        <w:tblCellMar>
          <w:left w:w="62" w:type="dxa"/>
          <w:right w:w="62" w:type="dxa"/>
        </w:tblCellMar>
        <w:tblLook w:val="0000"/>
      </w:tblPr>
      <w:tblGrid>
        <w:gridCol w:w="2163"/>
        <w:gridCol w:w="7033"/>
      </w:tblGrid>
      <w:tr w:rsidTr="002924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t>This field allows for different work enviro</w:t>
            </w:r>
            <w:r w:rsidRPr="002913A2">
              <w:t>nments and conditions that may affect performance. Essential operating conditions that may be present (depending on the work situation, needs of the candidate, accessibility of the item, and local industry and regional contexts) are included.</w:t>
            </w:r>
          </w:p>
        </w:tc>
      </w:tr>
      <w:tr w:rsidTr="00292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rPr>
                <w:rStyle w:val="SpecialBold"/>
              </w:rPr>
              <w:t>National Instrument Test Procedures include one or more of:</w:t>
            </w:r>
          </w:p>
        </w:tc>
        <w:tc>
          <w:tcPr>
            <w:tcW w:w="0" w:type="auto"/>
            <w:tcBorders>
              <w:top w:val="nil"/>
              <w:left w:val="nil"/>
              <w:bottom w:val="nil"/>
              <w:right w:val="nil"/>
            </w:tcBorders>
            <w:tcMar>
              <w:top w:w="0" w:type="dxa"/>
              <w:left w:w="62" w:type="dxa"/>
              <w:bottom w:w="0" w:type="dxa"/>
              <w:right w:w="62" w:type="dxa"/>
            </w:tcMar>
          </w:tcPr>
          <w:p w:rsidR="00000000" w:rsidRPr="002913A2" w:rsidP="002913A2">
            <w:pPr>
              <w:pStyle w:val="ListBullet"/>
            </w:pPr>
            <w:r w:rsidRPr="002913A2">
              <w:t xml:space="preserve">measuring instrument test procedures </w:t>
            </w:r>
          </w:p>
          <w:p w:rsidR="00000000" w:rsidRPr="002913A2" w:rsidP="002913A2">
            <w:pPr>
              <w:pStyle w:val="ListBullet"/>
            </w:pPr>
            <w:r w:rsidRPr="002913A2">
              <w:t>any other test procedure prescribed by the NMI</w:t>
            </w:r>
          </w:p>
          <w:p w:rsidR="00000000" w:rsidP="002913A2">
            <w:pPr>
              <w:pStyle w:val="BodyText"/>
              <w:rPr>
                <w:lang w:val="en-NZ"/>
              </w:rPr>
            </w:pPr>
          </w:p>
        </w:tc>
      </w:tr>
      <w:tr w:rsidTr="00292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rPr>
                <w:rStyle w:val="SpecialBold"/>
              </w:rPr>
              <w:t>Classes of weighing instruments include one or more of:</w:t>
            </w:r>
          </w:p>
        </w:tc>
        <w:tc>
          <w:tcPr>
            <w:tcW w:w="0" w:type="auto"/>
            <w:tcBorders>
              <w:top w:val="nil"/>
              <w:left w:val="nil"/>
              <w:bottom w:val="nil"/>
              <w:right w:val="nil"/>
            </w:tcBorders>
            <w:tcMar>
              <w:top w:w="0" w:type="dxa"/>
              <w:left w:w="62" w:type="dxa"/>
              <w:bottom w:w="0" w:type="dxa"/>
              <w:right w:w="62" w:type="dxa"/>
            </w:tcMar>
          </w:tcPr>
          <w:p w:rsidR="00000000" w:rsidRPr="002913A2" w:rsidP="002913A2">
            <w:pPr>
              <w:pStyle w:val="ListBullet"/>
            </w:pPr>
            <w:r w:rsidRPr="002913A2">
              <w:t>non-automatic weighing instruments tested without s</w:t>
            </w:r>
            <w:r w:rsidRPr="002913A2">
              <w:t>ubstitution loads</w:t>
            </w:r>
          </w:p>
          <w:p w:rsidR="00000000" w:rsidRPr="002913A2" w:rsidP="002913A2">
            <w:pPr>
              <w:pStyle w:val="ListBullet"/>
            </w:pPr>
            <w:r w:rsidRPr="002913A2">
              <w:t>automatic Class Y(a) Catchweighers</w:t>
            </w:r>
          </w:p>
          <w:p w:rsidR="00000000" w:rsidRPr="002913A2" w:rsidP="002913A2">
            <w:pPr>
              <w:pStyle w:val="ListBullet"/>
            </w:pPr>
            <w:r w:rsidRPr="002913A2">
              <w:t>automatic Class Y(b) Catchweighers</w:t>
            </w:r>
          </w:p>
          <w:p w:rsidR="00000000" w:rsidRPr="002913A2" w:rsidP="002913A2">
            <w:pPr>
              <w:pStyle w:val="ListBullet"/>
            </w:pPr>
            <w:r w:rsidRPr="002913A2">
              <w:t>any other weighing instrument prescribed by the NMI</w:t>
            </w:r>
          </w:p>
          <w:p w:rsidR="00000000" w:rsidP="002913A2">
            <w:pPr>
              <w:pStyle w:val="BodyText"/>
              <w:rPr>
                <w:lang w:val="en-NZ"/>
              </w:rPr>
            </w:pPr>
          </w:p>
        </w:tc>
      </w:tr>
      <w:tr w:rsidTr="00292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rPr>
                <w:rStyle w:val="SpecialBold"/>
              </w:rPr>
              <w:t>Test equipment includes:</w:t>
            </w:r>
          </w:p>
        </w:tc>
        <w:tc>
          <w:tcPr>
            <w:tcW w:w="0" w:type="auto"/>
            <w:tcBorders>
              <w:top w:val="nil"/>
              <w:left w:val="nil"/>
              <w:bottom w:val="nil"/>
              <w:right w:val="nil"/>
            </w:tcBorders>
            <w:tcMar>
              <w:top w:w="0" w:type="dxa"/>
              <w:left w:w="62" w:type="dxa"/>
              <w:bottom w:w="0" w:type="dxa"/>
              <w:right w:w="62" w:type="dxa"/>
            </w:tcMar>
          </w:tcPr>
          <w:p w:rsidR="00000000" w:rsidRPr="002913A2" w:rsidP="002913A2">
            <w:pPr>
              <w:pStyle w:val="ListBullet"/>
            </w:pPr>
            <w:r w:rsidRPr="002913A2">
              <w:t>reference standards of measurement</w:t>
            </w:r>
          </w:p>
          <w:p w:rsidR="00000000" w:rsidRPr="002913A2" w:rsidP="002913A2">
            <w:pPr>
              <w:pStyle w:val="ListBullet"/>
            </w:pPr>
            <w:r w:rsidRPr="002913A2">
              <w:t>control instruments</w:t>
            </w:r>
          </w:p>
          <w:p w:rsidR="00000000" w:rsidP="002913A2">
            <w:pPr>
              <w:pStyle w:val="BodyText"/>
              <w:rPr>
                <w:lang w:val="en-NZ"/>
              </w:rPr>
            </w:pPr>
          </w:p>
        </w:tc>
      </w:tr>
      <w:tr w:rsidTr="00292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rPr>
                <w:rStyle w:val="SpecialBold"/>
              </w:rPr>
              <w:t>Certificates of Approval include:</w:t>
            </w:r>
          </w:p>
        </w:tc>
        <w:tc>
          <w:tcPr>
            <w:tcW w:w="0" w:type="auto"/>
            <w:tcBorders>
              <w:top w:val="nil"/>
              <w:left w:val="nil"/>
              <w:bottom w:val="nil"/>
              <w:right w:val="nil"/>
            </w:tcBorders>
            <w:tcMar>
              <w:top w:w="0" w:type="dxa"/>
              <w:left w:w="62" w:type="dxa"/>
              <w:bottom w:w="0" w:type="dxa"/>
              <w:right w:w="62" w:type="dxa"/>
            </w:tcMar>
          </w:tcPr>
          <w:p w:rsidR="00000000" w:rsidRPr="002913A2" w:rsidP="002913A2">
            <w:pPr>
              <w:pStyle w:val="ListBullet"/>
            </w:pPr>
            <w:r w:rsidRPr="002913A2">
              <w:t>any Certificate issued by the Chief Metrologist under Regulation 60 of the</w:t>
            </w:r>
            <w:r w:rsidRPr="002913A2">
              <w:rPr>
                <w:rStyle w:val="Emphasis"/>
              </w:rPr>
              <w:t xml:space="preserve"> National Measurement Regulations 1999 </w:t>
            </w:r>
            <w:r w:rsidRPr="002913A2">
              <w:t>approving the pattern of a weighing instrument as being suitable for trade</w:t>
            </w:r>
          </w:p>
          <w:p w:rsidR="00000000" w:rsidP="002913A2">
            <w:pPr>
              <w:pStyle w:val="BodyText"/>
              <w:rPr>
                <w:lang w:val="en-NZ"/>
              </w:rPr>
            </w:pPr>
          </w:p>
        </w:tc>
      </w:tr>
      <w:tr w:rsidTr="00292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rPr>
                <w:rStyle w:val="SpecialBold"/>
              </w:rPr>
              <w:t>Prescribed performance criteria for limited weighing instruments include:</w:t>
            </w:r>
          </w:p>
        </w:tc>
        <w:tc>
          <w:tcPr>
            <w:tcW w:w="0" w:type="auto"/>
            <w:tcBorders>
              <w:top w:val="nil"/>
              <w:left w:val="nil"/>
              <w:bottom w:val="nil"/>
              <w:right w:val="nil"/>
            </w:tcBorders>
            <w:tcMar>
              <w:top w:w="0" w:type="dxa"/>
              <w:left w:w="62" w:type="dxa"/>
              <w:bottom w:w="0" w:type="dxa"/>
              <w:right w:w="62" w:type="dxa"/>
            </w:tcMar>
          </w:tcPr>
          <w:p w:rsidR="00000000" w:rsidRPr="002913A2" w:rsidP="002913A2">
            <w:pPr>
              <w:pStyle w:val="ListBullet"/>
            </w:pPr>
            <w:r w:rsidRPr="002913A2">
              <w:t>that the design is in accordance with the appropriate Certificates of Approval</w:t>
            </w:r>
          </w:p>
          <w:p w:rsidR="00000000" w:rsidRPr="002913A2" w:rsidP="002913A2">
            <w:pPr>
              <w:pStyle w:val="ListBullet"/>
            </w:pPr>
            <w:r w:rsidRPr="002913A2">
              <w:t>that the performance meets the criteria described in the Certificates of Approval, National Instrument</w:t>
            </w:r>
            <w:r w:rsidRPr="002913A2">
              <w:t xml:space="preserve"> Test Procedures and legislation</w:t>
            </w:r>
          </w:p>
          <w:p w:rsidR="00000000" w:rsidP="002913A2">
            <w:pPr>
              <w:pStyle w:val="BodyText"/>
              <w:rPr>
                <w:lang w:val="en-NZ"/>
              </w:rPr>
            </w:pPr>
          </w:p>
        </w:tc>
      </w:tr>
      <w:tr w:rsidTr="00292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rPr>
                <w:rStyle w:val="SpecialBold"/>
              </w:rPr>
              <w:t>Verification</w:t>
            </w:r>
          </w:p>
        </w:tc>
        <w:tc>
          <w:tcPr>
            <w:tcW w:w="0" w:type="auto"/>
            <w:tcBorders>
              <w:top w:val="nil"/>
              <w:left w:val="nil"/>
              <w:bottom w:val="nil"/>
              <w:right w:val="nil"/>
            </w:tcBorders>
            <w:tcMar>
              <w:top w:w="0" w:type="dxa"/>
              <w:left w:w="62" w:type="dxa"/>
              <w:bottom w:w="0" w:type="dxa"/>
              <w:right w:w="62" w:type="dxa"/>
            </w:tcMar>
          </w:tcPr>
          <w:p w:rsidR="00000000" w:rsidRPr="002913A2" w:rsidP="002913A2">
            <w:pPr>
              <w:pStyle w:val="BodyText"/>
            </w:pPr>
            <w:r w:rsidRPr="002913A2">
              <w:t xml:space="preserve">Has the same meaning as Section 18GG of the </w:t>
            </w:r>
            <w:r w:rsidRPr="002913A2">
              <w:rPr>
                <w:rStyle w:val="Emphasis"/>
              </w:rPr>
              <w:t>National Measurement Act 1960</w:t>
            </w:r>
          </w:p>
          <w:p w:rsidR="00000000" w:rsidP="002913A2">
            <w:pPr>
              <w:pStyle w:val="BodyText"/>
              <w:rPr>
                <w:lang w:val="en-NZ"/>
              </w:rPr>
            </w:pPr>
          </w:p>
        </w:tc>
      </w:tr>
      <w:tr w:rsidTr="00292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rPr>
                <w:rStyle w:val="SpecialBold"/>
              </w:rPr>
              <w:t>Verification marks</w:t>
            </w:r>
          </w:p>
        </w:tc>
        <w:tc>
          <w:tcPr>
            <w:tcW w:w="0" w:type="auto"/>
            <w:tcBorders>
              <w:top w:val="nil"/>
              <w:left w:val="nil"/>
              <w:bottom w:val="nil"/>
              <w:right w:val="nil"/>
            </w:tcBorders>
            <w:tcMar>
              <w:top w:w="0" w:type="dxa"/>
              <w:left w:w="62" w:type="dxa"/>
              <w:bottom w:w="0" w:type="dxa"/>
              <w:right w:w="62" w:type="dxa"/>
            </w:tcMar>
          </w:tcPr>
          <w:p w:rsidR="00000000" w:rsidRPr="002913A2" w:rsidP="002913A2">
            <w:pPr>
              <w:pStyle w:val="BodyText"/>
            </w:pPr>
            <w:r w:rsidRPr="002913A2">
              <w:t xml:space="preserve">Verification marks for different instruments are defined in Regulations 2.28 and 2.29 of the </w:t>
            </w:r>
            <w:r w:rsidRPr="002913A2">
              <w:rPr>
                <w:rStyle w:val="Emphasis"/>
              </w:rPr>
              <w:t>National Trade Measu</w:t>
            </w:r>
            <w:r w:rsidRPr="002913A2">
              <w:rPr>
                <w:rStyle w:val="Emphasis"/>
              </w:rPr>
              <w:t>rement Regulations 2009</w:t>
            </w:r>
          </w:p>
          <w:p w:rsidR="00000000" w:rsidP="002913A2">
            <w:pPr>
              <w:pStyle w:val="BodyText"/>
              <w:rPr>
                <w:lang w:val="en-NZ"/>
              </w:rPr>
            </w:pPr>
          </w:p>
        </w:tc>
      </w:tr>
      <w:tr w:rsidTr="00292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rPr>
                <w:rStyle w:val="SpecialBold"/>
              </w:rPr>
              <w:t>Trading practices include one or more of:</w:t>
            </w:r>
          </w:p>
        </w:tc>
        <w:tc>
          <w:tcPr>
            <w:tcW w:w="0" w:type="auto"/>
            <w:tcBorders>
              <w:top w:val="nil"/>
              <w:left w:val="nil"/>
              <w:bottom w:val="nil"/>
              <w:right w:val="nil"/>
            </w:tcBorders>
            <w:tcMar>
              <w:top w:w="0" w:type="dxa"/>
              <w:left w:w="62" w:type="dxa"/>
              <w:bottom w:w="0" w:type="dxa"/>
              <w:right w:w="62" w:type="dxa"/>
            </w:tcMar>
          </w:tcPr>
          <w:p w:rsidR="00000000" w:rsidRPr="002913A2" w:rsidP="002913A2">
            <w:pPr>
              <w:pStyle w:val="ListBullet"/>
            </w:pPr>
            <w:r w:rsidRPr="002913A2">
              <w:t>methods used for the sale of goods</w:t>
            </w:r>
          </w:p>
          <w:p w:rsidR="00000000" w:rsidRPr="002913A2" w:rsidP="002913A2">
            <w:pPr>
              <w:pStyle w:val="ListBullet"/>
            </w:pPr>
            <w:r w:rsidRPr="002913A2">
              <w:t>using measuring instruments</w:t>
            </w:r>
          </w:p>
          <w:p w:rsidR="00000000" w:rsidRPr="002913A2" w:rsidP="002913A2">
            <w:pPr>
              <w:pStyle w:val="ListBullet"/>
            </w:pPr>
            <w:r w:rsidRPr="002913A2">
              <w:t>position of measuring instruments</w:t>
            </w:r>
          </w:p>
          <w:p w:rsidR="00000000" w:rsidRPr="002913A2" w:rsidP="002913A2">
            <w:pPr>
              <w:pStyle w:val="ListBullet"/>
            </w:pPr>
            <w:r w:rsidRPr="002913A2">
              <w:t>environmental factors</w:t>
            </w:r>
          </w:p>
          <w:p w:rsidR="00000000" w:rsidRPr="002913A2" w:rsidP="002913A2">
            <w:pPr>
              <w:pStyle w:val="ListBullet"/>
            </w:pPr>
            <w:r w:rsidRPr="002913A2">
              <w:t>suitability of instrument</w:t>
            </w:r>
          </w:p>
          <w:p w:rsidR="00000000" w:rsidRPr="002913A2" w:rsidP="002913A2">
            <w:pPr>
              <w:pStyle w:val="ListBullet"/>
            </w:pPr>
            <w:r w:rsidRPr="002913A2">
              <w:t>incorrect measurement</w:t>
            </w:r>
          </w:p>
          <w:p w:rsidR="00000000" w:rsidP="002913A2">
            <w:pPr>
              <w:pStyle w:val="BodyText"/>
              <w:rPr>
                <w:lang w:val="en-NZ"/>
              </w:rPr>
            </w:pPr>
          </w:p>
        </w:tc>
      </w:tr>
      <w:tr w:rsidTr="00292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rPr>
                <w:rStyle w:val="SpecialBold"/>
              </w:rPr>
              <w:t>Enforcement actions include one or more of:</w:t>
            </w:r>
          </w:p>
        </w:tc>
        <w:tc>
          <w:tcPr>
            <w:tcW w:w="0" w:type="auto"/>
            <w:tcBorders>
              <w:top w:val="nil"/>
              <w:left w:val="nil"/>
              <w:bottom w:val="nil"/>
              <w:right w:val="nil"/>
            </w:tcBorders>
            <w:tcMar>
              <w:top w:w="0" w:type="dxa"/>
              <w:left w:w="62" w:type="dxa"/>
              <w:bottom w:w="0" w:type="dxa"/>
              <w:right w:w="62" w:type="dxa"/>
            </w:tcMar>
          </w:tcPr>
          <w:p w:rsidR="00000000" w:rsidRPr="002913A2" w:rsidP="002913A2">
            <w:pPr>
              <w:pStyle w:val="ListBullet"/>
            </w:pPr>
            <w:r w:rsidRPr="002913A2">
              <w:t>formal warnings, infringement notices, undertakings, injunction and prosecutions</w:t>
            </w:r>
          </w:p>
          <w:p w:rsidR="00000000" w:rsidP="002913A2">
            <w:pPr>
              <w:pStyle w:val="BodyText"/>
              <w:rPr>
                <w:lang w:val="en-NZ"/>
              </w:rPr>
            </w:pPr>
          </w:p>
        </w:tc>
      </w:tr>
      <w:tr w:rsidTr="00292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rPr>
                <w:rStyle w:val="SpecialBold"/>
              </w:rPr>
              <w:t>Legislation includes:</w:t>
            </w:r>
          </w:p>
        </w:tc>
        <w:tc>
          <w:tcPr>
            <w:tcW w:w="0" w:type="auto"/>
            <w:tcBorders>
              <w:top w:val="nil"/>
              <w:left w:val="nil"/>
              <w:bottom w:val="nil"/>
              <w:right w:val="nil"/>
            </w:tcBorders>
            <w:tcMar>
              <w:top w:w="0" w:type="dxa"/>
              <w:left w:w="62" w:type="dxa"/>
              <w:bottom w:w="0" w:type="dxa"/>
              <w:right w:w="62" w:type="dxa"/>
            </w:tcMar>
          </w:tcPr>
          <w:p w:rsidR="00000000" w:rsidRPr="002913A2" w:rsidP="002913A2">
            <w:pPr>
              <w:pStyle w:val="ListBullet"/>
            </w:pPr>
            <w:r w:rsidRPr="002913A2">
              <w:t>national measurement legislation</w:t>
            </w:r>
          </w:p>
          <w:p w:rsidR="00000000" w:rsidRPr="002913A2" w:rsidP="002913A2">
            <w:pPr>
              <w:pStyle w:val="ListBullet"/>
            </w:pPr>
            <w:r w:rsidRPr="002913A2">
              <w:t>applicable Commonwealth, state and</w:t>
            </w:r>
            <w:r w:rsidRPr="002913A2">
              <w:t xml:space="preserve"> territory work/occupational health and safety (WHS/OHS) legislation</w:t>
            </w:r>
          </w:p>
          <w:p w:rsidR="00000000" w:rsidP="002913A2">
            <w:pPr>
              <w:pStyle w:val="BodyText"/>
              <w:rPr>
                <w:lang w:val="en-NZ"/>
              </w:rPr>
            </w:pPr>
          </w:p>
        </w:tc>
      </w:tr>
      <w:tr w:rsidTr="00292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rPr>
                <w:rStyle w:val="SpecialBold"/>
              </w:rPr>
              <w:t>NMI policy includes:</w:t>
            </w:r>
          </w:p>
        </w:tc>
        <w:tc>
          <w:tcPr>
            <w:tcW w:w="0" w:type="auto"/>
            <w:tcBorders>
              <w:top w:val="nil"/>
              <w:left w:val="nil"/>
              <w:bottom w:val="nil"/>
              <w:right w:val="nil"/>
            </w:tcBorders>
            <w:tcMar>
              <w:top w:w="0" w:type="dxa"/>
              <w:left w:w="62" w:type="dxa"/>
              <w:bottom w:w="0" w:type="dxa"/>
              <w:right w:w="62" w:type="dxa"/>
            </w:tcMar>
          </w:tcPr>
          <w:p w:rsidR="00000000" w:rsidRPr="002913A2" w:rsidP="002913A2">
            <w:pPr>
              <w:pStyle w:val="ListBullet"/>
            </w:pPr>
            <w:r w:rsidRPr="002913A2">
              <w:t>test procedure variations between a verification, in-service or audit inspection</w:t>
            </w:r>
          </w:p>
          <w:p w:rsidR="00000000" w:rsidRPr="002913A2" w:rsidP="002913A2">
            <w:pPr>
              <w:pStyle w:val="ListBullet"/>
            </w:pPr>
            <w:r w:rsidRPr="002913A2">
              <w:t>bulletins</w:t>
            </w:r>
          </w:p>
          <w:p w:rsidR="00000000" w:rsidRPr="002913A2" w:rsidP="002913A2">
            <w:pPr>
              <w:pStyle w:val="ListBullet"/>
            </w:pPr>
            <w:r w:rsidRPr="002913A2">
              <w:t>instructions</w:t>
            </w:r>
          </w:p>
          <w:p w:rsidR="00000000" w:rsidRPr="002913A2" w:rsidP="002913A2">
            <w:pPr>
              <w:pStyle w:val="ListBullet"/>
            </w:pPr>
            <w:r w:rsidRPr="002913A2">
              <w:t>determinations</w:t>
            </w:r>
          </w:p>
          <w:p w:rsidR="00000000" w:rsidP="002913A2">
            <w:pPr>
              <w:pStyle w:val="BodyText"/>
              <w:rPr>
                <w:lang w:val="en-NZ"/>
              </w:rPr>
            </w:pPr>
          </w:p>
        </w:tc>
      </w:tr>
      <w:tr w:rsidTr="00292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3A2">
            <w:pPr>
              <w:pStyle w:val="BodyText"/>
              <w:rPr>
                <w:lang w:val="en-NZ"/>
              </w:rPr>
            </w:pPr>
            <w:r w:rsidRPr="002913A2">
              <w:rPr>
                <w:rStyle w:val="SpecialBold"/>
              </w:rPr>
              <w:t>WHS/OHS and environmental management requi</w:t>
            </w:r>
            <w:r w:rsidRPr="002913A2">
              <w:rPr>
                <w:rStyle w:val="SpecialBold"/>
              </w:rPr>
              <w:t>rements include:</w:t>
            </w:r>
          </w:p>
        </w:tc>
        <w:tc>
          <w:tcPr>
            <w:tcW w:w="0" w:type="auto"/>
            <w:tcBorders>
              <w:top w:val="nil"/>
              <w:left w:val="nil"/>
              <w:bottom w:val="nil"/>
              <w:right w:val="nil"/>
            </w:tcBorders>
            <w:tcMar>
              <w:top w:w="0" w:type="dxa"/>
              <w:left w:w="62" w:type="dxa"/>
              <w:bottom w:w="0" w:type="dxa"/>
              <w:right w:w="62" w:type="dxa"/>
            </w:tcMar>
          </w:tcPr>
          <w:p w:rsidR="00000000" w:rsidRPr="002913A2" w:rsidP="002913A2">
            <w:pPr>
              <w:pStyle w:val="ListBullet"/>
            </w:pPr>
            <w:r w:rsidRPr="002913A2">
              <w:t>complying with WHS/OHS and environmental management requirements at all times, which may be imposed through state/territory or federal legislation. These requirements must not be compromised at any time</w:t>
            </w:r>
          </w:p>
          <w:p w:rsidR="00000000" w:rsidRPr="002913A2" w:rsidP="002913A2">
            <w:pPr>
              <w:pStyle w:val="ListBullet"/>
            </w:pPr>
            <w:r w:rsidRPr="002913A2">
              <w:t>applying standard precautions relat</w:t>
            </w:r>
            <w:r w:rsidRPr="002913A2">
              <w:t>ing to the potentially hazardous nature of material/product measured</w:t>
            </w:r>
          </w:p>
          <w:p w:rsidR="00000000" w:rsidRPr="002913A2" w:rsidP="002913A2">
            <w:pPr>
              <w:pStyle w:val="ListBullet"/>
            </w:pPr>
            <w:r w:rsidRPr="002913A2">
              <w:t>applying any necessary hygiene controls</w:t>
            </w:r>
          </w:p>
        </w:tc>
      </w:tr>
    </w:tbl>
    <w:p w:rsidR="00000000" w:rsidRPr="002913A2" w:rsidP="002913A2">
      <w:pPr>
        <w:pStyle w:val="BodyText"/>
      </w:pPr>
    </w:p>
    <w:p w:rsidR="00000000" w:rsidRPr="002913A2" w:rsidP="002913A2">
      <w:pPr>
        <w:pStyle w:val="AllowPageBreak"/>
      </w:pPr>
    </w:p>
    <w:p w:rsidR="00000000" w:rsidRPr="002913A2" w:rsidP="002913A2">
      <w:pPr>
        <w:pStyle w:val="Heading1"/>
      </w:pPr>
      <w:bookmarkStart w:id="9" w:name="O_939454"/>
      <w:bookmarkEnd w:id="9"/>
      <w:r w:rsidRPr="002913A2">
        <w:t>Unit Mapping Information</w:t>
      </w:r>
    </w:p>
    <w:p w:rsidR="00000000" w:rsidRPr="002913A2" w:rsidP="002924FB">
      <w:pPr>
        <w:pStyle w:val="BodyText"/>
      </w:pPr>
      <w:r w:rsidRPr="002913A2">
        <w:t>Release 2. Adjustments to the Application, Performance Criteria and Range of Condi</w:t>
      </w:r>
      <w:r w:rsidRPr="002913A2">
        <w:t>tions. Adjustment to the Assessment Conditions. Equivalent.</w:t>
      </w:r>
    </w:p>
    <w:p w:rsidR="00000000" w:rsidRPr="002913A2" w:rsidP="002924FB">
      <w:pPr>
        <w:pStyle w:val="BodyText"/>
      </w:pPr>
      <w:r w:rsidRPr="002913A2">
        <w:t>Release 1. Supersedes and is equivalent to MSATMINS401A Inspect a range of weighing instruments</w:t>
      </w:r>
    </w:p>
    <w:p w:rsidR="00000000" w:rsidRPr="002913A2" w:rsidP="002913A2">
      <w:pPr>
        <w:pStyle w:val="Heading1"/>
      </w:pPr>
      <w:bookmarkStart w:id="10" w:name="O_939463"/>
      <w:bookmarkEnd w:id="10"/>
      <w:r w:rsidRPr="002913A2">
        <w:t>Links</w:t>
      </w:r>
    </w:p>
    <w:p w:rsidR="00000000" w:rsidRPr="002913A2" w:rsidP="002924FB">
      <w:pPr>
        <w:pStyle w:val="BodyText"/>
      </w:pPr>
      <w:r w:rsidRPr="002913A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852991">
        <w:rPr>
          <w:rStyle w:val="Hyperlink"/>
        </w:rPr>
        <w:t>https://vetnet.gov.au/Pages/TrainingDocs.aspx?q=d1287d36-dff4-4e9f-ad2c-9d6270054027</w:t>
      </w:r>
      <w:r>
        <w:fldChar w:fldCharType="end"/>
      </w:r>
    </w:p>
    <w:p w:rsidR="00000000" w:rsidRPr="002913A2" w:rsidP="002924FB">
      <w:pPr>
        <w:pStyle w:val="BodyText"/>
        <w:sectPr w:rsidSect="002913A2">
          <w:headerReference w:type="default" r:id="rId10"/>
          <w:footerReference w:type="default" r:id="rId11"/>
          <w:pgSz w:w="11908" w:h="16833"/>
          <w:pgMar w:top="1702" w:right="1418" w:bottom="1702" w:left="1418" w:header="992" w:footer="992" w:gutter="0"/>
          <w:cols w:space="720"/>
          <w:noEndnote/>
          <w:docGrid w:linePitch="299"/>
        </w:sectPr>
      </w:pPr>
    </w:p>
    <w:p w:rsidR="00000000" w:rsidRPr="002913A2" w:rsidP="002913A2">
      <w:pPr>
        <w:pStyle w:val="SuperHeading"/>
      </w:pPr>
      <w:r w:rsidRPr="002913A2">
        <w:t>Assessment Requirements for MSMTMINS401 Inspect a range of weighing instruments</w:t>
      </w:r>
    </w:p>
    <w:p w:rsidR="00000000" w:rsidRPr="002913A2" w:rsidP="002913A2">
      <w:pPr>
        <w:pStyle w:val="Heading1"/>
      </w:pPr>
      <w:bookmarkStart w:id="11" w:name="O_939452"/>
      <w:bookmarkEnd w:id="11"/>
      <w:r w:rsidRPr="002913A2">
        <w:t>Modification History</w:t>
      </w:r>
    </w:p>
    <w:p w:rsidR="00000000" w:rsidRPr="002913A2" w:rsidP="002924FB">
      <w:pPr>
        <w:pStyle w:val="BodyText"/>
      </w:pPr>
      <w:r w:rsidRPr="002913A2">
        <w:t>Release 2. Adjustments to the Application, Performance Criteria and Range of Conditions. Adjustment to the Assessment Conditions. Equivalent.</w:t>
      </w:r>
    </w:p>
    <w:p w:rsidR="00000000" w:rsidRPr="002913A2" w:rsidP="002924FB">
      <w:pPr>
        <w:pStyle w:val="BodyText"/>
      </w:pPr>
      <w:r w:rsidRPr="002913A2">
        <w:t>Release 1. Supersedes and is equivalent to MSATMINS401A Inspect a range of weighing instruments</w:t>
      </w:r>
    </w:p>
    <w:p w:rsidR="00000000" w:rsidRPr="002913A2" w:rsidP="002913A2">
      <w:pPr>
        <w:pStyle w:val="Heading1"/>
      </w:pPr>
      <w:bookmarkStart w:id="12" w:name="O_939451"/>
      <w:bookmarkEnd w:id="12"/>
      <w:r w:rsidRPr="002913A2">
        <w:t>P</w:t>
      </w:r>
      <w:r w:rsidRPr="002913A2">
        <w:t>erformance Evidence</w:t>
      </w:r>
    </w:p>
    <w:p w:rsidR="00000000" w:rsidRPr="002913A2" w:rsidP="002924FB">
      <w:pPr>
        <w:pStyle w:val="BodyText"/>
      </w:pPr>
      <w:r w:rsidRPr="002913A2">
        <w:t>Evidence of competence in this unit must satisfy all of the requirements of the elements and performance criteria, and include demonstration of:</w:t>
      </w:r>
    </w:p>
    <w:p w:rsidR="00000000" w:rsidRPr="002913A2" w:rsidP="002913A2">
      <w:pPr>
        <w:pStyle w:val="ListBullet"/>
      </w:pPr>
      <w:r w:rsidRPr="002913A2">
        <w:t>completing initial verification testing of:</w:t>
      </w:r>
    </w:p>
    <w:p w:rsidR="00000000" w:rsidRPr="002913A2" w:rsidP="002913A2">
      <w:pPr>
        <w:pStyle w:val="ListBullet2"/>
      </w:pPr>
      <w:r w:rsidRPr="002913A2">
        <w:t>at least one (1) non-automatic weighing instr</w:t>
      </w:r>
      <w:r w:rsidRPr="002913A2">
        <w:t>ument from each of the following four classes of instruments (Class 1, 2, 3 and 4); and</w:t>
      </w:r>
    </w:p>
    <w:p w:rsidR="00000000" w:rsidRPr="002913A2" w:rsidP="002913A2">
      <w:pPr>
        <w:pStyle w:val="ListBullet2"/>
      </w:pPr>
      <w:r w:rsidRPr="002913A2">
        <w:t>at least one (1) catchweighing instrument from either Class Y(a) or Y(b)</w:t>
      </w:r>
    </w:p>
    <w:p w:rsidR="00000000" w:rsidRPr="002913A2" w:rsidP="002913A2">
      <w:pPr>
        <w:pStyle w:val="ListBullet"/>
      </w:pPr>
      <w:r w:rsidRPr="002913A2">
        <w:t>accessing and correctly interpreting documentation required for inspections, evaluation of wei</w:t>
      </w:r>
      <w:r w:rsidRPr="002913A2">
        <w:t>ghing instruments and verifier audits</w:t>
      </w:r>
    </w:p>
    <w:p w:rsidR="00000000" w:rsidRPr="002913A2" w:rsidP="002913A2">
      <w:pPr>
        <w:pStyle w:val="ListBullet"/>
      </w:pPr>
      <w:r w:rsidRPr="002913A2">
        <w:t>ensuring test equipment and reference standards are fit for purpose in accordance with applicable legislation and organisational procedures</w:t>
      </w:r>
    </w:p>
    <w:p w:rsidR="00000000" w:rsidRPr="002913A2" w:rsidP="002913A2">
      <w:pPr>
        <w:pStyle w:val="ListBullet"/>
      </w:pPr>
      <w:r w:rsidRPr="002913A2">
        <w:t>planning, pre</w:t>
      </w:r>
      <w:r w:rsidRPr="002913A2">
        <w:t>paring for and safely conducting inspections to maximise outcomes and minimise disruption to the public and trader</w:t>
      </w:r>
    </w:p>
    <w:p w:rsidR="00000000" w:rsidRPr="002913A2" w:rsidP="002913A2">
      <w:pPr>
        <w:pStyle w:val="ListBullet"/>
      </w:pPr>
      <w:r w:rsidRPr="002913A2">
        <w:t>checking compliance and evaluating the performance of weighing instruments using appropriate Certificate of Approval, National Measurement In</w:t>
      </w:r>
      <w:r w:rsidRPr="002913A2">
        <w:t>stitute (NMI) policy and National Instrument Test Procedures, and adjusting for any impact of the operating environment</w:t>
      </w:r>
    </w:p>
    <w:p w:rsidR="00000000" w:rsidRPr="002913A2" w:rsidP="002913A2">
      <w:pPr>
        <w:pStyle w:val="ListBullet"/>
      </w:pPr>
      <w:r w:rsidRPr="002913A2">
        <w:t>reliably determining if weighing instruments are suitable for trade use in accordance with legislative requirements</w:t>
      </w:r>
    </w:p>
    <w:p w:rsidR="00000000" w:rsidRPr="002913A2" w:rsidP="002913A2">
      <w:pPr>
        <w:pStyle w:val="ListBullet"/>
      </w:pPr>
      <w:r w:rsidRPr="002913A2">
        <w:t xml:space="preserve">conducting at least </w:t>
      </w:r>
      <w:r w:rsidRPr="002913A2">
        <w:t>two (2) verifier instrument audits to assess the performance of verifiers who test and mark weighing instruments for trade use</w:t>
      </w:r>
    </w:p>
    <w:p w:rsidR="00000000" w:rsidRPr="002913A2" w:rsidP="002913A2">
      <w:pPr>
        <w:pStyle w:val="ListBullet"/>
      </w:pPr>
      <w:r w:rsidRPr="002913A2">
        <w:t>assessing verifier performance against expected outcomes and analysing any variances to identify isolated or systemic problems</w:t>
      </w:r>
    </w:p>
    <w:p w:rsidR="00000000" w:rsidRPr="002913A2" w:rsidP="002913A2">
      <w:pPr>
        <w:pStyle w:val="ListBullet"/>
      </w:pPr>
      <w:r w:rsidRPr="002913A2">
        <w:t>id</w:t>
      </w:r>
      <w:r w:rsidRPr="002913A2">
        <w:t>entifying potential non-compliance of trading practices (applicable to instruments) with national measurement legislation and initiating an efficient inspection strategy that has a limited impact on others</w:t>
      </w:r>
    </w:p>
    <w:p w:rsidR="00000000" w:rsidRPr="002913A2" w:rsidP="002913A2">
      <w:pPr>
        <w:pStyle w:val="ListBullet"/>
      </w:pPr>
      <w:r w:rsidRPr="002913A2">
        <w:t>recognising and acting on non-compliance of a weig</w:t>
      </w:r>
      <w:r w:rsidRPr="002913A2">
        <w:t>hing instrument or verifier performance and/or trading practices with national measurement legislation and initiating appropriate enforcement action</w:t>
      </w:r>
    </w:p>
    <w:p w:rsidR="00000000" w:rsidRPr="002913A2" w:rsidP="002913A2">
      <w:pPr>
        <w:pStyle w:val="ListBullet"/>
      </w:pPr>
      <w:r w:rsidRPr="002913A2">
        <w:t>demonstrating professionalism and respecting the rights of the trader at all times</w:t>
      </w:r>
    </w:p>
    <w:p w:rsidR="00000000" w:rsidRPr="002913A2" w:rsidP="002913A2">
      <w:pPr>
        <w:pStyle w:val="ListBullet"/>
      </w:pPr>
      <w:r w:rsidRPr="002913A2">
        <w:t>using advanced communica</w:t>
      </w:r>
      <w:r w:rsidRPr="002913A2">
        <w:t>tion and negotiation skills to:</w:t>
      </w:r>
    </w:p>
    <w:p w:rsidR="00000000" w:rsidRPr="002913A2" w:rsidP="002913A2">
      <w:pPr>
        <w:pStyle w:val="ListBullet2"/>
      </w:pPr>
      <w:r w:rsidRPr="002913A2">
        <w:t>explain the inspection purpose, procedures and outcomes to traders, verifiers and managers</w:t>
      </w:r>
    </w:p>
    <w:p w:rsidR="00000000" w:rsidRPr="002913A2" w:rsidP="002913A2">
      <w:pPr>
        <w:pStyle w:val="ListBullet2"/>
      </w:pPr>
      <w:r w:rsidRPr="002913A2">
        <w:t>inform traders of non-compliances and consequences of failing to rectify them</w:t>
      </w:r>
    </w:p>
    <w:p w:rsidR="00000000" w:rsidRPr="002913A2" w:rsidP="002913A2">
      <w:pPr>
        <w:pStyle w:val="ListBullet2"/>
      </w:pPr>
      <w:r w:rsidRPr="002913A2">
        <w:t>access external equipment and resources to complete th</w:t>
      </w:r>
      <w:r w:rsidRPr="002913A2">
        <w:t>e inspection</w:t>
      </w:r>
    </w:p>
    <w:p w:rsidR="00000000" w:rsidRPr="002913A2" w:rsidP="002913A2">
      <w:pPr>
        <w:pStyle w:val="ListBullet"/>
      </w:pPr>
      <w:r w:rsidRPr="002913A2">
        <w:t>performing specified calculations involving:</w:t>
      </w:r>
    </w:p>
    <w:p w:rsidR="00000000" w:rsidRPr="002913A2" w:rsidP="002913A2">
      <w:pPr>
        <w:pStyle w:val="ListBullet2"/>
      </w:pPr>
      <w:r w:rsidRPr="002913A2">
        <w:t>fractions, decimals, ratios, proportions and percentages</w:t>
      </w:r>
    </w:p>
    <w:p w:rsidR="00000000" w:rsidRPr="002913A2" w:rsidP="002913A2">
      <w:pPr>
        <w:pStyle w:val="ListBullet2"/>
      </w:pPr>
      <w:r w:rsidRPr="002913A2">
        <w:t>scientific notation, correct units and the correct number of significant figures</w:t>
      </w:r>
    </w:p>
    <w:p w:rsidR="00000000" w:rsidRPr="002913A2" w:rsidP="002913A2">
      <w:pPr>
        <w:pStyle w:val="ListBullet"/>
      </w:pPr>
      <w:r w:rsidRPr="002913A2">
        <w:t>maintaining the security and confidentiality of data in accordance with organisational and regulatory requirements</w:t>
      </w:r>
    </w:p>
    <w:p w:rsidR="00000000" w:rsidRPr="002913A2" w:rsidP="002913A2">
      <w:pPr>
        <w:pStyle w:val="ListBullet"/>
      </w:pPr>
      <w:r w:rsidRPr="002913A2">
        <w:t>reporting results in the required formats and expected timeframe</w:t>
      </w:r>
    </w:p>
    <w:p w:rsidR="00000000" w:rsidRPr="002913A2" w:rsidP="002913A2">
      <w:pPr>
        <w:pStyle w:val="ListBullet"/>
      </w:pPr>
      <w:r w:rsidRPr="002913A2">
        <w:t>working safely.</w:t>
      </w:r>
    </w:p>
    <w:p w:rsidR="00000000" w:rsidRPr="002913A2" w:rsidP="002913A2">
      <w:pPr>
        <w:pStyle w:val="AllowPageBreak"/>
      </w:pPr>
    </w:p>
    <w:p w:rsidR="00000000" w:rsidRPr="002913A2" w:rsidP="002913A2">
      <w:pPr>
        <w:pStyle w:val="Heading1"/>
      </w:pPr>
      <w:bookmarkStart w:id="13" w:name="O_939450"/>
      <w:bookmarkEnd w:id="13"/>
      <w:r w:rsidRPr="002913A2">
        <w:t>Knowledge Evidence</w:t>
      </w:r>
    </w:p>
    <w:p w:rsidR="00000000" w:rsidRPr="002913A2" w:rsidP="002924FB">
      <w:pPr>
        <w:pStyle w:val="BodyText"/>
      </w:pPr>
      <w:r w:rsidRPr="002913A2">
        <w:t>Must provide evidence th</w:t>
      </w:r>
      <w:r w:rsidRPr="002913A2">
        <w:t xml:space="preserve">at demonstrates knowledge of: </w:t>
      </w:r>
    </w:p>
    <w:p w:rsidR="00000000" w:rsidRPr="002913A2" w:rsidP="002913A2">
      <w:pPr>
        <w:pStyle w:val="ListBullet"/>
      </w:pPr>
      <w:r w:rsidRPr="002913A2">
        <w:t>general science principles and concepts, including weight, mass and gravity</w:t>
      </w:r>
    </w:p>
    <w:p w:rsidR="00000000" w:rsidRPr="002913A2" w:rsidP="002913A2">
      <w:pPr>
        <w:pStyle w:val="ListBullet"/>
      </w:pPr>
      <w:r w:rsidRPr="002913A2">
        <w:t>metrological terms and terminology specific to weighing instruments, including maximum permissible errors, traceability, uncertainty, maximum permis</w:t>
      </w:r>
      <w:r w:rsidRPr="002913A2">
        <w:t>sible difference, eccentricity, repeatability, error of measurement, error of indication and linearisation</w:t>
      </w:r>
    </w:p>
    <w:p w:rsidR="00000000" w:rsidRPr="002913A2" w:rsidP="002913A2">
      <w:pPr>
        <w:pStyle w:val="ListBullet"/>
      </w:pPr>
      <w:r w:rsidRPr="002913A2">
        <w:t>national measurement legislation applicable to weighing instruments</w:t>
      </w:r>
    </w:p>
    <w:p w:rsidR="00000000" w:rsidRPr="002913A2" w:rsidP="002913A2">
      <w:pPr>
        <w:pStyle w:val="ListBullet"/>
      </w:pPr>
      <w:r w:rsidRPr="002913A2">
        <w:t>safe work method statements (SWMS) for a range of trading environments, such as l</w:t>
      </w:r>
      <w:r w:rsidRPr="002913A2">
        <w:t>aboratories, retail, manufacturing, industrial, mining, construction, medical, chemical, petroleum, farming and abattoirs</w:t>
      </w:r>
    </w:p>
    <w:p w:rsidR="00000000" w:rsidRPr="002913A2" w:rsidP="002913A2">
      <w:pPr>
        <w:pStyle w:val="ListBullet"/>
      </w:pPr>
      <w:r w:rsidRPr="002913A2">
        <w:t>NMI policy requirements, including test procedure variations between a verification, in-service or audit inspection, bulletins, instructions and determinations</w:t>
      </w:r>
    </w:p>
    <w:p w:rsidR="00000000" w:rsidRPr="002913A2" w:rsidP="002913A2">
      <w:pPr>
        <w:pStyle w:val="ListBullet"/>
      </w:pPr>
      <w:r w:rsidRPr="002913A2">
        <w:t>detailed National Instrument Test Procedures and operating procedures for equipment and referenc</w:t>
      </w:r>
      <w:r w:rsidRPr="002913A2">
        <w:t>e standards used in job role, including:</w:t>
      </w:r>
    </w:p>
    <w:p w:rsidR="00000000" w:rsidRPr="002913A2" w:rsidP="002913A2">
      <w:pPr>
        <w:pStyle w:val="ListBullet2"/>
      </w:pPr>
      <w:r w:rsidRPr="002913A2">
        <w:t>test conditions and possible environmental impacts on performance of the instrument</w:t>
      </w:r>
    </w:p>
    <w:p w:rsidR="00000000" w:rsidRPr="002913A2" w:rsidP="002913A2">
      <w:pPr>
        <w:pStyle w:val="ListBullet2"/>
      </w:pPr>
      <w:r w:rsidRPr="002913A2">
        <w:t>key preparation/measurement steps in test method</w:t>
      </w:r>
    </w:p>
    <w:p w:rsidR="00000000" w:rsidRPr="002913A2" w:rsidP="002913A2">
      <w:pPr>
        <w:pStyle w:val="ListBullet2"/>
      </w:pPr>
      <w:r w:rsidRPr="002913A2">
        <w:t>calculation steps to give results in appropriate units and precision</w:t>
      </w:r>
    </w:p>
    <w:p w:rsidR="00000000" w:rsidRPr="002913A2" w:rsidP="002913A2">
      <w:pPr>
        <w:pStyle w:val="ListBullet2"/>
      </w:pPr>
      <w:r w:rsidRPr="002913A2">
        <w:t>maximum perm</w:t>
      </w:r>
      <w:r w:rsidRPr="002913A2">
        <w:t>issible errors for weighing instruments under inspection</w:t>
      </w:r>
    </w:p>
    <w:p w:rsidR="00000000" w:rsidRPr="002913A2" w:rsidP="002913A2">
      <w:pPr>
        <w:pStyle w:val="ListBullet2"/>
      </w:pPr>
      <w:r w:rsidRPr="002913A2">
        <w:t>organisational policy and procedures for inspecting weighing instruments, including completing inspection documentation</w:t>
      </w:r>
    </w:p>
    <w:p w:rsidR="00000000" w:rsidRPr="002913A2" w:rsidP="002913A2">
      <w:pPr>
        <w:pStyle w:val="ListBullet2"/>
      </w:pPr>
      <w:r w:rsidRPr="002913A2">
        <w:t>organisational safety procedures and requirements of applicable Commonwealth, s</w:t>
      </w:r>
      <w:r w:rsidRPr="002913A2">
        <w:t>tate and territory work/occupational health and safety (WHS/OHS) legislation.</w:t>
      </w:r>
    </w:p>
    <w:p w:rsidR="00000000" w:rsidRPr="002913A2" w:rsidP="002913A2">
      <w:pPr>
        <w:pStyle w:val="AllowPageBreak"/>
      </w:pPr>
    </w:p>
    <w:p w:rsidR="00000000" w:rsidRPr="002913A2" w:rsidP="002913A2">
      <w:pPr>
        <w:pStyle w:val="Heading1"/>
      </w:pPr>
      <w:bookmarkStart w:id="14" w:name="O_939449"/>
      <w:bookmarkEnd w:id="14"/>
      <w:r w:rsidRPr="002913A2">
        <w:t>Assessment Conditions</w:t>
      </w:r>
    </w:p>
    <w:p w:rsidR="00000000" w:rsidRPr="002913A2" w:rsidP="002913A2">
      <w:pPr>
        <w:pStyle w:val="ListBullet"/>
      </w:pPr>
      <w:r w:rsidRPr="002913A2">
        <w:t>Judgement of competence must be based on holistic assessment of the evidence. Assessment methods must confirm consistency of performance o</w:t>
      </w:r>
      <w:r w:rsidRPr="002913A2">
        <w:t xml:space="preserve">ver time, rather than a single assessment event. </w:t>
      </w:r>
    </w:p>
    <w:p w:rsidR="00000000" w:rsidRPr="002913A2" w:rsidP="002913A2">
      <w:pPr>
        <w:pStyle w:val="ListBullet"/>
      </w:pPr>
      <w:r w:rsidRPr="002913A2">
        <w:t>This unit of competency should be assessed in the workplace or a simulated workplace environment. A simulated workplace environment must reflect realistic operational workplace conditions that cover all asp</w:t>
      </w:r>
      <w:r w:rsidRPr="002913A2">
        <w:t xml:space="preserve">ects of workplace performance, including the environment, task skills, task management skills, contingency management skills and job role environment skills.  </w:t>
      </w:r>
    </w:p>
    <w:p w:rsidR="00000000" w:rsidRPr="002913A2" w:rsidP="002913A2">
      <w:pPr>
        <w:pStyle w:val="ListBullet"/>
      </w:pPr>
      <w:r w:rsidRPr="002913A2">
        <w:t>Foundation skills are integral to competent performance of the unit and should not be assessed s</w:t>
      </w:r>
      <w:r w:rsidRPr="002913A2">
        <w:t xml:space="preserve">eparately. </w:t>
      </w:r>
    </w:p>
    <w:p w:rsidR="00000000" w:rsidRPr="002913A2" w:rsidP="002913A2">
      <w:pPr>
        <w:pStyle w:val="ListBullet"/>
      </w:pPr>
      <w:r w:rsidRPr="002913A2">
        <w:t>Assessment processes and techniques must be appropriate to the language, literacy and numeracy requirements of the work being performed and the needs of the candidate.</w:t>
      </w:r>
    </w:p>
    <w:p w:rsidR="00000000" w:rsidRPr="002913A2" w:rsidP="002913A2">
      <w:pPr>
        <w:pStyle w:val="ListBullet"/>
      </w:pPr>
      <w:r w:rsidRPr="002913A2">
        <w:t>Knowledge evidence may be collected concurrently with performance evidence or through an independent process, such as workbooks, written assessments or interviews (provided a record is kept in each case).</w:t>
      </w:r>
    </w:p>
    <w:p w:rsidR="00000000" w:rsidRPr="002913A2" w:rsidP="002913A2">
      <w:pPr>
        <w:pStyle w:val="ListBullet"/>
      </w:pPr>
      <w:r w:rsidRPr="002913A2">
        <w:t>This unit of competency may be assessed with:</w:t>
      </w:r>
    </w:p>
    <w:p w:rsidR="00000000" w:rsidRPr="002913A2" w:rsidP="002913A2">
      <w:pPr>
        <w:pStyle w:val="ListBullet2"/>
      </w:pPr>
      <w:r w:rsidRPr="002913A2">
        <w:rPr>
          <w:rStyle w:val="Emphasis"/>
        </w:rPr>
        <w:t>MSMT</w:t>
      </w:r>
      <w:r w:rsidRPr="002913A2">
        <w:rPr>
          <w:rStyle w:val="Emphasis"/>
        </w:rPr>
        <w:t>MREF301 Use and maintain reference standards</w:t>
      </w:r>
    </w:p>
    <w:p w:rsidR="00000000" w:rsidRPr="002913A2" w:rsidP="002913A2">
      <w:pPr>
        <w:pStyle w:val="ListBullet2"/>
      </w:pPr>
      <w:r w:rsidRPr="002913A2">
        <w:rPr>
          <w:rStyle w:val="Emphasis"/>
        </w:rPr>
        <w:t>MSMTMINS403 Inspect a range of trading practices</w:t>
      </w:r>
    </w:p>
    <w:p w:rsidR="00000000" w:rsidRPr="002913A2" w:rsidP="002913A2">
      <w:pPr>
        <w:pStyle w:val="ListBullet2"/>
      </w:pPr>
      <w:r w:rsidRPr="002913A2">
        <w:rPr>
          <w:rStyle w:val="Emphasis"/>
        </w:rPr>
        <w:t>MSMTMINS404 Inspect a range of pre-packaged products</w:t>
      </w:r>
    </w:p>
    <w:p w:rsidR="00000000" w:rsidRPr="002913A2" w:rsidP="002913A2">
      <w:pPr>
        <w:pStyle w:val="ListBullet2"/>
      </w:pPr>
      <w:r w:rsidRPr="002913A2">
        <w:rPr>
          <w:rStyle w:val="Emphasis"/>
        </w:rPr>
        <w:t>MSMTMINS402 Inspect a range of liquid measuring instruments using volume measures</w:t>
      </w:r>
    </w:p>
    <w:p w:rsidR="00000000" w:rsidRPr="002913A2" w:rsidP="002913A2">
      <w:pPr>
        <w:pStyle w:val="ListBullet"/>
      </w:pPr>
      <w:r w:rsidRPr="002913A2">
        <w:t>Holistic assessment method</w:t>
      </w:r>
      <w:r w:rsidRPr="002913A2">
        <w:t xml:space="preserve">s include: </w:t>
      </w:r>
    </w:p>
    <w:p w:rsidR="00000000" w:rsidRPr="002913A2" w:rsidP="002913A2">
      <w:pPr>
        <w:pStyle w:val="ListBullet2"/>
      </w:pPr>
      <w:r w:rsidRPr="002913A2">
        <w:t>review of initial verification testing reports and verifier instrument audit reports prepared by the candidate</w:t>
      </w:r>
    </w:p>
    <w:p w:rsidR="00000000" w:rsidRPr="002913A2" w:rsidP="002913A2">
      <w:pPr>
        <w:pStyle w:val="ListBullet2"/>
      </w:pPr>
      <w:r w:rsidRPr="002913A2">
        <w:t>feedback from supervisors and peers regarding the candidate</w:t>
      </w:r>
      <w:r>
        <w:t>’</w:t>
      </w:r>
      <w:r w:rsidRPr="002913A2">
        <w:t>s ability to conduct inspections, evaluate the performance of weighing i</w:t>
      </w:r>
      <w:r w:rsidRPr="002913A2">
        <w:t>nstruments and audit verifier’s performance in accordance with legislative and organisational procedures</w:t>
      </w:r>
    </w:p>
    <w:p w:rsidR="00000000" w:rsidRPr="002913A2" w:rsidP="002913A2">
      <w:pPr>
        <w:pStyle w:val="ListBullet2"/>
      </w:pPr>
      <w:r w:rsidRPr="002913A2">
        <w:t>questions to assess understanding of relevant procedures, licensing requirements, trader obligations and remedial actions</w:t>
      </w:r>
    </w:p>
    <w:p w:rsidR="00000000" w:rsidRPr="002913A2" w:rsidP="002913A2">
      <w:pPr>
        <w:pStyle w:val="ListBullet2"/>
      </w:pPr>
      <w:r w:rsidRPr="002913A2">
        <w:t>review of candidate’s respons</w:t>
      </w:r>
      <w:r w:rsidRPr="002913A2">
        <w:t>es to inspection scenarios, such as potential/actual non-compliances and appropriate actions, common issues and problems</w:t>
      </w:r>
    </w:p>
    <w:p w:rsidR="00000000" w:rsidRPr="002913A2" w:rsidP="002913A2">
      <w:pPr>
        <w:pStyle w:val="ListBullet2"/>
      </w:pPr>
      <w:r w:rsidRPr="002913A2">
        <w:t>observation of the candidate conducting an inspection.</w:t>
      </w:r>
    </w:p>
    <w:p w:rsidR="00000000" w:rsidRPr="002913A2" w:rsidP="002913A2">
      <w:pPr>
        <w:pStyle w:val="ListBullet"/>
      </w:pPr>
      <w:r w:rsidRPr="002913A2">
        <w:t>Access is required to instruments, equipment, materials, workplace documentation, procedures, and specifications associated with this unit including, but not limited to:</w:t>
      </w:r>
    </w:p>
    <w:p w:rsidR="00000000" w:rsidRPr="002913A2" w:rsidP="002913A2">
      <w:pPr>
        <w:pStyle w:val="ListBullet2"/>
      </w:pPr>
      <w:r w:rsidRPr="002913A2">
        <w:t>latest versions of appropriate documentation, such as Certificates of Verification an</w:t>
      </w:r>
      <w:r w:rsidRPr="002913A2">
        <w:t>d Approval, NMI policy, National Instrument Test Procedures for verifying weighing instruments and relevant legislation</w:t>
      </w:r>
    </w:p>
    <w:p w:rsidR="00000000" w:rsidRPr="002913A2" w:rsidP="002913A2">
      <w:pPr>
        <w:pStyle w:val="ListBullet2"/>
      </w:pPr>
      <w:r w:rsidRPr="002913A2">
        <w:t>equipment manuals, safety data sheets (SDS) and safety procedures</w:t>
      </w:r>
    </w:p>
    <w:p w:rsidR="00000000" w:rsidRPr="002913A2" w:rsidP="002913A2">
      <w:pPr>
        <w:pStyle w:val="ListBullet2"/>
      </w:pPr>
      <w:r w:rsidRPr="002913A2">
        <w:t>records, such as test reports, audit reports, instrument history and t</w:t>
      </w:r>
      <w:r w:rsidRPr="002913A2">
        <w:t>est results</w:t>
      </w:r>
    </w:p>
    <w:p w:rsidR="00000000" w:rsidRPr="002913A2" w:rsidP="002913A2">
      <w:pPr>
        <w:pStyle w:val="ListBullet2"/>
      </w:pPr>
      <w:r w:rsidRPr="002913A2">
        <w:t>weighing instruments, test equipment and reference standards</w:t>
      </w:r>
    </w:p>
    <w:p w:rsidR="00000000" w:rsidRPr="002913A2" w:rsidP="002913A2">
      <w:pPr>
        <w:pStyle w:val="ListBullet2"/>
      </w:pPr>
      <w:r w:rsidRPr="002913A2">
        <w:t>computer and relevant software and/or organisation information management system.</w:t>
      </w:r>
    </w:p>
    <w:p w:rsidR="00000000" w:rsidRPr="002913A2" w:rsidP="002913A2">
      <w:pPr>
        <w:pStyle w:val="ListBullet"/>
      </w:pPr>
      <w:r w:rsidRPr="002913A2">
        <w:t>Assessors must satisfy the assessor competency requirements that are in place at the time of the ass</w:t>
      </w:r>
      <w:r w:rsidRPr="002913A2">
        <w:t xml:space="preserve">essment as set by the VET regulator.  </w:t>
      </w:r>
    </w:p>
    <w:p w:rsidR="00000000" w:rsidRPr="002913A2" w:rsidP="002913A2">
      <w:pPr>
        <w:pStyle w:val="ListBullet"/>
      </w:pPr>
      <w:r w:rsidRPr="002913A2">
        <w:t>The assessor must demonstrate both technical competency and currency.</w:t>
      </w:r>
    </w:p>
    <w:p w:rsidR="00000000" w:rsidRPr="002913A2" w:rsidP="002913A2">
      <w:pPr>
        <w:pStyle w:val="ListBullet"/>
      </w:pPr>
      <w:r w:rsidRPr="002913A2">
        <w:t>Technical competence can be demonstrated through:</w:t>
      </w:r>
    </w:p>
    <w:p w:rsidR="00000000" w:rsidRPr="002913A2" w:rsidP="002913A2">
      <w:pPr>
        <w:pStyle w:val="ListBullet2"/>
      </w:pPr>
      <w:r w:rsidRPr="002913A2">
        <w:t>relevant VET or other qualification/Statement of Attainment AND/OR</w:t>
      </w:r>
    </w:p>
    <w:p w:rsidR="00000000" w:rsidRPr="002913A2" w:rsidP="002913A2">
      <w:pPr>
        <w:pStyle w:val="ListBullet2"/>
      </w:pPr>
      <w:r w:rsidRPr="002913A2">
        <w:t>relevant workplace experience</w:t>
      </w:r>
      <w:r w:rsidRPr="002913A2">
        <w:t xml:space="preserve"> in trade measurement at least to the level being assessed and broad industry knowledge (such as a relevant industry qualification).</w:t>
      </w:r>
    </w:p>
    <w:p w:rsidR="00000000" w:rsidRPr="002913A2" w:rsidP="002913A2">
      <w:pPr>
        <w:pStyle w:val="ListBullet"/>
      </w:pPr>
      <w:r w:rsidRPr="002913A2">
        <w:t>Currency can be demonstrated through:</w:t>
      </w:r>
    </w:p>
    <w:p w:rsidR="00000000" w:rsidRPr="002913A2" w:rsidP="002913A2">
      <w:pPr>
        <w:pStyle w:val="ListBullet2"/>
      </w:pPr>
      <w:r w:rsidRPr="002913A2">
        <w:t>performing the competency being assessed as part of current employment in trade mea</w:t>
      </w:r>
      <w:r w:rsidRPr="002913A2">
        <w:t>surement OR</w:t>
      </w:r>
    </w:p>
    <w:p w:rsidR="00000000" w:rsidRPr="002913A2" w:rsidP="002913A2">
      <w:pPr>
        <w:pStyle w:val="ListBullet2"/>
      </w:pPr>
      <w:r w:rsidRPr="002913A2">
        <w:t>having consulted with trade measurement inspectors and/or verifiers performing the competency being assessed within the last twelve months.</w:t>
      </w:r>
    </w:p>
    <w:p w:rsidR="00000000" w:rsidRPr="002913A2" w:rsidP="002913A2">
      <w:pPr>
        <w:pStyle w:val="AllowPageBreak"/>
      </w:pPr>
    </w:p>
    <w:p w:rsidR="00000000" w:rsidRPr="002913A2" w:rsidP="002913A2">
      <w:pPr>
        <w:pStyle w:val="Heading1"/>
      </w:pPr>
      <w:bookmarkStart w:id="15" w:name="O_939464"/>
      <w:bookmarkEnd w:id="15"/>
      <w:r w:rsidRPr="002913A2">
        <w:t>Links</w:t>
      </w:r>
    </w:p>
    <w:p w:rsidR="00000000" w:rsidRPr="002913A2" w:rsidP="002924FB">
      <w:pPr>
        <w:pStyle w:val="BodyText"/>
      </w:pPr>
      <w:r w:rsidRPr="002913A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852991">
        <w:rPr>
          <w:rStyle w:val="Hyperlink"/>
        </w:rPr>
        <w:t>https://vetnet.gov.au/Pages/TrainingDocs.aspx?q=d1287d36-dff4-4e9f-ad2c-9d6270054027</w:t>
      </w:r>
      <w:r>
        <w:fldChar w:fldCharType="end"/>
      </w:r>
    </w:p>
    <w:p w:rsidR="00000000" w:rsidRPr="002913A2" w:rsidP="002913A2"/>
    <w:sectPr w:rsidSect="002913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3A2" w:rsidRPr="002924FB" w:rsidP="00292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FB" w:rsidP="00291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924FB" w:rsidP="002913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24FB" w:rsidP="002913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3A2" w:rsidP="002913A2">
    <w:pPr>
      <w:pStyle w:val="Footer"/>
      <w:framePr w:wrap="around"/>
    </w:pPr>
    <w:r>
      <w:fldChar w:fldCharType="begin"/>
    </w:r>
    <w:r>
      <w:instrText xml:space="preserve"> DOCPROPERTY  Subject  \* MERGEFORMAT </w:instrText>
    </w:r>
    <w:r>
      <w:fldChar w:fldCharType="separate"/>
    </w:r>
    <w:r w:rsidR="002924FB">
      <w:t>Approved</w:t>
    </w:r>
    <w:r w:rsidR="002924FB">
      <w:fldChar w:fldCharType="end"/>
    </w:r>
    <w:r>
      <w:tab/>
      <w:t xml:space="preserve">Page </w:t>
    </w:r>
    <w:r>
      <w:fldChar w:fldCharType="begin"/>
    </w:r>
    <w:r>
      <w:instrText xml:space="preserve"> PAGE  \* Arabic  \* MERGEFORMAT </w:instrText>
    </w:r>
    <w:r>
      <w:fldChar w:fldCharType="separate"/>
    </w:r>
    <w:r w:rsidR="002924F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24FB">
      <w:rPr>
        <w:noProof/>
      </w:rPr>
      <w:t>7</w:t>
    </w:r>
    <w:r>
      <w:rPr>
        <w:noProof/>
      </w:rPr>
      <w:fldChar w:fldCharType="end"/>
    </w:r>
  </w:p>
  <w:p w:rsidR="002913A2" w:rsidP="002913A2">
    <w:pPr>
      <w:pStyle w:val="Footer"/>
      <w:framePr w:wrap="around"/>
    </w:pPr>
    <w:r>
      <w:t xml:space="preserve">© Commonwealth of Australia, </w:t>
    </w:r>
    <w:r>
      <w:fldChar w:fldCharType="begin"/>
    </w:r>
    <w:r>
      <w:instrText xml:space="preserve"> DATE  \@ "yyyy"  \* MERGEFORMAT </w:instrText>
    </w:r>
    <w:r>
      <w:fldChar w:fldCharType="separate"/>
    </w:r>
    <w:r w:rsidR="002924FB">
      <w:rPr>
        <w:noProof/>
      </w:rPr>
      <w:t>2025</w:t>
    </w:r>
    <w:r>
      <w:fldChar w:fldCharType="end"/>
    </w:r>
    <w:r>
      <w:tab/>
    </w:r>
    <w:r>
      <w:fldChar w:fldCharType="begin"/>
    </w:r>
    <w:r>
      <w:instrText xml:space="preserve"> DOCPROPERTY  Author  \* MERGEFORMAT </w:instrText>
    </w:r>
    <w:r>
      <w:fldChar w:fldCharType="separate"/>
    </w:r>
    <w:r w:rsidR="002924FB">
      <w:t>Manufacturing Industry Skills Alliance</w:t>
    </w:r>
    <w:r w:rsidR="002924FB">
      <w:fldChar w:fldCharType="end"/>
    </w:r>
  </w:p>
  <w:p w:rsidR="002913A2" w:rsidP="002913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3A2" w:rsidRPr="002924FB" w:rsidP="002924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FB" w:rsidRPr="002D2AF8" w:rsidP="002913A2">
    <w:pPr>
      <w:pStyle w:val="Header"/>
      <w:framePr w:wrap="around"/>
    </w:pPr>
    <w:r>
      <w:fldChar w:fldCharType="begin"/>
    </w:r>
    <w:r>
      <w:instrText xml:space="preserve"> TITLE   \* MERGEFORMAT </w:instrText>
    </w:r>
    <w:r>
      <w:fldChar w:fldCharType="separate"/>
    </w:r>
    <w:r>
      <w:t>MSMTMINS401 Inspect a range of weighing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924FB" w:rsidP="002913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3A2" w:rsidRPr="002D2AF8" w:rsidP="002913A2">
    <w:pPr>
      <w:pStyle w:val="Header"/>
      <w:framePr w:wrap="around"/>
    </w:pPr>
    <w:r>
      <w:fldChar w:fldCharType="begin"/>
    </w:r>
    <w:r>
      <w:instrText xml:space="preserve"> TITLE   \* MERGEFORMAT </w:instrText>
    </w:r>
    <w:r>
      <w:fldChar w:fldCharType="separate"/>
    </w:r>
    <w:r w:rsidR="002924FB">
      <w:t>MSMTMINS401 Inspect a range of weighing instruments</w:t>
    </w:r>
    <w:r w:rsidR="002924FB">
      <w:fldChar w:fldCharType="end"/>
    </w:r>
    <w:r>
      <w:tab/>
      <w:t xml:space="preserve">Date this document was generated: </w:t>
    </w:r>
    <w:r>
      <w:fldChar w:fldCharType="begin"/>
    </w:r>
    <w:r>
      <w:instrText xml:space="preserve"> CREATEDATE  \@ "d MMMM yyyy"  \* MERGEFORMAT </w:instrText>
    </w:r>
    <w:r>
      <w:fldChar w:fldCharType="separate"/>
    </w:r>
    <w:r w:rsidR="002924FB">
      <w:rPr>
        <w:noProof/>
      </w:rPr>
      <w:t>1 March 2025</w:t>
    </w:r>
    <w:r>
      <w:fldChar w:fldCharType="end"/>
    </w:r>
  </w:p>
  <w:p w:rsidR="002913A2" w:rsidP="002913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087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385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2C4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3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3A2"/>
    <w:pPr>
      <w:spacing w:before="360" w:after="60"/>
      <w:outlineLvl w:val="0"/>
    </w:pPr>
    <w:rPr>
      <w:sz w:val="32"/>
    </w:rPr>
  </w:style>
  <w:style w:type="paragraph" w:styleId="Heading2">
    <w:name w:val="heading 2"/>
    <w:basedOn w:val="HeadingBase"/>
    <w:next w:val="BodyText"/>
    <w:link w:val="Heading2Char"/>
    <w:qFormat/>
    <w:rsid w:val="002913A2"/>
    <w:pPr>
      <w:keepLines/>
      <w:spacing w:before="240" w:after="120"/>
      <w:outlineLvl w:val="1"/>
    </w:pPr>
    <w:rPr>
      <w:sz w:val="28"/>
      <w:szCs w:val="40"/>
    </w:rPr>
  </w:style>
  <w:style w:type="paragraph" w:styleId="Heading3">
    <w:name w:val="heading 3"/>
    <w:basedOn w:val="HeadingBase"/>
    <w:next w:val="BodyText"/>
    <w:link w:val="Heading3Char"/>
    <w:qFormat/>
    <w:rsid w:val="002913A2"/>
    <w:pPr>
      <w:spacing w:before="180" w:after="120"/>
      <w:outlineLvl w:val="2"/>
    </w:pPr>
    <w:rPr>
      <w:spacing w:val="-10"/>
      <w:kern w:val="32"/>
    </w:rPr>
  </w:style>
  <w:style w:type="paragraph" w:styleId="Heading4">
    <w:name w:val="heading 4"/>
    <w:basedOn w:val="HeadingBase"/>
    <w:next w:val="BodyText"/>
    <w:link w:val="Heading4Char"/>
    <w:qFormat/>
    <w:rsid w:val="002913A2"/>
    <w:pPr>
      <w:spacing w:before="160" w:after="120"/>
      <w:outlineLvl w:val="3"/>
    </w:pPr>
    <w:rPr>
      <w:sz w:val="22"/>
    </w:rPr>
  </w:style>
  <w:style w:type="paragraph" w:styleId="Heading5">
    <w:name w:val="heading 5"/>
    <w:basedOn w:val="HeadingBase"/>
    <w:next w:val="Normal"/>
    <w:link w:val="Heading5Char"/>
    <w:qFormat/>
    <w:rsid w:val="002913A2"/>
    <w:pPr>
      <w:spacing w:before="80"/>
      <w:outlineLvl w:val="4"/>
    </w:pPr>
    <w:rPr>
      <w:color w:val="918585"/>
      <w:sz w:val="20"/>
    </w:rPr>
  </w:style>
  <w:style w:type="paragraph" w:styleId="Heading6">
    <w:name w:val="heading 6"/>
    <w:basedOn w:val="HeadingBase"/>
    <w:next w:val="Normal"/>
    <w:link w:val="Heading6Char"/>
    <w:qFormat/>
    <w:rsid w:val="002913A2"/>
    <w:pPr>
      <w:spacing w:before="60"/>
      <w:outlineLvl w:val="5"/>
    </w:pPr>
    <w:rPr>
      <w:color w:val="918585"/>
      <w:sz w:val="20"/>
    </w:rPr>
  </w:style>
  <w:style w:type="paragraph" w:styleId="Heading7">
    <w:name w:val="heading 7"/>
    <w:basedOn w:val="Normal"/>
    <w:next w:val="Normal"/>
    <w:link w:val="Heading7Char"/>
    <w:qFormat/>
    <w:rsid w:val="002913A2"/>
    <w:pPr>
      <w:ind w:left="720"/>
      <w:outlineLvl w:val="6"/>
    </w:pPr>
    <w:rPr>
      <w:i/>
    </w:rPr>
  </w:style>
  <w:style w:type="paragraph" w:styleId="Heading8">
    <w:name w:val="heading 8"/>
    <w:basedOn w:val="Normal"/>
    <w:next w:val="Normal"/>
    <w:link w:val="Heading8Char"/>
    <w:qFormat/>
    <w:rsid w:val="002913A2"/>
    <w:pPr>
      <w:ind w:left="720"/>
      <w:outlineLvl w:val="7"/>
    </w:pPr>
    <w:rPr>
      <w:i/>
    </w:rPr>
  </w:style>
  <w:style w:type="paragraph" w:styleId="Heading9">
    <w:name w:val="heading 9"/>
    <w:basedOn w:val="Normal"/>
    <w:next w:val="Normal"/>
    <w:link w:val="Heading9Char"/>
    <w:qFormat/>
    <w:rsid w:val="002913A2"/>
    <w:pPr>
      <w:ind w:left="720"/>
      <w:outlineLvl w:val="8"/>
    </w:pPr>
    <w:rPr>
      <w:i/>
    </w:rPr>
  </w:style>
  <w:style w:type="character" w:default="1" w:styleId="DefaultParagraphFont">
    <w:name w:val="Default Paragraph Font"/>
    <w:uiPriority w:val="1"/>
    <w:unhideWhenUsed/>
    <w:rsid w:val="00291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3A2"/>
  </w:style>
  <w:style w:type="character" w:customStyle="1" w:styleId="Heading1Char">
    <w:name w:val="Heading 1 Char"/>
    <w:basedOn w:val="DefaultParagraphFont"/>
    <w:link w:val="Heading1"/>
    <w:rsid w:val="002913A2"/>
    <w:rPr>
      <w:rFonts w:ascii="Times New Roman" w:eastAsia="Times New Roman" w:hAnsi="Times New Roman" w:cs="Times New Roman"/>
      <w:b/>
      <w:sz w:val="32"/>
      <w:szCs w:val="20"/>
      <w:lang w:eastAsia="en-US"/>
    </w:rPr>
  </w:style>
  <w:style w:type="paragraph" w:styleId="BodyText">
    <w:name w:val="Body Text"/>
    <w:basedOn w:val="Normal"/>
    <w:link w:val="BodyTextChar"/>
    <w:rsid w:val="002913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3A2"/>
    <w:rPr>
      <w:rFonts w:ascii="Times New Roman" w:eastAsia="Times New Roman" w:hAnsi="Times New Roman" w:cs="Times New Roman"/>
      <w:sz w:val="24"/>
      <w:lang w:eastAsia="en-US"/>
    </w:rPr>
  </w:style>
  <w:style w:type="paragraph" w:styleId="ListBullet">
    <w:name w:val="List Bullet"/>
    <w:basedOn w:val="List"/>
    <w:rsid w:val="002913A2"/>
    <w:pPr>
      <w:numPr>
        <w:numId w:val="12"/>
      </w:numPr>
      <w:tabs>
        <w:tab w:val="clear" w:pos="340"/>
      </w:tabs>
      <w:spacing w:before="40" w:after="40"/>
    </w:pPr>
  </w:style>
  <w:style w:type="character" w:customStyle="1" w:styleId="SpecialBold">
    <w:name w:val="Special Bold"/>
    <w:basedOn w:val="DefaultParagraphFont"/>
    <w:rsid w:val="002913A2"/>
    <w:rPr>
      <w:b/>
      <w:spacing w:val="0"/>
    </w:rPr>
  </w:style>
  <w:style w:type="paragraph" w:styleId="ListBullet2">
    <w:name w:val="List Bullet 2"/>
    <w:basedOn w:val="List2"/>
    <w:rsid w:val="002913A2"/>
    <w:pPr>
      <w:numPr>
        <w:numId w:val="13"/>
      </w:numPr>
      <w:tabs>
        <w:tab w:val="clear" w:pos="680"/>
      </w:tabs>
    </w:pPr>
  </w:style>
  <w:style w:type="character" w:styleId="Emphasis">
    <w:name w:val="Emphasis"/>
    <w:basedOn w:val="DefaultParagraphFont"/>
    <w:qFormat/>
    <w:rsid w:val="002913A2"/>
    <w:rPr>
      <w:i/>
    </w:rPr>
  </w:style>
  <w:style w:type="paragraph" w:customStyle="1" w:styleId="SuperHeading">
    <w:name w:val="SuperHeading"/>
    <w:basedOn w:val="Normal"/>
    <w:rsid w:val="002913A2"/>
    <w:pPr>
      <w:spacing w:before="240" w:after="120"/>
      <w:outlineLvl w:val="0"/>
    </w:pPr>
    <w:rPr>
      <w:rFonts w:ascii="Times New Roman" w:hAnsi="Times New Roman"/>
      <w:b/>
      <w:sz w:val="32"/>
    </w:rPr>
  </w:style>
  <w:style w:type="paragraph" w:customStyle="1" w:styleId="AllowPageBreak">
    <w:name w:val="AllowPageBreak"/>
    <w:rsid w:val="002913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1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3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3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3A2"/>
    <w:rPr>
      <w:rFonts w:ascii="Courier New" w:eastAsia="Times New Roman" w:hAnsi="Courier New" w:cs="Times New Roman"/>
      <w:i/>
      <w:szCs w:val="20"/>
      <w:lang w:eastAsia="en-US"/>
    </w:rPr>
  </w:style>
  <w:style w:type="paragraph" w:customStyle="1" w:styleId="HeadingBase">
    <w:name w:val="Heading Base"/>
    <w:rsid w:val="00291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3A2"/>
    <w:pPr>
      <w:tabs>
        <w:tab w:val="right" w:leader="dot" w:pos="9072"/>
      </w:tabs>
      <w:ind w:left="567"/>
    </w:pPr>
    <w:rPr>
      <w:szCs w:val="22"/>
    </w:rPr>
  </w:style>
  <w:style w:type="paragraph" w:customStyle="1" w:styleId="TOCBase">
    <w:name w:val="TOC Base"/>
    <w:rsid w:val="00291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3A2"/>
    <w:pPr>
      <w:tabs>
        <w:tab w:val="right" w:leader="dot" w:pos="9072"/>
      </w:tabs>
      <w:spacing w:before="40" w:after="40"/>
      <w:ind w:left="284"/>
    </w:pPr>
    <w:rPr>
      <w:rFonts w:ascii="Times New Roman" w:hAnsi="Times New Roman"/>
    </w:rPr>
  </w:style>
  <w:style w:type="paragraph" w:styleId="TOC1">
    <w:name w:val="toc 1"/>
    <w:basedOn w:val="TOCBase"/>
    <w:next w:val="Normal"/>
    <w:rsid w:val="002913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3A2"/>
    <w:rPr>
      <w:rFonts w:ascii="Times New Roman" w:eastAsia="Times New Roman" w:hAnsi="Times New Roman" w:cs="Times New Roman"/>
      <w:sz w:val="16"/>
      <w:lang w:eastAsia="en-US"/>
    </w:rPr>
  </w:style>
  <w:style w:type="paragraph" w:styleId="Title">
    <w:name w:val="Title"/>
    <w:basedOn w:val="HeadingBase"/>
    <w:link w:val="TitleChar"/>
    <w:qFormat/>
    <w:rsid w:val="002913A2"/>
    <w:pPr>
      <w:spacing w:before="5040"/>
      <w:jc w:val="center"/>
    </w:pPr>
    <w:rPr>
      <w:sz w:val="48"/>
      <w:szCs w:val="72"/>
      <w:lang w:val="en-US"/>
    </w:rPr>
  </w:style>
  <w:style w:type="character" w:customStyle="1" w:styleId="TitleChar">
    <w:name w:val="Title Char"/>
    <w:basedOn w:val="DefaultParagraphFont"/>
    <w:link w:val="Title"/>
    <w:rsid w:val="00291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3A2"/>
    <w:pPr>
      <w:tabs>
        <w:tab w:val="left" w:pos="3600"/>
        <w:tab w:val="left" w:pos="3958"/>
      </w:tabs>
    </w:pPr>
  </w:style>
  <w:style w:type="paragraph" w:styleId="List">
    <w:name w:val="List"/>
    <w:basedOn w:val="BodyText"/>
    <w:next w:val="BodyText"/>
    <w:rsid w:val="002913A2"/>
    <w:pPr>
      <w:tabs>
        <w:tab w:val="left" w:pos="340"/>
      </w:tabs>
      <w:spacing w:before="60" w:after="60"/>
      <w:ind w:left="340" w:hanging="340"/>
    </w:pPr>
  </w:style>
  <w:style w:type="paragraph" w:customStyle="1" w:styleId="Note">
    <w:name w:val="Note"/>
    <w:basedOn w:val="BodyText"/>
    <w:rsid w:val="002913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3A2"/>
    <w:pPr>
      <w:framePr w:wrap="auto" w:hAnchor="text" w:y="6049"/>
    </w:pPr>
    <w:rPr>
      <w:color w:val="000000"/>
      <w:sz w:val="40"/>
    </w:rPr>
  </w:style>
  <w:style w:type="paragraph" w:customStyle="1" w:styleId="TOCTitle">
    <w:name w:val="TOCTitle"/>
    <w:basedOn w:val="Heading1"/>
    <w:rsid w:val="002913A2"/>
    <w:pPr>
      <w:spacing w:after="240"/>
      <w:jc w:val="center"/>
      <w:outlineLvl w:val="9"/>
    </w:pPr>
    <w:rPr>
      <w:caps/>
    </w:rPr>
  </w:style>
  <w:style w:type="paragraph" w:customStyle="1" w:styleId="Version">
    <w:name w:val="Version"/>
    <w:rsid w:val="00291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3A2"/>
    <w:pPr>
      <w:keepNext w:val="0"/>
      <w:tabs>
        <w:tab w:val="right" w:pos="4176"/>
      </w:tabs>
      <w:ind w:left="198" w:hanging="198"/>
    </w:pPr>
    <w:rPr>
      <w:rFonts w:ascii="Garamond" w:hAnsi="Garamond"/>
    </w:rPr>
  </w:style>
  <w:style w:type="paragraph" w:styleId="IndexHeading">
    <w:name w:val="index heading"/>
    <w:basedOn w:val="Normal"/>
    <w:next w:val="Index1"/>
    <w:semiHidden/>
    <w:rsid w:val="002913A2"/>
    <w:pPr>
      <w:spacing w:before="120" w:after="120"/>
    </w:pPr>
    <w:rPr>
      <w:rFonts w:ascii="Arial" w:hAnsi="Arial"/>
      <w:b/>
      <w:color w:val="918585"/>
      <w:sz w:val="24"/>
    </w:rPr>
  </w:style>
  <w:style w:type="paragraph" w:styleId="Header">
    <w:name w:val="header"/>
    <w:basedOn w:val="Normal"/>
    <w:link w:val="HeaderChar"/>
    <w:rsid w:val="00291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3A2"/>
    <w:rPr>
      <w:rFonts w:ascii="Times New Roman" w:eastAsia="Times New Roman" w:hAnsi="Times New Roman" w:cs="Times New Roman"/>
      <w:sz w:val="16"/>
      <w:szCs w:val="20"/>
      <w:lang w:val="en-GB" w:eastAsia="en-US"/>
    </w:rPr>
  </w:style>
  <w:style w:type="paragraph" w:customStyle="1" w:styleId="Chapter">
    <w:name w:val="Chapter"/>
    <w:basedOn w:val="Normal"/>
    <w:rsid w:val="002913A2"/>
    <w:pPr>
      <w:spacing w:before="240"/>
    </w:pPr>
    <w:rPr>
      <w:rFonts w:ascii="Times New Roman" w:hAnsi="Times New Roman"/>
      <w:smallCaps/>
      <w:spacing w:val="80"/>
      <w:sz w:val="28"/>
    </w:rPr>
  </w:style>
  <w:style w:type="paragraph" w:customStyle="1" w:styleId="InChapter">
    <w:name w:val="InChapter"/>
    <w:basedOn w:val="Heading3"/>
    <w:rsid w:val="002913A2"/>
    <w:pPr>
      <w:spacing w:after="240"/>
      <w:outlineLvl w:val="9"/>
    </w:pPr>
    <w:rPr>
      <w:noProof/>
    </w:rPr>
  </w:style>
  <w:style w:type="paragraph" w:styleId="Index2">
    <w:name w:val="index 2"/>
    <w:basedOn w:val="Normal"/>
    <w:next w:val="Normal"/>
    <w:semiHidden/>
    <w:rsid w:val="002913A2"/>
    <w:pPr>
      <w:tabs>
        <w:tab w:val="right" w:pos="4176"/>
      </w:tabs>
      <w:ind w:left="568" w:hanging="284"/>
    </w:pPr>
    <w:rPr>
      <w:rFonts w:ascii="Garamond" w:hAnsi="Garamond"/>
    </w:rPr>
  </w:style>
  <w:style w:type="paragraph" w:customStyle="1" w:styleId="Byline">
    <w:name w:val="Byline"/>
    <w:rsid w:val="00291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3A2"/>
    <w:pPr>
      <w:tabs>
        <w:tab w:val="clear" w:pos="3600"/>
        <w:tab w:val="clear" w:pos="3958"/>
      </w:tabs>
      <w:jc w:val="right"/>
    </w:pPr>
  </w:style>
  <w:style w:type="paragraph" w:styleId="Caption">
    <w:name w:val="caption"/>
    <w:basedOn w:val="BodyText"/>
    <w:next w:val="Normal"/>
    <w:qFormat/>
    <w:rsid w:val="002913A2"/>
    <w:pPr>
      <w:framePr w:w="2268" w:hSpace="181" w:vSpace="181" w:wrap="around" w:vAnchor="text" w:hAnchor="page" w:x="1135" w:y="285" w:anchorLock="1"/>
    </w:pPr>
    <w:rPr>
      <w:i/>
    </w:rPr>
  </w:style>
  <w:style w:type="paragraph" w:customStyle="1" w:styleId="MiniTOCTitle">
    <w:name w:val="MiniTOCTitle"/>
    <w:basedOn w:val="Heading4"/>
    <w:rsid w:val="002913A2"/>
    <w:pPr>
      <w:spacing w:before="240"/>
      <w:outlineLvl w:val="9"/>
    </w:pPr>
    <w:rPr>
      <w:noProof/>
      <w:sz w:val="24"/>
    </w:rPr>
  </w:style>
  <w:style w:type="paragraph" w:customStyle="1" w:styleId="MiniTOCItem">
    <w:name w:val="MiniTOCItem"/>
    <w:basedOn w:val="ListBullet"/>
    <w:rsid w:val="002913A2"/>
    <w:pPr>
      <w:numPr>
        <w:numId w:val="0"/>
      </w:numPr>
      <w:tabs>
        <w:tab w:val="right" w:leader="dot" w:pos="6521"/>
      </w:tabs>
      <w:spacing w:before="0" w:after="0"/>
    </w:pPr>
  </w:style>
  <w:style w:type="paragraph" w:customStyle="1" w:styleId="TOFTitle">
    <w:name w:val="TOFTitle"/>
    <w:basedOn w:val="TOCTitle"/>
    <w:rsid w:val="002913A2"/>
  </w:style>
  <w:style w:type="paragraph" w:styleId="TableofFigures">
    <w:name w:val="table of figures"/>
    <w:basedOn w:val="Normal"/>
    <w:next w:val="Normal"/>
    <w:semiHidden/>
    <w:rsid w:val="002913A2"/>
    <w:pPr>
      <w:tabs>
        <w:tab w:val="right" w:leader="dot" w:pos="9072"/>
      </w:tabs>
      <w:ind w:left="970" w:hanging="403"/>
    </w:pPr>
    <w:rPr>
      <w:rFonts w:ascii="Times New Roman" w:hAnsi="Times New Roman"/>
      <w:b/>
    </w:rPr>
  </w:style>
  <w:style w:type="paragraph" w:styleId="ListNumber">
    <w:name w:val="List Number"/>
    <w:basedOn w:val="List"/>
    <w:rsid w:val="002913A2"/>
    <w:pPr>
      <w:numPr>
        <w:numId w:val="15"/>
      </w:numPr>
      <w:tabs>
        <w:tab w:val="clear" w:pos="340"/>
      </w:tabs>
    </w:pPr>
  </w:style>
  <w:style w:type="character" w:customStyle="1" w:styleId="WingdingSymbols">
    <w:name w:val="Wingding Symbols"/>
    <w:rsid w:val="002913A2"/>
    <w:rPr>
      <w:rFonts w:ascii="Wingdings" w:hAnsi="Wingdings"/>
    </w:rPr>
  </w:style>
  <w:style w:type="paragraph" w:customStyle="1" w:styleId="TableHeading">
    <w:name w:val="Table Heading"/>
    <w:basedOn w:val="HeadingBase"/>
    <w:rsid w:val="002913A2"/>
    <w:pPr>
      <w:keepLines/>
      <w:pBdr>
        <w:bottom w:val="single" w:sz="6" w:space="1" w:color="918585"/>
      </w:pBdr>
      <w:spacing w:before="240"/>
    </w:pPr>
  </w:style>
  <w:style w:type="character" w:customStyle="1" w:styleId="HotSpot">
    <w:name w:val="HotSpot"/>
    <w:rsid w:val="002913A2"/>
    <w:rPr>
      <w:color w:val="0033CC"/>
      <w:u w:val="none"/>
    </w:rPr>
  </w:style>
  <w:style w:type="paragraph" w:customStyle="1" w:styleId="BodyTextRight">
    <w:name w:val="Body Text Right"/>
    <w:basedOn w:val="BodyText"/>
    <w:rsid w:val="002913A2"/>
    <w:pPr>
      <w:spacing w:before="0" w:after="0"/>
      <w:jc w:val="right"/>
    </w:pPr>
  </w:style>
  <w:style w:type="paragraph" w:styleId="Index3">
    <w:name w:val="index 3"/>
    <w:basedOn w:val="ListNumber2"/>
    <w:next w:val="Normal"/>
    <w:semiHidden/>
    <w:rsid w:val="002913A2"/>
    <w:pPr>
      <w:numPr>
        <w:numId w:val="0"/>
      </w:numPr>
      <w:tabs>
        <w:tab w:val="right" w:leader="dot" w:pos="4176"/>
      </w:tabs>
    </w:pPr>
  </w:style>
  <w:style w:type="paragraph" w:styleId="ListNumber2">
    <w:name w:val="List Number 2"/>
    <w:basedOn w:val="List2"/>
    <w:rsid w:val="002913A2"/>
    <w:pPr>
      <w:numPr>
        <w:numId w:val="10"/>
      </w:numPr>
      <w:tabs>
        <w:tab w:val="clear" w:pos="1060"/>
      </w:tabs>
    </w:pPr>
  </w:style>
  <w:style w:type="paragraph" w:customStyle="1" w:styleId="MarginNote">
    <w:name w:val="Margin Note"/>
    <w:basedOn w:val="BodyText"/>
    <w:rsid w:val="00291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3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3A2"/>
    <w:rPr>
      <w:sz w:val="32"/>
    </w:rPr>
  </w:style>
  <w:style w:type="paragraph" w:customStyle="1" w:styleId="HeadingProcedure">
    <w:name w:val="Heading Procedure"/>
    <w:basedOn w:val="HeadingBase"/>
    <w:next w:val="Normal"/>
    <w:rsid w:val="002913A2"/>
    <w:pPr>
      <w:tabs>
        <w:tab w:val="left" w:pos="0"/>
      </w:tabs>
      <w:spacing w:before="120" w:after="60"/>
    </w:pPr>
    <w:rPr>
      <w:i/>
      <w:color w:val="918585"/>
      <w:sz w:val="22"/>
    </w:rPr>
  </w:style>
  <w:style w:type="paragraph" w:customStyle="1" w:styleId="TableBodyText">
    <w:name w:val="Table Body Text"/>
    <w:basedOn w:val="BodyText"/>
    <w:rsid w:val="002913A2"/>
    <w:pPr>
      <w:spacing w:before="60" w:after="60"/>
    </w:pPr>
  </w:style>
  <w:style w:type="paragraph" w:styleId="ListContinue">
    <w:name w:val="List Continue"/>
    <w:basedOn w:val="List"/>
    <w:rsid w:val="002913A2"/>
    <w:pPr>
      <w:ind w:firstLine="0"/>
    </w:pPr>
  </w:style>
  <w:style w:type="paragraph" w:customStyle="1" w:styleId="ListNote">
    <w:name w:val="List Note"/>
    <w:basedOn w:val="List"/>
    <w:rsid w:val="002913A2"/>
    <w:pPr>
      <w:pBdr>
        <w:top w:val="single" w:sz="6" w:space="2" w:color="918585"/>
        <w:bottom w:val="single" w:sz="6" w:space="2" w:color="918585"/>
      </w:pBdr>
      <w:tabs>
        <w:tab w:val="left" w:pos="1021"/>
      </w:tabs>
      <w:ind w:firstLine="0"/>
    </w:pPr>
  </w:style>
  <w:style w:type="paragraph" w:customStyle="1" w:styleId="Warning">
    <w:name w:val="Warning"/>
    <w:basedOn w:val="BodyText"/>
    <w:rsid w:val="002913A2"/>
    <w:pPr>
      <w:shd w:val="clear" w:color="auto" w:fill="D9D9D9"/>
      <w:tabs>
        <w:tab w:val="left" w:pos="992"/>
      </w:tabs>
      <w:ind w:left="119" w:right="119"/>
    </w:pPr>
    <w:rPr>
      <w:sz w:val="20"/>
    </w:rPr>
  </w:style>
  <w:style w:type="paragraph" w:customStyle="1" w:styleId="MarginIcons">
    <w:name w:val="Margin Icons"/>
    <w:basedOn w:val="BodyText"/>
    <w:rsid w:val="00291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3A2"/>
    <w:rPr>
      <w:rFonts w:ascii="Courier New" w:hAnsi="Courier New"/>
    </w:rPr>
  </w:style>
  <w:style w:type="paragraph" w:customStyle="1" w:styleId="NoteBullet">
    <w:name w:val="Note Bullet"/>
    <w:basedOn w:val="Note"/>
    <w:rsid w:val="002913A2"/>
    <w:pPr>
      <w:tabs>
        <w:tab w:val="clear" w:pos="680"/>
      </w:tabs>
      <w:spacing w:before="60" w:after="60"/>
    </w:pPr>
  </w:style>
  <w:style w:type="paragraph" w:customStyle="1" w:styleId="SubHeading2">
    <w:name w:val="SubHeading2"/>
    <w:basedOn w:val="HeadingBase"/>
    <w:rsid w:val="002913A2"/>
    <w:pPr>
      <w:spacing w:before="240" w:after="60"/>
    </w:pPr>
    <w:rPr>
      <w:sz w:val="20"/>
    </w:rPr>
  </w:style>
  <w:style w:type="paragraph" w:customStyle="1" w:styleId="SubHeading1">
    <w:name w:val="SubHeading1"/>
    <w:basedOn w:val="HeadingBase"/>
    <w:rsid w:val="002913A2"/>
    <w:pPr>
      <w:spacing w:before="240" w:after="60"/>
    </w:pPr>
    <w:rPr>
      <w:color w:val="918585"/>
      <w:sz w:val="22"/>
    </w:rPr>
  </w:style>
  <w:style w:type="paragraph" w:customStyle="1" w:styleId="SideHeading">
    <w:name w:val="Side Heading"/>
    <w:basedOn w:val="HeadingBase"/>
    <w:rsid w:val="00291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3A2"/>
    <w:pPr>
      <w:tabs>
        <w:tab w:val="num" w:pos="360"/>
      </w:tabs>
    </w:pPr>
  </w:style>
  <w:style w:type="paragraph" w:styleId="PlainText">
    <w:name w:val="Plain Text"/>
    <w:basedOn w:val="Normal"/>
    <w:link w:val="PlainTextChar"/>
    <w:rsid w:val="002913A2"/>
    <w:rPr>
      <w:sz w:val="20"/>
    </w:rPr>
  </w:style>
  <w:style w:type="character" w:customStyle="1" w:styleId="PlainTextChar">
    <w:name w:val="Plain Text Char"/>
    <w:basedOn w:val="DefaultParagraphFont"/>
    <w:link w:val="PlainText"/>
    <w:rsid w:val="002913A2"/>
    <w:rPr>
      <w:rFonts w:ascii="Courier New" w:eastAsia="Times New Roman" w:hAnsi="Courier New" w:cs="Times New Roman"/>
      <w:sz w:val="20"/>
      <w:szCs w:val="20"/>
      <w:lang w:eastAsia="en-US"/>
    </w:rPr>
  </w:style>
  <w:style w:type="character" w:customStyle="1" w:styleId="MenuOption">
    <w:name w:val="Menu Option"/>
    <w:basedOn w:val="DefaultParagraphFont"/>
    <w:rsid w:val="002913A2"/>
    <w:rPr>
      <w:b/>
      <w:smallCaps/>
    </w:rPr>
  </w:style>
  <w:style w:type="paragraph" w:customStyle="1" w:styleId="TableListNumber">
    <w:name w:val="Table List Number"/>
    <w:basedOn w:val="ListNumber"/>
    <w:rsid w:val="002913A2"/>
    <w:pPr>
      <w:numPr>
        <w:numId w:val="0"/>
      </w:numPr>
    </w:pPr>
  </w:style>
  <w:style w:type="paragraph" w:styleId="TOC4">
    <w:name w:val="toc 4"/>
    <w:basedOn w:val="TOCBase"/>
    <w:next w:val="Normal"/>
    <w:semiHidden/>
    <w:rsid w:val="002913A2"/>
    <w:pPr>
      <w:tabs>
        <w:tab w:val="right" w:leader="dot" w:pos="9071"/>
      </w:tabs>
      <w:ind w:left="1701"/>
    </w:pPr>
  </w:style>
  <w:style w:type="paragraph" w:customStyle="1" w:styleId="ListAlpha">
    <w:name w:val="List Alpha"/>
    <w:basedOn w:val="List"/>
    <w:rsid w:val="002913A2"/>
    <w:pPr>
      <w:numPr>
        <w:numId w:val="9"/>
      </w:numPr>
    </w:pPr>
  </w:style>
  <w:style w:type="paragraph" w:customStyle="1" w:styleId="ListAlpha2">
    <w:name w:val="List Alpha 2"/>
    <w:basedOn w:val="List2"/>
    <w:rsid w:val="002913A2"/>
    <w:pPr>
      <w:numPr>
        <w:numId w:val="8"/>
      </w:numPr>
    </w:pPr>
  </w:style>
  <w:style w:type="paragraph" w:styleId="List2">
    <w:name w:val="List 2"/>
    <w:basedOn w:val="BodyText"/>
    <w:rsid w:val="002913A2"/>
    <w:pPr>
      <w:tabs>
        <w:tab w:val="left" w:pos="680"/>
      </w:tabs>
      <w:spacing w:before="60" w:after="60"/>
      <w:ind w:left="680" w:hanging="340"/>
    </w:pPr>
  </w:style>
  <w:style w:type="paragraph" w:styleId="List3">
    <w:name w:val="List 3"/>
    <w:basedOn w:val="BodyText"/>
    <w:rsid w:val="002913A2"/>
    <w:pPr>
      <w:tabs>
        <w:tab w:val="left" w:pos="1021"/>
      </w:tabs>
      <w:spacing w:before="60" w:after="60"/>
      <w:ind w:left="1020" w:hanging="340"/>
    </w:pPr>
  </w:style>
  <w:style w:type="paragraph" w:styleId="List4">
    <w:name w:val="List 4"/>
    <w:basedOn w:val="BodyText"/>
    <w:rsid w:val="002913A2"/>
    <w:pPr>
      <w:tabs>
        <w:tab w:val="left" w:pos="1361"/>
      </w:tabs>
      <w:spacing w:before="60" w:after="60"/>
      <w:ind w:left="1361" w:hanging="340"/>
    </w:pPr>
  </w:style>
  <w:style w:type="paragraph" w:styleId="List5">
    <w:name w:val="List 5"/>
    <w:basedOn w:val="BodyText"/>
    <w:rsid w:val="002913A2"/>
    <w:pPr>
      <w:tabs>
        <w:tab w:val="left" w:pos="1701"/>
      </w:tabs>
      <w:spacing w:before="60" w:after="60"/>
      <w:ind w:left="1701" w:hanging="340"/>
    </w:pPr>
  </w:style>
  <w:style w:type="paragraph" w:styleId="ListBullet3">
    <w:name w:val="List Bullet 3"/>
    <w:basedOn w:val="List3"/>
    <w:rsid w:val="002913A2"/>
    <w:pPr>
      <w:numPr>
        <w:numId w:val="14"/>
      </w:numPr>
      <w:tabs>
        <w:tab w:val="clear" w:pos="1021"/>
      </w:tabs>
      <w:ind w:left="1037" w:hanging="357"/>
    </w:pPr>
  </w:style>
  <w:style w:type="paragraph" w:styleId="ListBullet4">
    <w:name w:val="List Bullet 4"/>
    <w:basedOn w:val="List4"/>
    <w:rsid w:val="002913A2"/>
    <w:pPr>
      <w:numPr>
        <w:numId w:val="3"/>
      </w:numPr>
      <w:tabs>
        <w:tab w:val="clear" w:pos="1361"/>
      </w:tabs>
    </w:pPr>
  </w:style>
  <w:style w:type="paragraph" w:styleId="ListBullet5">
    <w:name w:val="List Bullet 5"/>
    <w:basedOn w:val="List5"/>
    <w:rsid w:val="002913A2"/>
    <w:pPr>
      <w:numPr>
        <w:numId w:val="4"/>
      </w:numPr>
    </w:pPr>
  </w:style>
  <w:style w:type="paragraph" w:styleId="ListContinue2">
    <w:name w:val="List Continue 2"/>
    <w:basedOn w:val="List2"/>
    <w:rsid w:val="002913A2"/>
    <w:pPr>
      <w:ind w:firstLine="0"/>
    </w:pPr>
  </w:style>
  <w:style w:type="paragraph" w:styleId="ListContinue3">
    <w:name w:val="List Continue 3"/>
    <w:basedOn w:val="List3"/>
    <w:rsid w:val="002913A2"/>
    <w:pPr>
      <w:ind w:left="1021" w:firstLine="0"/>
    </w:pPr>
  </w:style>
  <w:style w:type="paragraph" w:styleId="ListContinue4">
    <w:name w:val="List Continue 4"/>
    <w:basedOn w:val="List4"/>
    <w:rsid w:val="002913A2"/>
    <w:pPr>
      <w:ind w:firstLine="0"/>
    </w:pPr>
  </w:style>
  <w:style w:type="paragraph" w:styleId="ListContinue5">
    <w:name w:val="List Continue 5"/>
    <w:basedOn w:val="List5"/>
    <w:rsid w:val="002913A2"/>
    <w:pPr>
      <w:ind w:firstLine="0"/>
    </w:pPr>
  </w:style>
  <w:style w:type="paragraph" w:styleId="ListNumber3">
    <w:name w:val="List Number 3"/>
    <w:basedOn w:val="List3"/>
    <w:rsid w:val="002913A2"/>
    <w:pPr>
      <w:numPr>
        <w:numId w:val="5"/>
      </w:numPr>
    </w:pPr>
  </w:style>
  <w:style w:type="paragraph" w:styleId="ListNumber4">
    <w:name w:val="List Number 4"/>
    <w:basedOn w:val="List4"/>
    <w:rsid w:val="002913A2"/>
    <w:pPr>
      <w:numPr>
        <w:numId w:val="6"/>
      </w:numPr>
    </w:pPr>
  </w:style>
  <w:style w:type="paragraph" w:styleId="ListNumber5">
    <w:name w:val="List Number 5"/>
    <w:basedOn w:val="List5"/>
    <w:rsid w:val="002913A2"/>
    <w:pPr>
      <w:numPr>
        <w:numId w:val="7"/>
      </w:numPr>
    </w:pPr>
  </w:style>
  <w:style w:type="paragraph" w:styleId="BlockText">
    <w:name w:val="Block Text"/>
    <w:basedOn w:val="Normal"/>
    <w:rsid w:val="002913A2"/>
    <w:pPr>
      <w:spacing w:after="120"/>
      <w:ind w:left="1440" w:right="1440"/>
    </w:pPr>
  </w:style>
  <w:style w:type="character" w:customStyle="1" w:styleId="Subscript">
    <w:name w:val="Subscript"/>
    <w:basedOn w:val="DefaultParagraphFont"/>
    <w:rsid w:val="002913A2"/>
    <w:rPr>
      <w:sz w:val="16"/>
      <w:vertAlign w:val="subscript"/>
    </w:rPr>
  </w:style>
  <w:style w:type="character" w:customStyle="1" w:styleId="Superscript">
    <w:name w:val="Superscript"/>
    <w:basedOn w:val="DefaultParagraphFont"/>
    <w:rsid w:val="002913A2"/>
    <w:rPr>
      <w:sz w:val="16"/>
      <w:vertAlign w:val="superscript"/>
    </w:rPr>
  </w:style>
  <w:style w:type="character" w:customStyle="1" w:styleId="Symbols">
    <w:name w:val="Symbols"/>
    <w:basedOn w:val="DefaultParagraphFont"/>
    <w:rsid w:val="002913A2"/>
    <w:rPr>
      <w:rFonts w:ascii="Symbol" w:hAnsi="Symbol"/>
    </w:rPr>
  </w:style>
  <w:style w:type="character" w:customStyle="1" w:styleId="MenuOptions">
    <w:name w:val="Menu Options"/>
    <w:basedOn w:val="DefaultParagraphFont"/>
    <w:rsid w:val="002913A2"/>
    <w:rPr>
      <w:rFonts w:ascii="Arial Narrow" w:hAnsi="Arial Narrow"/>
      <w:smallCaps/>
    </w:rPr>
  </w:style>
  <w:style w:type="character" w:customStyle="1" w:styleId="Buttons">
    <w:name w:val="Buttons"/>
    <w:basedOn w:val="DefaultParagraphFont"/>
    <w:rsid w:val="002913A2"/>
    <w:rPr>
      <w:b/>
    </w:rPr>
  </w:style>
  <w:style w:type="character" w:customStyle="1" w:styleId="Underlined">
    <w:name w:val="Underlined"/>
    <w:basedOn w:val="DefaultParagraphFont"/>
    <w:rsid w:val="002913A2"/>
    <w:rPr>
      <w:u w:val="single"/>
    </w:rPr>
  </w:style>
  <w:style w:type="paragraph" w:customStyle="1" w:styleId="TableBodyTextRight">
    <w:name w:val="Table Body Text Right"/>
    <w:basedOn w:val="TableBodyText"/>
    <w:rsid w:val="002913A2"/>
    <w:pPr>
      <w:widowControl w:val="0"/>
      <w:autoSpaceDE w:val="0"/>
      <w:autoSpaceDN w:val="0"/>
      <w:adjustRightInd w:val="0"/>
      <w:jc w:val="right"/>
    </w:pPr>
    <w:rPr>
      <w:rFonts w:cs="Arial"/>
      <w:szCs w:val="18"/>
    </w:rPr>
  </w:style>
  <w:style w:type="paragraph" w:customStyle="1" w:styleId="CopyrightText">
    <w:name w:val="Copyright Text"/>
    <w:basedOn w:val="BodyText"/>
    <w:rsid w:val="002913A2"/>
    <w:rPr>
      <w:sz w:val="18"/>
    </w:rPr>
  </w:style>
  <w:style w:type="paragraph" w:customStyle="1" w:styleId="BodySmallRight">
    <w:name w:val="Body Small Right"/>
    <w:basedOn w:val="BodyTextRight"/>
    <w:rsid w:val="002913A2"/>
    <w:rPr>
      <w:sz w:val="18"/>
      <w:szCs w:val="18"/>
    </w:rPr>
  </w:style>
  <w:style w:type="paragraph" w:customStyle="1" w:styleId="MarginEdition">
    <w:name w:val="Margin Edition"/>
    <w:basedOn w:val="MarginNote"/>
    <w:rsid w:val="002913A2"/>
    <w:pPr>
      <w:spacing w:before="0" w:after="0"/>
    </w:pPr>
    <w:rPr>
      <w:rFonts w:ascii="Times New Roman" w:hAnsi="Times New Roman"/>
      <w:color w:val="999999"/>
    </w:rPr>
  </w:style>
  <w:style w:type="paragraph" w:customStyle="1" w:styleId="Spacer">
    <w:name w:val="Spacer"/>
    <w:basedOn w:val="Normal"/>
    <w:rsid w:val="002913A2"/>
    <w:rPr>
      <w:sz w:val="2"/>
      <w:szCs w:val="2"/>
    </w:rPr>
  </w:style>
  <w:style w:type="character" w:customStyle="1" w:styleId="Small">
    <w:name w:val="Small"/>
    <w:basedOn w:val="DefaultParagraphFont"/>
    <w:rsid w:val="002913A2"/>
    <w:rPr>
      <w:sz w:val="16"/>
    </w:rPr>
  </w:style>
  <w:style w:type="paragraph" w:customStyle="1" w:styleId="WideTable">
    <w:name w:val="Wide Table"/>
    <w:basedOn w:val="Normal"/>
    <w:rsid w:val="002913A2"/>
    <w:pPr>
      <w:ind w:left="-1418"/>
    </w:pPr>
    <w:rPr>
      <w:sz w:val="2"/>
      <w:szCs w:val="2"/>
    </w:rPr>
  </w:style>
  <w:style w:type="character" w:styleId="PageNumber">
    <w:name w:val="page number"/>
    <w:basedOn w:val="DefaultParagraphFont"/>
    <w:rsid w:val="002913A2"/>
  </w:style>
  <w:style w:type="paragraph" w:styleId="Quote">
    <w:name w:val="Quote"/>
    <w:basedOn w:val="Heading1"/>
    <w:link w:val="QuoteChar"/>
    <w:qFormat/>
    <w:rsid w:val="002913A2"/>
    <w:rPr>
      <w:b w:val="0"/>
      <w:sz w:val="72"/>
      <w:szCs w:val="72"/>
      <w:lang w:val="en-NZ"/>
    </w:rPr>
  </w:style>
  <w:style w:type="character" w:customStyle="1" w:styleId="QuoteChar">
    <w:name w:val="Quote Char"/>
    <w:basedOn w:val="DefaultParagraphFont"/>
    <w:link w:val="Quote"/>
    <w:rsid w:val="00291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3A2"/>
    <w:pPr>
      <w:pageBreakBefore/>
    </w:pPr>
  </w:style>
  <w:style w:type="paragraph" w:customStyle="1" w:styleId="Border">
    <w:name w:val="Border"/>
    <w:basedOn w:val="Normal"/>
    <w:qFormat/>
    <w:rsid w:val="00291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3A2"/>
    <w:rPr>
      <w:b/>
      <w:bCs/>
      <w:i/>
      <w:iCs/>
      <w:color w:val="auto"/>
    </w:rPr>
  </w:style>
  <w:style w:type="paragraph" w:styleId="IntenseQuote">
    <w:name w:val="Intense Quote"/>
    <w:basedOn w:val="Normal"/>
    <w:next w:val="Normal"/>
    <w:link w:val="IntenseQuoteChar"/>
    <w:uiPriority w:val="30"/>
    <w:qFormat/>
    <w:rsid w:val="00291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3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3A2"/>
    <w:rPr>
      <w:smallCaps/>
      <w:color w:val="auto"/>
      <w:u w:val="single"/>
    </w:rPr>
  </w:style>
  <w:style w:type="character" w:styleId="IntenseReference">
    <w:name w:val="Intense Reference"/>
    <w:basedOn w:val="DefaultParagraphFont"/>
    <w:uiPriority w:val="32"/>
    <w:qFormat/>
    <w:rsid w:val="002913A2"/>
    <w:rPr>
      <w:b/>
      <w:bCs/>
      <w:smallCaps/>
      <w:color w:val="auto"/>
      <w:spacing w:val="5"/>
      <w:u w:val="single"/>
    </w:rPr>
  </w:style>
  <w:style w:type="paragraph" w:customStyle="1" w:styleId="2ColumnHeading">
    <w:name w:val="2Column Heading"/>
    <w:basedOn w:val="BodyText"/>
    <w:qFormat/>
    <w:rsid w:val="002913A2"/>
    <w:pPr>
      <w:spacing w:after="60"/>
      <w:ind w:left="-2268"/>
    </w:pPr>
    <w:rPr>
      <w:b/>
    </w:rPr>
  </w:style>
  <w:style w:type="paragraph" w:customStyle="1" w:styleId="Heading1TOC">
    <w:name w:val="Heading1 TOC"/>
    <w:basedOn w:val="Normal"/>
    <w:qFormat/>
    <w:rsid w:val="002913A2"/>
    <w:pPr>
      <w:spacing w:before="240" w:after="120"/>
    </w:pPr>
    <w:rPr>
      <w:rFonts w:ascii="Times New Roman" w:hAnsi="Times New Roman"/>
      <w:b/>
      <w:sz w:val="32"/>
    </w:rPr>
  </w:style>
  <w:style w:type="paragraph" w:customStyle="1" w:styleId="Heading2TOC">
    <w:name w:val="Heading2 TOC"/>
    <w:basedOn w:val="Normal"/>
    <w:qFormat/>
    <w:rsid w:val="002913A2"/>
    <w:pPr>
      <w:spacing w:before="240" w:after="60"/>
    </w:pPr>
    <w:rPr>
      <w:rFonts w:ascii="Times New Roman" w:hAnsi="Times New Roman"/>
      <w:b/>
      <w:sz w:val="28"/>
    </w:rPr>
  </w:style>
  <w:style w:type="character" w:customStyle="1" w:styleId="Underline">
    <w:name w:val="Underline"/>
    <w:basedOn w:val="DefaultParagraphFont"/>
    <w:qFormat/>
    <w:rsid w:val="002913A2"/>
    <w:rPr>
      <w:u w:val="single"/>
    </w:rPr>
  </w:style>
  <w:style w:type="character" w:customStyle="1" w:styleId="BoldandItalics">
    <w:name w:val="Bold and Italics"/>
    <w:qFormat/>
    <w:rsid w:val="002913A2"/>
    <w:rPr>
      <w:b/>
      <w:i/>
      <w:u w:val="none"/>
    </w:rPr>
  </w:style>
  <w:style w:type="paragraph" w:styleId="BalloonText">
    <w:name w:val="Balloon Text"/>
    <w:basedOn w:val="Normal"/>
    <w:link w:val="BalloonTextChar"/>
    <w:rsid w:val="002913A2"/>
    <w:rPr>
      <w:rFonts w:ascii="Tahoma" w:hAnsi="Tahoma" w:cs="Tahoma"/>
      <w:sz w:val="16"/>
      <w:szCs w:val="16"/>
    </w:rPr>
  </w:style>
  <w:style w:type="character" w:customStyle="1" w:styleId="BalloonTextChar">
    <w:name w:val="Balloon Text Char"/>
    <w:basedOn w:val="DefaultParagraphFont"/>
    <w:link w:val="BalloonText"/>
    <w:rsid w:val="002913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3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3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3A2"/>
    <w:rPr>
      <w:b/>
      <w:color w:val="660033"/>
      <w:spacing w:val="0"/>
    </w:rPr>
  </w:style>
  <w:style w:type="paragraph" w:customStyle="1" w:styleId="Nameditemlist">
    <w:name w:val="Named item list"/>
    <w:basedOn w:val="BodyText"/>
    <w:qFormat/>
    <w:rsid w:val="002913A2"/>
    <w:pPr>
      <w:tabs>
        <w:tab w:val="left" w:pos="2835"/>
      </w:tabs>
      <w:ind w:left="2835" w:hanging="2835"/>
    </w:pPr>
  </w:style>
  <w:style w:type="paragraph" w:customStyle="1" w:styleId="BodyTextnopadding">
    <w:name w:val="Body Text no padding"/>
    <w:basedOn w:val="BodyText"/>
    <w:qFormat/>
    <w:rsid w:val="002913A2"/>
    <w:pPr>
      <w:spacing w:before="0" w:after="0"/>
    </w:pPr>
  </w:style>
  <w:style w:type="paragraph" w:customStyle="1" w:styleId="BodyTextBold">
    <w:name w:val="Body Text Bold"/>
    <w:basedOn w:val="BodyText"/>
    <w:qFormat/>
    <w:rsid w:val="002913A2"/>
    <w:rPr>
      <w:b/>
    </w:rPr>
  </w:style>
  <w:style w:type="character" w:styleId="Hyperlink">
    <w:name w:val="Hyperlink"/>
    <w:basedOn w:val="DefaultParagraphFont"/>
    <w:uiPriority w:val="99"/>
    <w:unhideWhenUsed/>
    <w:rsid w:val="002924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2243</Words>
  <Characters>14920</Characters>
  <Application>Microsoft Office Word</Application>
  <DocSecurity>0</DocSecurity>
  <Lines>481</Lines>
  <Paragraphs>260</Paragraphs>
  <ScaleCrop>false</ScaleCrop>
  <Company>Author-it Software Corporation Ltd.</Company>
  <LinksUpToDate>false</LinksUpToDate>
  <CharactersWithSpaces>16903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MSMTMINS401 Inspect a range of weighing instruments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2025-03-01T08:35:00Z</dcterms:created>
  <dcterms:modified xsi:type="dcterms:W3CDTF">2025-03-01T08:35:00Z</dcterms:modified>
</cp:coreProperties>
</file>