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10F" w:rsidP="00F77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MSMTMINS301 Inspect a range of simple measures</w:t>
      </w:r>
      <w:r>
        <w:fldChar w:fldCharType="end"/>
      </w:r>
    </w:p>
    <w:p w:rsidR="00F7710F" w:rsidP="00F7710F">
      <w:pPr>
        <w:pStyle w:val="Version"/>
        <w:sectPr w:rsidSect="00880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04B6" w:rsidP="008804B6">
      <w:pPr>
        <w:pStyle w:val="SuperHeading"/>
      </w:pPr>
      <w:r w:rsidRPr="008804B6">
        <w:t>MSMTMINS301 Inspect a range of simple measures</w:t>
      </w:r>
    </w:p>
    <w:p w:rsidR="00000000" w:rsidRPr="008804B6" w:rsidP="008804B6">
      <w:pPr>
        <w:pStyle w:val="Heading1"/>
      </w:pPr>
      <w:bookmarkStart w:id="1" w:name="O_939444"/>
      <w:bookmarkEnd w:id="1"/>
      <w:r w:rsidRPr="008804B6">
        <w:t>Modification History</w:t>
      </w:r>
    </w:p>
    <w:p w:rsidR="00000000" w:rsidRPr="008804B6" w:rsidP="00F7710F">
      <w:pPr>
        <w:pStyle w:val="BodyText"/>
      </w:pPr>
      <w:r w:rsidRPr="008804B6">
        <w:t>Release 2. Adjustments to the Application, Performance Criteria and Range of Conditions. Adjustment to the Assessment Conditions. Equivalent.</w:t>
      </w:r>
    </w:p>
    <w:p w:rsidR="00000000" w:rsidRPr="008804B6" w:rsidP="00F7710F">
      <w:pPr>
        <w:pStyle w:val="BodyText"/>
      </w:pPr>
      <w:r w:rsidRPr="008804B6">
        <w:t>Release 1. Supersedes and is equivalent to MSATMINS301A Inspect a range of simple mea</w:t>
      </w:r>
      <w:r w:rsidRPr="008804B6">
        <w:t>sures</w:t>
      </w:r>
    </w:p>
    <w:p w:rsidR="00000000" w:rsidRPr="008804B6" w:rsidP="008804B6">
      <w:pPr>
        <w:pStyle w:val="Heading1"/>
      </w:pPr>
      <w:bookmarkStart w:id="2" w:name="O_939443"/>
      <w:bookmarkEnd w:id="2"/>
      <w:r w:rsidRPr="008804B6">
        <w:t>Application</w:t>
      </w:r>
    </w:p>
    <w:p w:rsidR="00000000" w:rsidRPr="008804B6" w:rsidP="00F7710F">
      <w:pPr>
        <w:pStyle w:val="BodyText"/>
      </w:pPr>
      <w:r w:rsidRPr="008804B6">
        <w:t>This unit of competency covers the ability to apply National Instrument Test Procedures to determine whether a range of simple measures are suitable for trade use. The unit also involves assessing the performance of verif</w:t>
      </w:r>
      <w:r w:rsidRPr="008804B6">
        <w:t>iers, by auditing recently verified simple measures, to ensure they meet the legislative requirements for trade use.</w:t>
      </w:r>
    </w:p>
    <w:p w:rsidR="00000000" w:rsidRPr="008804B6" w:rsidP="00F7710F">
      <w:pPr>
        <w:pStyle w:val="BodyText"/>
      </w:pPr>
      <w:r w:rsidRPr="008804B6">
        <w:t>This unit of competency is applicable to trade measurement inspectors appointed under national measurement legislation who may inspect a w</w:t>
      </w:r>
      <w:r w:rsidRPr="008804B6">
        <w:t>ide range of simple measures as part of their allocated duties. Simple measures such as trade masses, length measures and volume measures are used in a wide variety of commerce, including retail, hospitality, pharmaceuticals and laboratory services.</w:t>
      </w:r>
    </w:p>
    <w:p w:rsidR="00000000" w:rsidRPr="008804B6" w:rsidP="00F7710F">
      <w:pPr>
        <w:pStyle w:val="BodyText"/>
      </w:pPr>
      <w:r w:rsidRPr="008804B6">
        <w:t>While</w:t>
      </w:r>
      <w:r w:rsidRPr="008804B6">
        <w:t xml:space="preserve"> no specific licensing or certification requirements apply to this unit at the time of publication, all inspection activity is legislated under the </w:t>
      </w:r>
      <w:r w:rsidRPr="008804B6">
        <w:rPr>
          <w:rStyle w:val="Emphasis"/>
        </w:rPr>
        <w:t>National Measurement Act 1960.</w:t>
      </w:r>
    </w:p>
    <w:p w:rsidR="00000000" w:rsidRPr="008804B6" w:rsidP="008804B6">
      <w:pPr>
        <w:pStyle w:val="Heading1"/>
      </w:pPr>
      <w:bookmarkStart w:id="3" w:name="O_939442"/>
      <w:bookmarkEnd w:id="3"/>
      <w:r w:rsidRPr="008804B6">
        <w:t>Pre-requisite Unit</w:t>
      </w:r>
    </w:p>
    <w:p w:rsidR="00000000" w:rsidRPr="008804B6" w:rsidP="00F7710F">
      <w:pPr>
        <w:pStyle w:val="BodyText"/>
      </w:pPr>
      <w:r w:rsidRPr="008804B6">
        <w:t>Nil</w:t>
      </w:r>
    </w:p>
    <w:p w:rsidR="00000000" w:rsidRPr="008804B6" w:rsidP="008804B6">
      <w:pPr>
        <w:pStyle w:val="Heading1"/>
      </w:pPr>
      <w:bookmarkStart w:id="4" w:name="O_939441"/>
      <w:bookmarkEnd w:id="4"/>
      <w:r w:rsidRPr="008804B6">
        <w:t>Competency Field</w:t>
      </w:r>
    </w:p>
    <w:p w:rsidR="00000000" w:rsidRPr="008804B6" w:rsidP="00F7710F">
      <w:pPr>
        <w:pStyle w:val="BodyText"/>
      </w:pPr>
      <w:r w:rsidRPr="008804B6">
        <w:t>Tra</w:t>
      </w:r>
      <w:r w:rsidRPr="008804B6">
        <w:t>de measurement</w:t>
      </w:r>
    </w:p>
    <w:p w:rsidR="00000000" w:rsidRPr="008804B6" w:rsidP="008804B6">
      <w:pPr>
        <w:pStyle w:val="Heading1"/>
      </w:pPr>
      <w:bookmarkStart w:id="5" w:name="O_939440"/>
      <w:bookmarkEnd w:id="5"/>
      <w:r w:rsidRPr="008804B6">
        <w:t>Unit Sector</w:t>
      </w:r>
    </w:p>
    <w:p w:rsidR="00000000" w:rsidRPr="008804B6" w:rsidP="008804B6">
      <w:pPr>
        <w:pStyle w:val="Heading1"/>
      </w:pPr>
      <w:bookmarkStart w:id="6" w:name="O_939439"/>
      <w:bookmarkEnd w:id="6"/>
      <w:r w:rsidRPr="008804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Performance criteria describe the performance needed to demonstrate achievement of the element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Prepare for 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Identify and evaluate the type of measurement to be inspected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Access and review any history of previous inspections at trader</w:t>
            </w:r>
            <w:r>
              <w:t>’</w:t>
            </w:r>
            <w:r w:rsidRPr="008804B6">
              <w:t>s premises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Access and correctly interpret appropriate documentation required for the inspection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Identify and access test equipment, products and consumables required for the inspection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Ensure specified test equipment is fit for purpose in accordance wit</w:t>
            </w:r>
            <w:r w:rsidRPr="008804B6">
              <w:t>h applicable legislation and organisational procedures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Store and transport test equipment in accordance with organisational procedures and industry best practice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>Identify workplace health and safety issues relevant to the inspection</w:t>
            </w:r>
          </w:p>
        </w:tc>
      </w:tr>
    </w:tbl>
    <w:p w:rsidR="00000000" w:rsidRPr="008804B6" w:rsidP="008804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Initiate 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 xml:space="preserve">Identify the site controller, explain the purpose of the inspection and produce formal identification, if required 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Identify relevant site health and safety issues and implement appropriate control strategies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Conduct a preliminary evaluation of the site</w:t>
            </w:r>
            <w:r>
              <w:t>’</w:t>
            </w:r>
            <w:r w:rsidRPr="008804B6">
              <w:t>s trading practices and prioritise activities to maximise inspection outcomes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>Identify instruments used for trade and plan inspection to minimise disruption to the public and trader</w:t>
            </w:r>
          </w:p>
        </w:tc>
      </w:tr>
    </w:tbl>
    <w:p w:rsidR="00000000" w:rsidRPr="008804B6" w:rsidP="008804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Evaluate simple me</w:t>
            </w:r>
            <w:r w:rsidRPr="008804B6">
              <w:t>asure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Evaluate whether the operating environment will impact on simple measure performance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Modify the operating environment or implement alternative arrangements to ensure reliable test conditions, as necessary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Identify the maximum permissible errors for the simple measure from the legislative requirements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Use test equipment safely in accordance with applicable legislation and organisational procedures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Check instrument for compliance with the appropriate Certificates of Approval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 xml:space="preserve">Inspect the simple measure in accordance with relevant National Instrument Test Procedure and appropriate National Measurement Institute (NMI) policy 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>Evaluate resu</w:t>
            </w:r>
            <w:r w:rsidRPr="008804B6">
              <w:t>lts against prescribed performance criteria and determine if the simple measure is suitable for trade use in accordance with legislative requirements</w:t>
            </w:r>
          </w:p>
        </w:tc>
      </w:tr>
    </w:tbl>
    <w:p w:rsidR="00000000" w:rsidRPr="008804B6" w:rsidP="008804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Conduct a verifier instrument audit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 xml:space="preserve">Identify the scope of the verifier instrument audit 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Identify the expected outcomes of the verifier instrument audit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Assess the instrument’s performance against the expected outcome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Check that the verification mark complies with legislation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>Analyse any variances from the expected outcomes to identify isolated or systemic problems</w:t>
            </w:r>
          </w:p>
        </w:tc>
      </w:tr>
    </w:tbl>
    <w:p w:rsidR="00000000" w:rsidRPr="008804B6" w:rsidP="008804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Analyse and report inspection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Analyse inspection data for unacceptable performance trends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If required, display the inspection result on the si</w:t>
            </w:r>
            <w:r w:rsidRPr="008804B6">
              <w:t>mple measure in accordance with legislative requirements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Use test reports to present inspection results in the required format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Complete inspection documentation and records in accordance with legislative requirements and organisational procedures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Communicate inspection results within the specified time and in accordance with organisational guidelines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>Recommend follow</w:t>
            </w:r>
            <w:r w:rsidRPr="008804B6">
              <w:t>-up actions as appropriate</w:t>
            </w:r>
          </w:p>
        </w:tc>
      </w:tr>
    </w:tbl>
    <w:p w:rsidR="00000000" w:rsidRPr="008804B6" w:rsidP="008804B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Act on non-compliance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Select applicable enforcement action for the non-compliance in accordance with legislative requirements, organisational policy and procedures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Inform traders of non-compliances and consequences of failing to have them corrected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Implement enforcement action in accordance with legislative requirements, organisational policy and procedures</w:t>
            </w:r>
          </w:p>
        </w:tc>
      </w:tr>
      <w:tr w:rsidTr="00880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>Respect the rights of the trader at all times</w:t>
            </w:r>
          </w:p>
        </w:tc>
      </w:tr>
    </w:tbl>
    <w:p w:rsidR="00000000" w:rsidRPr="008804B6" w:rsidP="008804B6">
      <w:pPr>
        <w:pStyle w:val="BodyText"/>
      </w:pPr>
    </w:p>
    <w:p w:rsidR="00000000" w:rsidRPr="008804B6" w:rsidP="008804B6">
      <w:pPr>
        <w:pStyle w:val="AllowPageBreak"/>
      </w:pPr>
    </w:p>
    <w:p w:rsidR="00000000" w:rsidRPr="008804B6" w:rsidP="008804B6">
      <w:pPr>
        <w:pStyle w:val="Heading1"/>
      </w:pPr>
      <w:bookmarkStart w:id="7" w:name="O_939438"/>
      <w:bookmarkEnd w:id="7"/>
      <w:r w:rsidRPr="008804B6">
        <w:t>Foundation Skills</w:t>
      </w:r>
    </w:p>
    <w:p w:rsidR="00000000" w:rsidRPr="008804B6" w:rsidP="00F7710F">
      <w:pPr>
        <w:pStyle w:val="BodyText"/>
      </w:pPr>
      <w:r w:rsidRPr="008804B6">
        <w:t>This section describes those language, literacy, numeracy and employment skills that are essential to performance.</w:t>
      </w:r>
    </w:p>
    <w:p w:rsidR="00000000" w:rsidRPr="008804B6" w:rsidP="00F7710F">
      <w:pPr>
        <w:pStyle w:val="BodyText"/>
      </w:pPr>
      <w:r w:rsidRPr="008804B6">
        <w:t>Foundation skills essential to performance are explicit in the performance criteria of this unit of com</w:t>
      </w:r>
      <w:r w:rsidRPr="008804B6">
        <w:t>petency.</w:t>
      </w:r>
    </w:p>
    <w:p w:rsidR="00000000" w:rsidRPr="008804B6" w:rsidP="008804B6">
      <w:pPr>
        <w:pStyle w:val="Heading1"/>
      </w:pPr>
      <w:bookmarkStart w:id="8" w:name="O_939437"/>
      <w:bookmarkEnd w:id="8"/>
      <w:r w:rsidRPr="008804B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t>This field allows for different work environments and conditions that may affect performance. Essential operating conditions that may be present (depending on the work situation, needs of the candidate, accessi</w:t>
            </w:r>
            <w:r w:rsidRPr="008804B6">
              <w:t>bility of the item, and local industry and regional contexts) are included.</w:t>
            </w: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National Instrument Test Procedures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 xml:space="preserve">measuring instrument test procedures </w:t>
            </w:r>
          </w:p>
          <w:p w:rsidR="00000000" w:rsidRPr="008804B6" w:rsidP="008804B6">
            <w:pPr>
              <w:pStyle w:val="ListBullet"/>
            </w:pPr>
            <w:r w:rsidRPr="008804B6">
              <w:t>any other test procedure prescribed by the NMI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Classes of simple measures include one or more of:</w:t>
            </w:r>
            <w:r w:rsidRPr="008804B6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>length measures</w:t>
            </w:r>
          </w:p>
          <w:p w:rsidR="00000000" w:rsidRPr="008804B6" w:rsidP="008804B6">
            <w:pPr>
              <w:pStyle w:val="ListBullet"/>
            </w:pPr>
            <w:r w:rsidRPr="008804B6">
              <w:t>alcoholic beverage measures</w:t>
            </w:r>
          </w:p>
          <w:p w:rsidR="00000000" w:rsidRPr="008804B6" w:rsidP="008804B6">
            <w:pPr>
              <w:pStyle w:val="ListBullet"/>
            </w:pPr>
            <w:r w:rsidRPr="008804B6">
              <w:t>lubricating oil measures</w:t>
            </w:r>
          </w:p>
          <w:p w:rsidR="00000000" w:rsidRPr="008804B6" w:rsidP="008804B6">
            <w:pPr>
              <w:pStyle w:val="ListBullet"/>
            </w:pPr>
            <w:r w:rsidRPr="008804B6">
              <w:t>graduated measures</w:t>
            </w:r>
          </w:p>
          <w:p w:rsidR="00000000" w:rsidRPr="008804B6" w:rsidP="008804B6">
            <w:pPr>
              <w:pStyle w:val="ListBullet"/>
            </w:pPr>
            <w:r w:rsidRPr="008804B6">
              <w:t>pharmaceutical measures</w:t>
            </w:r>
          </w:p>
          <w:p w:rsidR="00000000" w:rsidRPr="008804B6" w:rsidP="008804B6">
            <w:pPr>
              <w:pStyle w:val="ListBullet"/>
            </w:pPr>
            <w:r w:rsidRPr="008804B6">
              <w:t>trade masses</w:t>
            </w:r>
          </w:p>
          <w:p w:rsidR="00000000" w:rsidRPr="008804B6" w:rsidP="008804B6">
            <w:pPr>
              <w:pStyle w:val="ListBullet"/>
            </w:pPr>
            <w:r w:rsidRPr="008804B6">
              <w:t xml:space="preserve">any other simple measure prescribed by the NMI 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Test equipment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>re</w:t>
            </w:r>
            <w:r w:rsidRPr="008804B6">
              <w:t>ference standards of measurement</w:t>
            </w:r>
          </w:p>
          <w:p w:rsidR="00000000" w:rsidRPr="008804B6" w:rsidP="008804B6">
            <w:pPr>
              <w:pStyle w:val="ListBullet"/>
            </w:pPr>
            <w:r w:rsidRPr="008804B6">
              <w:t>equipment, such as weighing instruments, strikes and funnels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Certificates of Approval</w:t>
            </w:r>
            <w:r w:rsidRPr="008804B6">
              <w:t xml:space="preserve"> </w:t>
            </w:r>
            <w:r w:rsidRPr="008804B6">
              <w:rPr>
                <w:rStyle w:val="SpecialBold"/>
              </w:rPr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 xml:space="preserve">any Certificate issued by the Chief Metrologist under Regulation 60 of the </w:t>
            </w:r>
            <w:r w:rsidRPr="008804B6">
              <w:rPr>
                <w:rStyle w:val="Emphasis"/>
              </w:rPr>
              <w:t>National Measurement Regulations 1999</w:t>
            </w:r>
            <w:r w:rsidRPr="008804B6">
              <w:t xml:space="preserve"> approving the pattern of a simple measure as being suitable for trade use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Prescribed performance criteria for simple measures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 xml:space="preserve">that the instrument is of an approved pattern </w:t>
            </w:r>
          </w:p>
          <w:p w:rsidR="00000000" w:rsidRPr="008804B6" w:rsidP="008804B6">
            <w:pPr>
              <w:pStyle w:val="ListBullet"/>
            </w:pPr>
            <w:r w:rsidRPr="008804B6">
              <w:t>that the instrument operates within the appropriate limits of error pe</w:t>
            </w:r>
            <w:r w:rsidRPr="008804B6">
              <w:t>rmitted by legislation</w:t>
            </w:r>
          </w:p>
          <w:p w:rsidR="00000000" w:rsidRPr="008804B6" w:rsidP="008804B6">
            <w:pPr>
              <w:pStyle w:val="ListBullet"/>
            </w:pPr>
            <w:r w:rsidRPr="008804B6">
              <w:t>that the instrument is used in accordance with any legislative requirements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Verification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 xml:space="preserve">Has the same meaning as Section 18GG of the </w:t>
            </w:r>
            <w:r w:rsidRPr="008804B6">
              <w:rPr>
                <w:rStyle w:val="Emphasis"/>
              </w:rPr>
              <w:t>National Measurement Act 1960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Verification marks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BodyText"/>
            </w:pPr>
            <w:r w:rsidRPr="008804B6">
              <w:t xml:space="preserve">Verification marks for different measures are defined in Regulations 2.28 and 2.29 of the </w:t>
            </w:r>
            <w:r w:rsidRPr="008804B6">
              <w:rPr>
                <w:rStyle w:val="Emphasis"/>
              </w:rPr>
              <w:t>National Trade Measurement Regulations 2009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Trading practices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>methods used for the sale of goods</w:t>
            </w:r>
          </w:p>
          <w:p w:rsidR="00000000" w:rsidRPr="008804B6" w:rsidP="008804B6">
            <w:pPr>
              <w:pStyle w:val="ListBullet"/>
            </w:pPr>
            <w:r w:rsidRPr="008804B6">
              <w:t>using measuring instruments</w:t>
            </w:r>
          </w:p>
          <w:p w:rsidR="00000000" w:rsidRPr="008804B6" w:rsidP="008804B6">
            <w:pPr>
              <w:pStyle w:val="ListBullet"/>
            </w:pPr>
            <w:r w:rsidRPr="008804B6">
              <w:t>position of me</w:t>
            </w:r>
            <w:r w:rsidRPr="008804B6">
              <w:t>asuring instruments</w:t>
            </w:r>
          </w:p>
          <w:p w:rsidR="00000000" w:rsidRPr="008804B6" w:rsidP="008804B6">
            <w:pPr>
              <w:pStyle w:val="ListBullet"/>
            </w:pPr>
            <w:r w:rsidRPr="008804B6">
              <w:t>environmental factors</w:t>
            </w:r>
          </w:p>
          <w:p w:rsidR="00000000" w:rsidRPr="008804B6" w:rsidP="008804B6">
            <w:pPr>
              <w:pStyle w:val="ListBullet"/>
            </w:pPr>
            <w:r w:rsidRPr="008804B6">
              <w:t>suitability of instrument</w:t>
            </w:r>
          </w:p>
          <w:p w:rsidR="00000000" w:rsidRPr="008804B6" w:rsidP="008804B6">
            <w:pPr>
              <w:pStyle w:val="ListBullet"/>
            </w:pPr>
            <w:r w:rsidRPr="008804B6">
              <w:t>incorrect measurement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Legislation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>national measurement legislation</w:t>
            </w:r>
          </w:p>
          <w:p w:rsidR="00000000" w:rsidRPr="008804B6" w:rsidP="008804B6">
            <w:pPr>
              <w:pStyle w:val="ListBullet"/>
            </w:pPr>
            <w:r w:rsidRPr="008804B6">
              <w:t>applicable Commonwealth, state and territory work/occupational health and safety (WHS/OHS) legislation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NMI policy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>test procedure variations between a verification, in-service or audit inspection</w:t>
            </w:r>
          </w:p>
          <w:p w:rsidR="00000000" w:rsidRPr="008804B6" w:rsidP="008804B6">
            <w:pPr>
              <w:pStyle w:val="ListBullet"/>
            </w:pPr>
            <w:r w:rsidRPr="008804B6">
              <w:t>bulletins</w:t>
            </w:r>
          </w:p>
          <w:p w:rsidR="00000000" w:rsidRPr="008804B6" w:rsidP="008804B6">
            <w:pPr>
              <w:pStyle w:val="ListBullet"/>
            </w:pPr>
            <w:r w:rsidRPr="008804B6">
              <w:t>instructions</w:t>
            </w:r>
          </w:p>
          <w:p w:rsidR="00000000" w:rsidRPr="008804B6" w:rsidP="008804B6">
            <w:pPr>
              <w:pStyle w:val="ListBullet"/>
            </w:pPr>
            <w:r w:rsidRPr="008804B6">
              <w:t>determinations</w:t>
            </w:r>
          </w:p>
          <w:p w:rsidR="00000000" w:rsidP="008804B6">
            <w:pPr>
              <w:pStyle w:val="BodyText"/>
              <w:rPr>
                <w:lang w:val="en-NZ"/>
              </w:rPr>
            </w:pPr>
          </w:p>
        </w:tc>
      </w:tr>
      <w:tr w:rsidTr="00F771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B6">
            <w:pPr>
              <w:pStyle w:val="BodyText"/>
              <w:rPr>
                <w:lang w:val="en-NZ"/>
              </w:rPr>
            </w:pPr>
            <w:r w:rsidRPr="008804B6">
              <w:rPr>
                <w:rStyle w:val="SpecialBold"/>
              </w:rPr>
              <w:t>WHS/OHS and environmental management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B6" w:rsidP="008804B6">
            <w:pPr>
              <w:pStyle w:val="ListBullet"/>
            </w:pPr>
            <w:r w:rsidRPr="008804B6">
              <w:t>complying with WHS/OHS and environmental management r</w:t>
            </w:r>
            <w:r w:rsidRPr="008804B6">
              <w:t>equirements at all times, which may be imposed through state/territory or federal legislation. These requirements must not be compromised at any time</w:t>
            </w:r>
          </w:p>
          <w:p w:rsidR="00000000" w:rsidRPr="008804B6" w:rsidP="008804B6">
            <w:pPr>
              <w:pStyle w:val="ListBullet"/>
            </w:pPr>
            <w:r w:rsidRPr="008804B6">
              <w:t>applying standard precautions relating to the potentially hazardous nature of material/product measured</w:t>
            </w:r>
          </w:p>
          <w:p w:rsidR="00000000" w:rsidRPr="008804B6" w:rsidP="008804B6">
            <w:pPr>
              <w:pStyle w:val="ListBullet"/>
            </w:pPr>
            <w:r w:rsidRPr="008804B6">
              <w:t>ap</w:t>
            </w:r>
            <w:r w:rsidRPr="008804B6">
              <w:t>plying any necessary hygiene controls</w:t>
            </w:r>
          </w:p>
          <w:p w:rsidR="00000000" w:rsidRPr="008804B6" w:rsidP="008804B6">
            <w:pPr>
              <w:pStyle w:val="BodyText"/>
            </w:pPr>
          </w:p>
        </w:tc>
      </w:tr>
    </w:tbl>
    <w:p w:rsidR="00000000" w:rsidRPr="008804B6" w:rsidP="008804B6">
      <w:pPr>
        <w:pStyle w:val="BodyText"/>
      </w:pPr>
    </w:p>
    <w:p w:rsidR="00000000" w:rsidRPr="008804B6" w:rsidP="008804B6">
      <w:pPr>
        <w:pStyle w:val="AllowPageBreak"/>
      </w:pPr>
    </w:p>
    <w:p w:rsidR="00000000" w:rsidRPr="008804B6" w:rsidP="008804B6">
      <w:pPr>
        <w:pStyle w:val="Heading1"/>
      </w:pPr>
      <w:bookmarkStart w:id="9" w:name="O_939436"/>
      <w:bookmarkEnd w:id="9"/>
      <w:r w:rsidRPr="008804B6">
        <w:t>Unit Mapping Information</w:t>
      </w:r>
    </w:p>
    <w:p w:rsidR="00000000" w:rsidRPr="008804B6" w:rsidP="00F7710F">
      <w:pPr>
        <w:pStyle w:val="BodyText"/>
      </w:pPr>
      <w:r w:rsidRPr="008804B6">
        <w:t>Release 2. Adjustments to the Application, Performance Criteria and Range of Conditions. Adjustment to the Assessment Conditions. Equivalent.</w:t>
      </w:r>
    </w:p>
    <w:p w:rsidR="00000000" w:rsidRPr="008804B6" w:rsidP="00F7710F">
      <w:pPr>
        <w:pStyle w:val="BodyText"/>
      </w:pPr>
      <w:r w:rsidRPr="008804B6">
        <w:t>Release 1. Supersedes and is equivalent to MSATMINS301A Inspect a range of simple measures</w:t>
      </w:r>
    </w:p>
    <w:p w:rsidR="00000000" w:rsidRPr="008804B6" w:rsidP="008804B6">
      <w:pPr>
        <w:pStyle w:val="Heading1"/>
      </w:pPr>
      <w:bookmarkStart w:id="10" w:name="O_939445"/>
      <w:bookmarkEnd w:id="10"/>
      <w:r w:rsidRPr="008804B6">
        <w:t>Links</w:t>
      </w:r>
    </w:p>
    <w:p w:rsidR="00000000" w:rsidRPr="008804B6" w:rsidP="00F7710F">
      <w:pPr>
        <w:pStyle w:val="BodyText"/>
      </w:pPr>
      <w:r w:rsidRPr="008804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705C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804B6" w:rsidP="008804B6"/>
    <w:sectPr w:rsidSect="008804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B6" w:rsidRPr="00F7710F" w:rsidP="00F77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0F" w:rsidP="00880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710F" w:rsidP="00880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710F" w:rsidP="00880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4B6" w:rsidRPr="00F7710F" w:rsidP="00F77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0F" w:rsidRPr="002D2AF8" w:rsidP="00880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MSMTMINS301 Inspect a range of simple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7710F" w:rsidP="00880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F2B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F6B8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4B6"/>
  </w:style>
  <w:style w:type="character" w:customStyle="1" w:styleId="Heading1Char">
    <w:name w:val="Heading 1 Char"/>
    <w:basedOn w:val="DefaultParagraphFont"/>
    <w:link w:val="Heading1"/>
    <w:rsid w:val="00880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4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4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4B6"/>
    <w:rPr>
      <w:b/>
      <w:spacing w:val="0"/>
    </w:rPr>
  </w:style>
  <w:style w:type="character" w:styleId="Emphasis">
    <w:name w:val="Emphasis"/>
    <w:basedOn w:val="DefaultParagraphFont"/>
    <w:qFormat/>
    <w:rsid w:val="008804B6"/>
    <w:rPr>
      <w:i/>
    </w:rPr>
  </w:style>
  <w:style w:type="paragraph" w:customStyle="1" w:styleId="SuperHeading">
    <w:name w:val="SuperHeading"/>
    <w:basedOn w:val="Normal"/>
    <w:rsid w:val="00880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4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4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4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4B6"/>
  </w:style>
  <w:style w:type="paragraph" w:styleId="TableofFigures">
    <w:name w:val="table of figures"/>
    <w:basedOn w:val="Normal"/>
    <w:next w:val="Normal"/>
    <w:semiHidden/>
    <w:rsid w:val="00880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4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4B6"/>
    <w:rPr>
      <w:rFonts w:ascii="Wingdings" w:hAnsi="Wingdings"/>
    </w:rPr>
  </w:style>
  <w:style w:type="paragraph" w:customStyle="1" w:styleId="TableHeading">
    <w:name w:val="Table Heading"/>
    <w:basedOn w:val="HeadingBase"/>
    <w:rsid w:val="00880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4B6"/>
    <w:rPr>
      <w:color w:val="0033CC"/>
      <w:u w:val="none"/>
    </w:rPr>
  </w:style>
  <w:style w:type="paragraph" w:customStyle="1" w:styleId="BodyTextRight">
    <w:name w:val="Body Text Right"/>
    <w:basedOn w:val="BodyText"/>
    <w:rsid w:val="00880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4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4B6"/>
    <w:rPr>
      <w:sz w:val="32"/>
    </w:rPr>
  </w:style>
  <w:style w:type="paragraph" w:customStyle="1" w:styleId="HeadingProcedure">
    <w:name w:val="Heading Procedure"/>
    <w:basedOn w:val="HeadingBase"/>
    <w:next w:val="Normal"/>
    <w:rsid w:val="00880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4B6"/>
    <w:pPr>
      <w:spacing w:before="60" w:after="60"/>
    </w:pPr>
  </w:style>
  <w:style w:type="paragraph" w:styleId="ListContinue">
    <w:name w:val="List Continue"/>
    <w:basedOn w:val="List"/>
    <w:rsid w:val="008804B6"/>
    <w:pPr>
      <w:ind w:firstLine="0"/>
    </w:pPr>
  </w:style>
  <w:style w:type="paragraph" w:customStyle="1" w:styleId="ListNote">
    <w:name w:val="List Note"/>
    <w:basedOn w:val="List"/>
    <w:rsid w:val="00880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4B6"/>
    <w:rPr>
      <w:rFonts w:ascii="Courier New" w:hAnsi="Courier New"/>
    </w:rPr>
  </w:style>
  <w:style w:type="paragraph" w:customStyle="1" w:styleId="NoteBullet">
    <w:name w:val="Note Bullet"/>
    <w:basedOn w:val="Note"/>
    <w:rsid w:val="00880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4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4B6"/>
    <w:rPr>
      <w:b/>
      <w:smallCaps/>
    </w:rPr>
  </w:style>
  <w:style w:type="paragraph" w:customStyle="1" w:styleId="TableListNumber">
    <w:name w:val="Table List Number"/>
    <w:basedOn w:val="ListNumber"/>
    <w:rsid w:val="00880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4B6"/>
    <w:pPr>
      <w:numPr>
        <w:numId w:val="8"/>
      </w:numPr>
    </w:pPr>
  </w:style>
  <w:style w:type="paragraph" w:customStyle="1" w:styleId="ListAlpha2">
    <w:name w:val="List Alpha 2"/>
    <w:basedOn w:val="List2"/>
    <w:rsid w:val="008804B6"/>
    <w:pPr>
      <w:numPr>
        <w:numId w:val="7"/>
      </w:numPr>
    </w:pPr>
  </w:style>
  <w:style w:type="paragraph" w:styleId="List2">
    <w:name w:val="List 2"/>
    <w:basedOn w:val="BodyText"/>
    <w:rsid w:val="00880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4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4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4B6"/>
    <w:pPr>
      <w:numPr>
        <w:numId w:val="3"/>
      </w:numPr>
    </w:pPr>
  </w:style>
  <w:style w:type="paragraph" w:styleId="ListContinue2">
    <w:name w:val="List Continue 2"/>
    <w:basedOn w:val="List2"/>
    <w:rsid w:val="008804B6"/>
    <w:pPr>
      <w:ind w:firstLine="0"/>
    </w:pPr>
  </w:style>
  <w:style w:type="paragraph" w:styleId="ListContinue3">
    <w:name w:val="List Continue 3"/>
    <w:basedOn w:val="List3"/>
    <w:rsid w:val="008804B6"/>
    <w:pPr>
      <w:ind w:left="1021" w:firstLine="0"/>
    </w:pPr>
  </w:style>
  <w:style w:type="paragraph" w:styleId="ListContinue4">
    <w:name w:val="List Continue 4"/>
    <w:basedOn w:val="List4"/>
    <w:rsid w:val="008804B6"/>
    <w:pPr>
      <w:ind w:firstLine="0"/>
    </w:pPr>
  </w:style>
  <w:style w:type="paragraph" w:styleId="ListContinue5">
    <w:name w:val="List Continue 5"/>
    <w:basedOn w:val="List5"/>
    <w:rsid w:val="008804B6"/>
    <w:pPr>
      <w:ind w:firstLine="0"/>
    </w:pPr>
  </w:style>
  <w:style w:type="paragraph" w:styleId="ListNumber3">
    <w:name w:val="List Number 3"/>
    <w:basedOn w:val="List3"/>
    <w:rsid w:val="008804B6"/>
    <w:pPr>
      <w:numPr>
        <w:numId w:val="4"/>
      </w:numPr>
    </w:pPr>
  </w:style>
  <w:style w:type="paragraph" w:styleId="ListNumber4">
    <w:name w:val="List Number 4"/>
    <w:basedOn w:val="List4"/>
    <w:rsid w:val="008804B6"/>
    <w:pPr>
      <w:numPr>
        <w:numId w:val="5"/>
      </w:numPr>
    </w:pPr>
  </w:style>
  <w:style w:type="paragraph" w:styleId="ListNumber5">
    <w:name w:val="List Number 5"/>
    <w:basedOn w:val="List5"/>
    <w:rsid w:val="008804B6"/>
    <w:pPr>
      <w:numPr>
        <w:numId w:val="6"/>
      </w:numPr>
    </w:pPr>
  </w:style>
  <w:style w:type="paragraph" w:styleId="BlockText">
    <w:name w:val="Block Text"/>
    <w:basedOn w:val="Normal"/>
    <w:rsid w:val="00880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4B6"/>
    <w:rPr>
      <w:sz w:val="16"/>
      <w:vertAlign w:val="superscript"/>
    </w:rPr>
  </w:style>
  <w:style w:type="character" w:customStyle="1" w:styleId="Symbols">
    <w:name w:val="Symbols"/>
    <w:basedOn w:val="DefaultParagraphFont"/>
    <w:rsid w:val="008804B6"/>
    <w:rPr>
      <w:rFonts w:ascii="Symbol" w:hAnsi="Symbol"/>
    </w:rPr>
  </w:style>
  <w:style w:type="character" w:customStyle="1" w:styleId="MenuOptions">
    <w:name w:val="Menu Options"/>
    <w:basedOn w:val="DefaultParagraphFont"/>
    <w:rsid w:val="00880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4B6"/>
    <w:rPr>
      <w:b/>
    </w:rPr>
  </w:style>
  <w:style w:type="character" w:customStyle="1" w:styleId="Underlined">
    <w:name w:val="Underlined"/>
    <w:basedOn w:val="DefaultParagraphFont"/>
    <w:rsid w:val="008804B6"/>
    <w:rPr>
      <w:u w:val="single"/>
    </w:rPr>
  </w:style>
  <w:style w:type="paragraph" w:customStyle="1" w:styleId="TableBodyTextRight">
    <w:name w:val="Table Body Text Right"/>
    <w:basedOn w:val="TableBodyText"/>
    <w:rsid w:val="00880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4B6"/>
    <w:rPr>
      <w:sz w:val="18"/>
    </w:rPr>
  </w:style>
  <w:style w:type="paragraph" w:customStyle="1" w:styleId="BodySmallRight">
    <w:name w:val="Body Small Right"/>
    <w:basedOn w:val="BodyTextRight"/>
    <w:rsid w:val="008804B6"/>
    <w:rPr>
      <w:sz w:val="18"/>
      <w:szCs w:val="18"/>
    </w:rPr>
  </w:style>
  <w:style w:type="paragraph" w:customStyle="1" w:styleId="MarginEdition">
    <w:name w:val="Margin Edition"/>
    <w:basedOn w:val="MarginNote"/>
    <w:rsid w:val="00880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4B6"/>
    <w:rPr>
      <w:sz w:val="2"/>
      <w:szCs w:val="2"/>
    </w:rPr>
  </w:style>
  <w:style w:type="character" w:customStyle="1" w:styleId="Small">
    <w:name w:val="Small"/>
    <w:basedOn w:val="DefaultParagraphFont"/>
    <w:rsid w:val="008804B6"/>
    <w:rPr>
      <w:sz w:val="16"/>
    </w:rPr>
  </w:style>
  <w:style w:type="paragraph" w:customStyle="1" w:styleId="WideTable">
    <w:name w:val="Wide Table"/>
    <w:basedOn w:val="Normal"/>
    <w:rsid w:val="00880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4B6"/>
  </w:style>
  <w:style w:type="paragraph" w:styleId="Quote">
    <w:name w:val="Quote"/>
    <w:basedOn w:val="Heading1"/>
    <w:link w:val="QuoteChar"/>
    <w:qFormat/>
    <w:rsid w:val="00880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4B6"/>
    <w:pPr>
      <w:pageBreakBefore/>
    </w:pPr>
  </w:style>
  <w:style w:type="paragraph" w:customStyle="1" w:styleId="Border">
    <w:name w:val="Border"/>
    <w:basedOn w:val="Normal"/>
    <w:qFormat/>
    <w:rsid w:val="00880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4B6"/>
    <w:rPr>
      <w:u w:val="single"/>
    </w:rPr>
  </w:style>
  <w:style w:type="character" w:customStyle="1" w:styleId="BoldandItalics">
    <w:name w:val="Bold and Italics"/>
    <w:qFormat/>
    <w:rsid w:val="008804B6"/>
    <w:rPr>
      <w:b/>
      <w:i/>
      <w:u w:val="none"/>
    </w:rPr>
  </w:style>
  <w:style w:type="paragraph" w:styleId="BalloonText">
    <w:name w:val="Balloon Text"/>
    <w:basedOn w:val="Normal"/>
    <w:link w:val="BalloonTextChar"/>
    <w:rsid w:val="00880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4B6"/>
    <w:pPr>
      <w:spacing w:before="0" w:after="0"/>
    </w:pPr>
  </w:style>
  <w:style w:type="paragraph" w:customStyle="1" w:styleId="BodyTextBold">
    <w:name w:val="Body Text Bold"/>
    <w:basedOn w:val="BodyText"/>
    <w:qFormat/>
    <w:rsid w:val="008804B6"/>
    <w:rPr>
      <w:b/>
    </w:rPr>
  </w:style>
  <w:style w:type="character" w:styleId="Hyperlink">
    <w:name w:val="Hyperlink"/>
    <w:basedOn w:val="DefaultParagraphFont"/>
    <w:uiPriority w:val="99"/>
    <w:unhideWhenUsed/>
    <w:rsid w:val="00F77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1124</Words>
  <Characters>7177</Characters>
  <Application>Microsoft Office Word</Application>
  <DocSecurity>0</DocSecurity>
  <Lines>341</Lines>
  <Paragraphs>176</Paragraphs>
  <ScaleCrop>false</ScaleCrop>
  <Company>Author-it Software Corporation Ltd.</Company>
  <LinksUpToDate>false</LinksUpToDate>
  <CharactersWithSpaces>8125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MSMTMINS301 Inspect a range of simple measures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