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2CBA" w:rsidP="006E2C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MSMSUP292 Sample and test materials and product</w:t>
      </w:r>
      <w:r>
        <w:fldChar w:fldCharType="end"/>
      </w:r>
    </w:p>
    <w:p w:rsidR="006E2CBA" w:rsidP="006E2CBA">
      <w:pPr>
        <w:pStyle w:val="Version"/>
        <w:sectPr w:rsidSect="009664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6405" w:rsidP="00966405">
      <w:pPr>
        <w:pStyle w:val="SuperHeading"/>
      </w:pPr>
      <w:r w:rsidRPr="00966405">
        <w:t>MSMSUP292 Sample and test materials and product</w:t>
      </w:r>
    </w:p>
    <w:p w:rsidR="00000000" w:rsidRPr="00966405" w:rsidP="00966405">
      <w:pPr>
        <w:pStyle w:val="Heading1"/>
      </w:pPr>
      <w:bookmarkStart w:id="1" w:name="O_871883"/>
      <w:bookmarkEnd w:id="1"/>
      <w:r w:rsidRPr="00966405">
        <w:t>Modification History</w:t>
      </w:r>
    </w:p>
    <w:p w:rsidR="00000000" w:rsidRPr="00966405" w:rsidP="006E2CBA">
      <w:pPr>
        <w:pStyle w:val="BodyText"/>
      </w:pPr>
      <w:r w:rsidRPr="00966405">
        <w:t>Release 1. Supersedes and is equivalent to MSAPMSUP292A Sample and test materials and product</w:t>
      </w:r>
    </w:p>
    <w:p w:rsidR="00000000" w:rsidRPr="00966405" w:rsidP="00966405">
      <w:pPr>
        <w:pStyle w:val="Heading1"/>
      </w:pPr>
      <w:bookmarkStart w:id="2" w:name="O_871891"/>
      <w:bookmarkEnd w:id="2"/>
      <w:r w:rsidRPr="00966405">
        <w:t>Application</w:t>
      </w:r>
    </w:p>
    <w:p w:rsidR="00000000" w:rsidRPr="00966405" w:rsidP="006E2CBA">
      <w:pPr>
        <w:pStyle w:val="BodyText"/>
      </w:pPr>
      <w:r w:rsidRPr="00966405">
        <w:t>This unit of competency covers the skills and knowledge required to take routine samples and conduct sim</w:t>
      </w:r>
      <w:r w:rsidRPr="00966405">
        <w:t>ple tests.</w:t>
      </w:r>
    </w:p>
    <w:p w:rsidR="00000000" w:rsidRPr="00966405" w:rsidP="006E2CBA">
      <w:pPr>
        <w:pStyle w:val="BodyText"/>
      </w:pPr>
      <w:r w:rsidRPr="00966405">
        <w:t xml:space="preserve">This unit of competency applies to operators who are required to take samples in the workplace, perform a narrow range of simple tests and interpret the results and take specified action based on those results.  </w:t>
      </w:r>
    </w:p>
    <w:p w:rsidR="00000000" w:rsidRPr="00966405" w:rsidP="006E2CBA">
      <w:pPr>
        <w:pStyle w:val="BodyText"/>
      </w:pPr>
      <w:r w:rsidRPr="00966405">
        <w:t xml:space="preserve">It applies to simple, routine </w:t>
      </w:r>
      <w:r w:rsidRPr="00966405">
        <w:t xml:space="preserve">tests to procedure which will typically be done in the workplace or in a ‘factory laboratory’ (or bench) adjacent to or within the factory. </w:t>
      </w:r>
    </w:p>
    <w:p w:rsidR="00000000" w:rsidRPr="00966405" w:rsidP="006E2CBA">
      <w:pPr>
        <w:pStyle w:val="BodyText"/>
      </w:pPr>
      <w:r w:rsidRPr="00966405">
        <w:t>This unit of competency is typically performed by operators working either independently or as part of a work team</w:t>
      </w:r>
      <w:r w:rsidRPr="00966405">
        <w:t>.</w:t>
      </w:r>
    </w:p>
    <w:p w:rsidR="00000000" w:rsidRPr="00966405" w:rsidP="006E2CBA">
      <w:pPr>
        <w:pStyle w:val="BodyText"/>
      </w:pPr>
      <w:r w:rsidRPr="00966405">
        <w:t>No licensing, legislative or certification requirements apply to this unit at the time of publication.</w:t>
      </w:r>
    </w:p>
    <w:p w:rsidR="00000000" w:rsidRPr="00966405" w:rsidP="00966405">
      <w:pPr>
        <w:pStyle w:val="Heading1"/>
      </w:pPr>
      <w:bookmarkStart w:id="3" w:name="O_871890"/>
      <w:bookmarkEnd w:id="3"/>
      <w:r w:rsidRPr="00966405">
        <w:t>Pre-requisite Unit</w:t>
      </w:r>
    </w:p>
    <w:p w:rsidR="00000000" w:rsidRPr="00966405" w:rsidP="006E2CBA">
      <w:pPr>
        <w:pStyle w:val="BodyText"/>
      </w:pPr>
      <w:r w:rsidRPr="00966405">
        <w:t>Nil</w:t>
      </w:r>
    </w:p>
    <w:p w:rsidR="00000000" w:rsidRPr="00966405" w:rsidP="00966405">
      <w:pPr>
        <w:pStyle w:val="Heading1"/>
      </w:pPr>
      <w:bookmarkStart w:id="4" w:name="O_871889"/>
      <w:bookmarkEnd w:id="4"/>
      <w:r w:rsidRPr="00966405">
        <w:t>Competency Field</w:t>
      </w:r>
    </w:p>
    <w:p w:rsidR="00000000" w:rsidRPr="00966405" w:rsidP="006E2CBA">
      <w:pPr>
        <w:pStyle w:val="BodyText"/>
      </w:pPr>
      <w:r w:rsidRPr="00966405">
        <w:t>Support</w:t>
      </w:r>
    </w:p>
    <w:p w:rsidR="00000000" w:rsidRPr="00966405" w:rsidP="00966405">
      <w:pPr>
        <w:pStyle w:val="Heading1"/>
      </w:pPr>
      <w:bookmarkStart w:id="5" w:name="O_871888"/>
      <w:bookmarkEnd w:id="5"/>
      <w:r w:rsidRPr="00966405">
        <w:t>Unit Sector</w:t>
      </w:r>
    </w:p>
    <w:p w:rsidR="00000000" w:rsidRPr="00966405" w:rsidP="00966405">
      <w:pPr>
        <w:pStyle w:val="Heading1"/>
      </w:pPr>
      <w:bookmarkStart w:id="6" w:name="O_871887"/>
      <w:bookmarkEnd w:id="6"/>
      <w:r w:rsidRPr="00966405">
        <w:t>Elements and Performanc</w:t>
      </w:r>
      <w:r w:rsidRPr="00966405">
        <w:t>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66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Performance criteria describe the performance needed to demonstrate achievement of the element</w:t>
            </w:r>
          </w:p>
        </w:tc>
      </w:tr>
      <w:tr w:rsidTr="00966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</w:p>
        </w:tc>
      </w:tr>
      <w:tr w:rsidTr="00966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Take sample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Determine type of sample and sampling equipment required</w:t>
            </w:r>
          </w:p>
        </w:tc>
      </w:tr>
      <w:tr w:rsidTr="00966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Check sampling equipment is clean and in good order</w:t>
            </w:r>
          </w:p>
        </w:tc>
      </w:tr>
      <w:tr w:rsidTr="00966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Take sample of required type, from the required place and at the required time and place in required container</w:t>
            </w:r>
          </w:p>
        </w:tc>
      </w:tr>
      <w:tr w:rsidTr="00966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Label sample to procedure</w:t>
            </w:r>
          </w:p>
        </w:tc>
      </w:tr>
      <w:tr w:rsidTr="00966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405" w:rsidP="00966405">
            <w:pPr>
              <w:pStyle w:val="BodyText"/>
            </w:pPr>
            <w:r w:rsidRPr="00966405">
              <w:t>Carry sample to required place</w:t>
            </w:r>
          </w:p>
        </w:tc>
      </w:tr>
    </w:tbl>
    <w:p w:rsidR="00000000" w:rsidRPr="00966405" w:rsidP="0096640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66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Complete test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Check test required from procedures</w:t>
            </w:r>
          </w:p>
        </w:tc>
      </w:tr>
      <w:tr w:rsidTr="00966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Check sample identification and integrity</w:t>
            </w:r>
          </w:p>
        </w:tc>
      </w:tr>
      <w:tr w:rsidTr="00966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Check test equipment is clean, in good order and within calibration</w:t>
            </w:r>
          </w:p>
        </w:tc>
      </w:tr>
      <w:tr w:rsidTr="00966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405" w:rsidP="00966405">
            <w:pPr>
              <w:pStyle w:val="BodyText"/>
            </w:pPr>
            <w:r w:rsidRPr="00966405">
              <w:t>Complete test required in accordance with standard procedures/instructions</w:t>
            </w:r>
          </w:p>
        </w:tc>
      </w:tr>
    </w:tbl>
    <w:p w:rsidR="00000000" w:rsidRPr="00966405" w:rsidP="0096640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66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Interpret results and take action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Note anything about sample, equipment or the test itself which may have caused it to give a bad result</w:t>
            </w:r>
          </w:p>
        </w:tc>
      </w:tr>
      <w:tr w:rsidTr="00966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Compare results to specification</w:t>
            </w:r>
          </w:p>
        </w:tc>
      </w:tr>
      <w:tr w:rsidTr="00966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405" w:rsidP="00966405">
            <w:pPr>
              <w:pStyle w:val="BodyText"/>
            </w:pPr>
            <w:r w:rsidRPr="00966405">
              <w:t>Take action appropriate to the test results and any other observations</w:t>
            </w:r>
          </w:p>
        </w:tc>
      </w:tr>
    </w:tbl>
    <w:p w:rsidR="00000000" w:rsidRPr="00966405" w:rsidP="0096640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66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Complete sample and test cycle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Complete required records</w:t>
            </w:r>
          </w:p>
        </w:tc>
      </w:tr>
      <w:tr w:rsidTr="00966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Store and/or dispose of sample as required</w:t>
            </w:r>
          </w:p>
        </w:tc>
      </w:tr>
      <w:tr w:rsidTr="0096640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405" w:rsidP="00966405">
            <w:pPr>
              <w:pStyle w:val="BodyText"/>
            </w:pPr>
            <w:r w:rsidRPr="00966405">
              <w:t>Clean all equipment and leave ready for next sample/test</w:t>
            </w:r>
          </w:p>
        </w:tc>
      </w:tr>
    </w:tbl>
    <w:p w:rsidR="00000000" w:rsidRPr="00966405" w:rsidP="00966405">
      <w:pPr>
        <w:pStyle w:val="BodyText"/>
      </w:pPr>
    </w:p>
    <w:p w:rsidR="00000000" w:rsidRPr="00966405" w:rsidP="00966405">
      <w:pPr>
        <w:pStyle w:val="AllowPageBreak"/>
      </w:pPr>
    </w:p>
    <w:p w:rsidR="00000000" w:rsidRPr="00966405" w:rsidP="00966405">
      <w:pPr>
        <w:pStyle w:val="Heading1"/>
      </w:pPr>
      <w:bookmarkStart w:id="7" w:name="O_871886"/>
      <w:bookmarkEnd w:id="7"/>
      <w:r w:rsidRPr="00966405">
        <w:t>Foundation Skills</w:t>
      </w:r>
    </w:p>
    <w:p w:rsidR="00000000" w:rsidRPr="00966405" w:rsidP="006E2CBA">
      <w:pPr>
        <w:pStyle w:val="BodyText"/>
      </w:pPr>
      <w:r w:rsidRPr="00966405">
        <w:t>This section describes those language, literacy, numeracy and employment skills that are essential to performance.</w:t>
      </w:r>
    </w:p>
    <w:p w:rsidR="00000000" w:rsidRPr="00966405" w:rsidP="006E2CBA">
      <w:pPr>
        <w:pStyle w:val="BodyText"/>
      </w:pPr>
      <w:r w:rsidRPr="00966405">
        <w:t>Foundation skills essential to performance are explicit in the performance criteria of this unit of competency.</w:t>
      </w:r>
    </w:p>
    <w:p w:rsidR="00000000" w:rsidRPr="00966405" w:rsidP="00966405">
      <w:pPr>
        <w:pStyle w:val="Heading1"/>
      </w:pPr>
      <w:bookmarkStart w:id="8" w:name="O_871885"/>
      <w:bookmarkEnd w:id="8"/>
      <w:r w:rsidRPr="0096640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6E2C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t>This field allows for different work environments and conditions that may affect performance. Essential ope</w:t>
            </w:r>
            <w:r w:rsidRPr="00966405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6E2C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405" w:rsidP="00966405">
            <w:pPr>
              <w:pStyle w:val="BodyText"/>
            </w:pPr>
            <w:r w:rsidRPr="00966405">
              <w:t>The latest version of all legislation, regulations, in</w:t>
            </w:r>
            <w:r w:rsidRPr="00966405">
              <w:t>dustry codes of practice and Australian/international standards, or the version specified by the local regulatory authority, must be used, and include one or more of the following:</w:t>
            </w:r>
          </w:p>
          <w:p w:rsidR="00000000" w:rsidRPr="00966405" w:rsidP="00966405">
            <w:pPr>
              <w:pStyle w:val="ListBullet"/>
            </w:pPr>
            <w:r w:rsidRPr="00966405">
              <w:t>legislative requirements, including work health and safety (WHS)</w:t>
            </w:r>
          </w:p>
          <w:p w:rsidR="00000000" w:rsidRPr="00966405" w:rsidP="00966405">
            <w:pPr>
              <w:pStyle w:val="ListBullet"/>
            </w:pPr>
            <w:r w:rsidRPr="00966405">
              <w:t>industry codes of practice and guidelines</w:t>
            </w:r>
          </w:p>
          <w:p w:rsidR="00000000" w:rsidRPr="00966405" w:rsidP="00966405">
            <w:pPr>
              <w:pStyle w:val="ListBullet"/>
            </w:pPr>
            <w:r w:rsidRPr="00966405">
              <w:t xml:space="preserve">environmental regulations and guidelines </w:t>
            </w:r>
          </w:p>
          <w:p w:rsidR="00000000" w:rsidRPr="00966405" w:rsidP="00966405">
            <w:pPr>
              <w:pStyle w:val="ListBullet"/>
            </w:pPr>
            <w:r w:rsidRPr="00966405">
              <w:t>Australian and other standards</w:t>
            </w:r>
          </w:p>
          <w:p w:rsidR="00000000" w:rsidRPr="00966405" w:rsidP="00966405">
            <w:pPr>
              <w:pStyle w:val="ListBullet"/>
            </w:pPr>
            <w:r w:rsidRPr="00966405">
              <w:t>licence and certification requirements</w:t>
            </w:r>
          </w:p>
          <w:p w:rsidR="00000000" w:rsidP="00966405">
            <w:pPr>
              <w:pStyle w:val="BodyText"/>
              <w:rPr>
                <w:lang w:val="en-NZ"/>
              </w:rPr>
            </w:pPr>
          </w:p>
        </w:tc>
      </w:tr>
      <w:tr w:rsidTr="006E2C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6405">
            <w:pPr>
              <w:pStyle w:val="BodyText"/>
              <w:rPr>
                <w:lang w:val="en-NZ"/>
              </w:rPr>
            </w:pPr>
            <w:r w:rsidRPr="00966405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6405" w:rsidP="00966405">
            <w:pPr>
              <w:pStyle w:val="BodyText"/>
            </w:pPr>
            <w:r w:rsidRPr="00966405">
              <w:t>All operations must be performed in accordance with relevant procedures.</w:t>
            </w:r>
          </w:p>
          <w:p w:rsidR="00000000" w:rsidRPr="00966405" w:rsidP="00966405">
            <w:pPr>
              <w:pStyle w:val="BodyText"/>
            </w:pPr>
          </w:p>
          <w:p w:rsidR="00000000" w:rsidRPr="00966405" w:rsidP="00966405">
            <w:pPr>
              <w:pStyle w:val="BodyText"/>
            </w:pPr>
            <w:r w:rsidRPr="00966405">
              <w:t xml:space="preserve">Procedures are </w:t>
            </w:r>
            <w:r w:rsidRPr="00966405">
              <w:t>written, verbal, visual, computer-based or in some other form, and include one or more of the following:</w:t>
            </w:r>
          </w:p>
          <w:p w:rsidR="00000000" w:rsidRPr="00966405" w:rsidP="00966405">
            <w:pPr>
              <w:pStyle w:val="ListBullet"/>
            </w:pPr>
            <w:r w:rsidRPr="00966405">
              <w:t>test methods</w:t>
            </w:r>
          </w:p>
          <w:p w:rsidR="00000000" w:rsidRPr="00966405" w:rsidP="00966405">
            <w:pPr>
              <w:pStyle w:val="ListBullet"/>
            </w:pPr>
            <w:r w:rsidRPr="00966405">
              <w:t>sampling techniques</w:t>
            </w:r>
          </w:p>
          <w:p w:rsidR="00000000" w:rsidRPr="00966405" w:rsidP="00966405">
            <w:pPr>
              <w:pStyle w:val="ListBullet"/>
            </w:pPr>
            <w:r w:rsidRPr="00966405">
              <w:t>work instructions</w:t>
            </w:r>
          </w:p>
          <w:p w:rsidR="00000000" w:rsidRPr="00966405" w:rsidP="00966405">
            <w:pPr>
              <w:pStyle w:val="ListBullet"/>
            </w:pPr>
            <w:r w:rsidRPr="00966405">
              <w:t>standard operating procedures (SOPs)</w:t>
            </w:r>
          </w:p>
          <w:p w:rsidR="00000000" w:rsidRPr="00966405" w:rsidP="00966405">
            <w:pPr>
              <w:pStyle w:val="ListBullet"/>
            </w:pPr>
            <w:r w:rsidRPr="00966405">
              <w:t>safe work method statements (SWMS)</w:t>
            </w:r>
          </w:p>
          <w:p w:rsidR="00000000" w:rsidRPr="00966405" w:rsidP="00966405">
            <w:pPr>
              <w:pStyle w:val="ListBullet"/>
            </w:pPr>
            <w:r w:rsidRPr="00966405">
              <w:t>emergency procedures</w:t>
            </w:r>
          </w:p>
          <w:p w:rsidR="00000000" w:rsidRPr="00966405" w:rsidP="00966405">
            <w:pPr>
              <w:pStyle w:val="ListBullet"/>
            </w:pPr>
            <w:r w:rsidRPr="00966405">
              <w:t>formulas/recipes</w:t>
            </w:r>
          </w:p>
          <w:p w:rsidR="00000000" w:rsidRPr="00966405" w:rsidP="00966405">
            <w:pPr>
              <w:pStyle w:val="ListBullet"/>
            </w:pPr>
            <w:r w:rsidRPr="00966405">
              <w:t>batch sheets</w:t>
            </w:r>
          </w:p>
          <w:p w:rsidR="00000000" w:rsidRPr="00966405" w:rsidP="00966405">
            <w:pPr>
              <w:pStyle w:val="ListBullet"/>
            </w:pPr>
            <w:r w:rsidRPr="00966405">
              <w:t>temporary instructions</w:t>
            </w:r>
          </w:p>
          <w:p w:rsidR="00000000" w:rsidRPr="00966405" w:rsidP="00966405">
            <w:pPr>
              <w:pStyle w:val="ListBullet"/>
            </w:pPr>
            <w:r w:rsidRPr="00966405">
              <w:t>any similar instructions provided for the smooth running of the plant</w:t>
            </w:r>
          </w:p>
        </w:tc>
      </w:tr>
    </w:tbl>
    <w:p w:rsidR="00000000" w:rsidRPr="00966405" w:rsidP="00966405">
      <w:pPr>
        <w:pStyle w:val="BodyText"/>
      </w:pPr>
    </w:p>
    <w:p w:rsidR="00000000" w:rsidRPr="00966405" w:rsidP="00966405">
      <w:pPr>
        <w:pStyle w:val="AllowPageBreak"/>
      </w:pPr>
    </w:p>
    <w:p w:rsidR="00000000" w:rsidRPr="00966405" w:rsidP="00966405">
      <w:pPr>
        <w:pStyle w:val="Heading1"/>
      </w:pPr>
      <w:bookmarkStart w:id="9" w:name="O_871884"/>
      <w:bookmarkEnd w:id="9"/>
      <w:r w:rsidRPr="00966405">
        <w:t>Unit Mapping Information</w:t>
      </w:r>
    </w:p>
    <w:p w:rsidR="00000000" w:rsidRPr="00966405" w:rsidP="006E2CBA">
      <w:pPr>
        <w:pStyle w:val="BodyText"/>
      </w:pPr>
      <w:r w:rsidRPr="00966405">
        <w:t>Release 1. Supersedes and is equivalent to MSAPMSUP292A Sample and test materials and pro</w:t>
      </w:r>
      <w:r w:rsidRPr="00966405">
        <w:t>duct</w:t>
      </w:r>
    </w:p>
    <w:p w:rsidR="00000000" w:rsidRPr="00966405" w:rsidP="00966405">
      <w:pPr>
        <w:pStyle w:val="Heading1"/>
      </w:pPr>
      <w:bookmarkStart w:id="10" w:name="O_871877"/>
      <w:bookmarkEnd w:id="10"/>
      <w:r w:rsidRPr="00966405">
        <w:t>Links</w:t>
      </w:r>
    </w:p>
    <w:p w:rsidR="00000000" w:rsidRPr="00966405" w:rsidP="006E2CBA">
      <w:pPr>
        <w:pStyle w:val="BodyText"/>
      </w:pPr>
      <w:r w:rsidRPr="009664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744E1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966405" w:rsidP="00966405"/>
    <w:sectPr w:rsidSect="009664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4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405" w:rsidRPr="006E2CBA" w:rsidP="006E2C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4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CBA" w:rsidP="009664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2CBA" w:rsidP="009664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E2CBA" w:rsidP="009664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4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C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6405" w:rsidRPr="006E2CBA" w:rsidP="006E2C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4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CBA" w:rsidRPr="002D2AF8" w:rsidP="009664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MSMSUP292 Sample and test materials and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6E2CBA" w:rsidP="009664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9AE4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269B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4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64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64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64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64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64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64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64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64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64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64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6405"/>
  </w:style>
  <w:style w:type="character" w:customStyle="1" w:styleId="Heading1Char">
    <w:name w:val="Heading 1 Char"/>
    <w:basedOn w:val="DefaultParagraphFont"/>
    <w:link w:val="Heading1"/>
    <w:rsid w:val="009664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64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64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64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6405"/>
    <w:rPr>
      <w:b/>
      <w:spacing w:val="0"/>
    </w:rPr>
  </w:style>
  <w:style w:type="paragraph" w:customStyle="1" w:styleId="SuperHeading">
    <w:name w:val="SuperHeading"/>
    <w:basedOn w:val="Normal"/>
    <w:rsid w:val="009664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64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64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64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64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64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64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64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64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64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64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64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64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64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64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64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64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64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64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64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64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64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64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64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64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64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64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64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64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64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64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64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64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64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64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6405"/>
    <w:rPr>
      <w:i/>
    </w:rPr>
  </w:style>
  <w:style w:type="paragraph" w:styleId="Caption">
    <w:name w:val="caption"/>
    <w:basedOn w:val="BodyText"/>
    <w:next w:val="Normal"/>
    <w:qFormat/>
    <w:rsid w:val="009664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64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64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6405"/>
  </w:style>
  <w:style w:type="paragraph" w:styleId="TableofFigures">
    <w:name w:val="table of figures"/>
    <w:basedOn w:val="Normal"/>
    <w:next w:val="Normal"/>
    <w:semiHidden/>
    <w:rsid w:val="009664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64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6405"/>
    <w:rPr>
      <w:rFonts w:ascii="Wingdings" w:hAnsi="Wingdings"/>
    </w:rPr>
  </w:style>
  <w:style w:type="paragraph" w:customStyle="1" w:styleId="TableHeading">
    <w:name w:val="Table Heading"/>
    <w:basedOn w:val="HeadingBase"/>
    <w:rsid w:val="009664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6405"/>
    <w:rPr>
      <w:color w:val="0033CC"/>
      <w:u w:val="none"/>
    </w:rPr>
  </w:style>
  <w:style w:type="paragraph" w:customStyle="1" w:styleId="BodyTextRight">
    <w:name w:val="Body Text Right"/>
    <w:basedOn w:val="BodyText"/>
    <w:rsid w:val="009664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64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64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64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64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64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6405"/>
    <w:rPr>
      <w:sz w:val="32"/>
    </w:rPr>
  </w:style>
  <w:style w:type="paragraph" w:customStyle="1" w:styleId="HeadingProcedure">
    <w:name w:val="Heading Procedure"/>
    <w:basedOn w:val="HeadingBase"/>
    <w:next w:val="Normal"/>
    <w:rsid w:val="009664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6405"/>
    <w:pPr>
      <w:spacing w:before="60" w:after="60"/>
    </w:pPr>
  </w:style>
  <w:style w:type="paragraph" w:styleId="ListContinue">
    <w:name w:val="List Continue"/>
    <w:basedOn w:val="List"/>
    <w:rsid w:val="00966405"/>
    <w:pPr>
      <w:ind w:firstLine="0"/>
    </w:pPr>
  </w:style>
  <w:style w:type="paragraph" w:customStyle="1" w:styleId="ListNote">
    <w:name w:val="List Note"/>
    <w:basedOn w:val="List"/>
    <w:rsid w:val="009664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64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64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6405"/>
    <w:rPr>
      <w:rFonts w:ascii="Courier New" w:hAnsi="Courier New"/>
    </w:rPr>
  </w:style>
  <w:style w:type="paragraph" w:customStyle="1" w:styleId="NoteBullet">
    <w:name w:val="Note Bullet"/>
    <w:basedOn w:val="Note"/>
    <w:rsid w:val="009664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64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64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64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64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64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64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6405"/>
    <w:rPr>
      <w:b/>
      <w:smallCaps/>
    </w:rPr>
  </w:style>
  <w:style w:type="paragraph" w:customStyle="1" w:styleId="TableListNumber">
    <w:name w:val="Table List Number"/>
    <w:basedOn w:val="ListNumber"/>
    <w:rsid w:val="009664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64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6405"/>
    <w:pPr>
      <w:numPr>
        <w:numId w:val="8"/>
      </w:numPr>
    </w:pPr>
  </w:style>
  <w:style w:type="paragraph" w:customStyle="1" w:styleId="ListAlpha2">
    <w:name w:val="List Alpha 2"/>
    <w:basedOn w:val="List2"/>
    <w:rsid w:val="00966405"/>
    <w:pPr>
      <w:numPr>
        <w:numId w:val="7"/>
      </w:numPr>
    </w:pPr>
  </w:style>
  <w:style w:type="paragraph" w:styleId="List2">
    <w:name w:val="List 2"/>
    <w:basedOn w:val="BodyText"/>
    <w:rsid w:val="009664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64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64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64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64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64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6405"/>
    <w:pPr>
      <w:numPr>
        <w:numId w:val="3"/>
      </w:numPr>
    </w:pPr>
  </w:style>
  <w:style w:type="paragraph" w:styleId="ListContinue2">
    <w:name w:val="List Continue 2"/>
    <w:basedOn w:val="List2"/>
    <w:rsid w:val="00966405"/>
    <w:pPr>
      <w:ind w:firstLine="0"/>
    </w:pPr>
  </w:style>
  <w:style w:type="paragraph" w:styleId="ListContinue3">
    <w:name w:val="List Continue 3"/>
    <w:basedOn w:val="List3"/>
    <w:rsid w:val="00966405"/>
    <w:pPr>
      <w:ind w:left="1021" w:firstLine="0"/>
    </w:pPr>
  </w:style>
  <w:style w:type="paragraph" w:styleId="ListContinue4">
    <w:name w:val="List Continue 4"/>
    <w:basedOn w:val="List4"/>
    <w:rsid w:val="00966405"/>
    <w:pPr>
      <w:ind w:firstLine="0"/>
    </w:pPr>
  </w:style>
  <w:style w:type="paragraph" w:styleId="ListContinue5">
    <w:name w:val="List Continue 5"/>
    <w:basedOn w:val="List5"/>
    <w:rsid w:val="00966405"/>
    <w:pPr>
      <w:ind w:firstLine="0"/>
    </w:pPr>
  </w:style>
  <w:style w:type="paragraph" w:styleId="ListNumber3">
    <w:name w:val="List Number 3"/>
    <w:basedOn w:val="List3"/>
    <w:rsid w:val="00966405"/>
    <w:pPr>
      <w:numPr>
        <w:numId w:val="4"/>
      </w:numPr>
    </w:pPr>
  </w:style>
  <w:style w:type="paragraph" w:styleId="ListNumber4">
    <w:name w:val="List Number 4"/>
    <w:basedOn w:val="List4"/>
    <w:rsid w:val="00966405"/>
    <w:pPr>
      <w:numPr>
        <w:numId w:val="5"/>
      </w:numPr>
    </w:pPr>
  </w:style>
  <w:style w:type="paragraph" w:styleId="ListNumber5">
    <w:name w:val="List Number 5"/>
    <w:basedOn w:val="List5"/>
    <w:rsid w:val="00966405"/>
    <w:pPr>
      <w:numPr>
        <w:numId w:val="6"/>
      </w:numPr>
    </w:pPr>
  </w:style>
  <w:style w:type="paragraph" w:styleId="BlockText">
    <w:name w:val="Block Text"/>
    <w:basedOn w:val="Normal"/>
    <w:rsid w:val="009664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64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6405"/>
    <w:rPr>
      <w:sz w:val="16"/>
      <w:vertAlign w:val="superscript"/>
    </w:rPr>
  </w:style>
  <w:style w:type="character" w:customStyle="1" w:styleId="Symbols">
    <w:name w:val="Symbols"/>
    <w:basedOn w:val="DefaultParagraphFont"/>
    <w:rsid w:val="00966405"/>
    <w:rPr>
      <w:rFonts w:ascii="Symbol" w:hAnsi="Symbol"/>
    </w:rPr>
  </w:style>
  <w:style w:type="character" w:customStyle="1" w:styleId="MenuOptions">
    <w:name w:val="Menu Options"/>
    <w:basedOn w:val="DefaultParagraphFont"/>
    <w:rsid w:val="009664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6405"/>
    <w:rPr>
      <w:b/>
    </w:rPr>
  </w:style>
  <w:style w:type="character" w:customStyle="1" w:styleId="Underlined">
    <w:name w:val="Underlined"/>
    <w:basedOn w:val="DefaultParagraphFont"/>
    <w:rsid w:val="00966405"/>
    <w:rPr>
      <w:u w:val="single"/>
    </w:rPr>
  </w:style>
  <w:style w:type="paragraph" w:customStyle="1" w:styleId="TableBodyTextRight">
    <w:name w:val="Table Body Text Right"/>
    <w:basedOn w:val="TableBodyText"/>
    <w:rsid w:val="009664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6405"/>
    <w:rPr>
      <w:sz w:val="18"/>
    </w:rPr>
  </w:style>
  <w:style w:type="paragraph" w:customStyle="1" w:styleId="BodySmallRight">
    <w:name w:val="Body Small Right"/>
    <w:basedOn w:val="BodyTextRight"/>
    <w:rsid w:val="00966405"/>
    <w:rPr>
      <w:sz w:val="18"/>
      <w:szCs w:val="18"/>
    </w:rPr>
  </w:style>
  <w:style w:type="paragraph" w:customStyle="1" w:styleId="MarginEdition">
    <w:name w:val="Margin Edition"/>
    <w:basedOn w:val="MarginNote"/>
    <w:rsid w:val="009664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6405"/>
    <w:rPr>
      <w:sz w:val="2"/>
      <w:szCs w:val="2"/>
    </w:rPr>
  </w:style>
  <w:style w:type="character" w:customStyle="1" w:styleId="Small">
    <w:name w:val="Small"/>
    <w:basedOn w:val="DefaultParagraphFont"/>
    <w:rsid w:val="00966405"/>
    <w:rPr>
      <w:sz w:val="16"/>
    </w:rPr>
  </w:style>
  <w:style w:type="paragraph" w:customStyle="1" w:styleId="WideTable">
    <w:name w:val="Wide Table"/>
    <w:basedOn w:val="Normal"/>
    <w:rsid w:val="009664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6405"/>
  </w:style>
  <w:style w:type="paragraph" w:styleId="Quote">
    <w:name w:val="Quote"/>
    <w:basedOn w:val="Heading1"/>
    <w:link w:val="QuoteChar"/>
    <w:qFormat/>
    <w:rsid w:val="009664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64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6405"/>
    <w:pPr>
      <w:pageBreakBefore/>
    </w:pPr>
  </w:style>
  <w:style w:type="paragraph" w:customStyle="1" w:styleId="Border">
    <w:name w:val="Border"/>
    <w:basedOn w:val="Normal"/>
    <w:qFormat/>
    <w:rsid w:val="009664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64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4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4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64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64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64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64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64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6405"/>
    <w:rPr>
      <w:u w:val="single"/>
    </w:rPr>
  </w:style>
  <w:style w:type="character" w:customStyle="1" w:styleId="BoldandItalics">
    <w:name w:val="Bold and Italics"/>
    <w:qFormat/>
    <w:rsid w:val="00966405"/>
    <w:rPr>
      <w:b/>
      <w:i/>
      <w:u w:val="none"/>
    </w:rPr>
  </w:style>
  <w:style w:type="paragraph" w:styleId="BalloonText">
    <w:name w:val="Balloon Text"/>
    <w:basedOn w:val="Normal"/>
    <w:link w:val="BalloonTextChar"/>
    <w:rsid w:val="009664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64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64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64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64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64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6405"/>
    <w:pPr>
      <w:spacing w:before="0" w:after="0"/>
    </w:pPr>
  </w:style>
  <w:style w:type="paragraph" w:customStyle="1" w:styleId="BodyTextBold">
    <w:name w:val="Body Text Bold"/>
    <w:basedOn w:val="BodyText"/>
    <w:qFormat/>
    <w:rsid w:val="00966405"/>
    <w:rPr>
      <w:b/>
    </w:rPr>
  </w:style>
  <w:style w:type="character" w:styleId="Hyperlink">
    <w:name w:val="Hyperlink"/>
    <w:basedOn w:val="DefaultParagraphFont"/>
    <w:uiPriority w:val="99"/>
    <w:unhideWhenUsed/>
    <w:rsid w:val="006E2C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599</Words>
  <Characters>3565</Characters>
  <Application>Microsoft Office Word</Application>
  <DocSecurity>0</DocSecurity>
  <Lines>169</Lines>
  <Paragraphs>104</Paragraphs>
  <ScaleCrop>false</ScaleCrop>
  <Company>Author-it Software Corporation Ltd.</Company>
  <LinksUpToDate>false</LinksUpToDate>
  <CharactersWithSpaces>4060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MSMSUP292 Sample and test materials and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2024-04-26T01:53:00Z</dcterms:created>
  <dcterms:modified xsi:type="dcterms:W3CDTF">2024-04-26T01:53:00Z</dcterms:modified>
</cp:coreProperties>
</file>