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121" w:rsidP="00B17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MSMSUP292 Sample and test materials and product</w:t>
      </w:r>
      <w:r>
        <w:fldChar w:fldCharType="end"/>
      </w:r>
    </w:p>
    <w:p w:rsidR="00B17121" w:rsidP="00B17121">
      <w:pPr>
        <w:pStyle w:val="Version"/>
        <w:sectPr w:rsidSect="00785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77F" w:rsidP="0078577F">
      <w:pPr>
        <w:pStyle w:val="SuperHeading"/>
      </w:pPr>
      <w:r w:rsidRPr="0078577F">
        <w:t>Assessment Requirements for MSMSUP292 Sample and test materials and product</w:t>
      </w:r>
    </w:p>
    <w:p w:rsidR="00000000" w:rsidRPr="0078577F" w:rsidP="0078577F">
      <w:pPr>
        <w:pStyle w:val="Heading1"/>
      </w:pPr>
      <w:bookmarkStart w:id="1" w:name="O_871879"/>
      <w:bookmarkEnd w:id="1"/>
      <w:r w:rsidRPr="0078577F">
        <w:t>Modification History</w:t>
      </w:r>
    </w:p>
    <w:p w:rsidR="00000000" w:rsidRPr="0078577F" w:rsidP="00B17121">
      <w:pPr>
        <w:pStyle w:val="BodyText"/>
      </w:pPr>
      <w:r w:rsidRPr="0078577F">
        <w:t>Release 1. Supersedes and is equivalent to MSAPMSUP292A Sample and test materials and product</w:t>
      </w:r>
    </w:p>
    <w:p w:rsidR="00000000" w:rsidRPr="0078577F" w:rsidP="0078577F">
      <w:pPr>
        <w:pStyle w:val="Heading1"/>
      </w:pPr>
      <w:bookmarkStart w:id="2" w:name="O_871882"/>
      <w:bookmarkEnd w:id="2"/>
      <w:r w:rsidRPr="0078577F">
        <w:t>Performance Evidence</w:t>
      </w:r>
    </w:p>
    <w:p w:rsidR="00000000" w:rsidRPr="0078577F" w:rsidP="00B17121">
      <w:pPr>
        <w:pStyle w:val="BodyText"/>
      </w:pPr>
      <w:r w:rsidRPr="0078577F">
        <w:t>Evidence required to demonstrate competence in this unit must be relevant to and satisfy the requirements of the elements and performance criteria and must include the ability to:</w:t>
      </w:r>
    </w:p>
    <w:p w:rsidR="00000000" w:rsidRPr="0078577F" w:rsidP="0078577F">
      <w:pPr>
        <w:pStyle w:val="ListBullet"/>
      </w:pPr>
      <w:r w:rsidRPr="0078577F">
        <w:t xml:space="preserve">undertake collection and processing of sample </w:t>
      </w:r>
    </w:p>
    <w:p w:rsidR="00000000" w:rsidRPr="0078577F" w:rsidP="0078577F">
      <w:pPr>
        <w:pStyle w:val="ListBullet"/>
      </w:pPr>
      <w:r w:rsidRPr="0078577F">
        <w:t>select and use appropriate p</w:t>
      </w:r>
      <w:r w:rsidRPr="0078577F">
        <w:t>rocedures</w:t>
      </w:r>
    </w:p>
    <w:p w:rsidR="00000000" w:rsidRPr="0078577F" w:rsidP="0078577F">
      <w:pPr>
        <w:pStyle w:val="ListBullet"/>
      </w:pPr>
      <w:r w:rsidRPr="0078577F">
        <w:t>undertake tests with adequate reproducibility</w:t>
      </w:r>
    </w:p>
    <w:p w:rsidR="00000000" w:rsidRPr="0078577F" w:rsidP="0078577F">
      <w:pPr>
        <w:pStyle w:val="ListBullet"/>
      </w:pPr>
      <w:r w:rsidRPr="0078577F">
        <w:t xml:space="preserve">check and clean equipment </w:t>
      </w:r>
    </w:p>
    <w:p w:rsidR="00000000" w:rsidRPr="0078577F" w:rsidP="0078577F">
      <w:pPr>
        <w:pStyle w:val="ListBullet"/>
      </w:pPr>
      <w:r w:rsidRPr="0078577F">
        <w:t>recognise suspicious test results caused by sampling/testing faults</w:t>
      </w:r>
    </w:p>
    <w:p w:rsidR="00000000" w:rsidRPr="0078577F" w:rsidP="0078577F">
      <w:pPr>
        <w:pStyle w:val="ListBullet"/>
      </w:pPr>
      <w:r w:rsidRPr="0078577F">
        <w:t>compare results to specifications and take appropriate action as defined in relevant procedures</w:t>
      </w:r>
    </w:p>
    <w:p w:rsidR="00000000" w:rsidRPr="0078577F" w:rsidP="0078577F">
      <w:pPr>
        <w:pStyle w:val="ListBullet"/>
      </w:pPr>
      <w:r w:rsidRPr="0078577F">
        <w:t xml:space="preserve">complete </w:t>
      </w:r>
      <w:r w:rsidRPr="0078577F">
        <w:t>workplace forms, label samples and record results.</w:t>
      </w:r>
    </w:p>
    <w:p w:rsidR="00000000" w:rsidRPr="0078577F" w:rsidP="0078577F">
      <w:pPr>
        <w:pStyle w:val="AllowPageBreak"/>
      </w:pPr>
    </w:p>
    <w:p w:rsidR="00000000" w:rsidRPr="0078577F" w:rsidP="0078577F">
      <w:pPr>
        <w:pStyle w:val="Heading1"/>
      </w:pPr>
      <w:bookmarkStart w:id="3" w:name="O_871881"/>
      <w:bookmarkEnd w:id="3"/>
      <w:r w:rsidRPr="0078577F">
        <w:t>Knowledge Evidence</w:t>
      </w:r>
    </w:p>
    <w:p w:rsidR="00000000" w:rsidRPr="0078577F" w:rsidP="00B17121">
      <w:pPr>
        <w:pStyle w:val="BodyText"/>
      </w:pPr>
      <w:r w:rsidRPr="0078577F">
        <w:t>Evidence must be provided that demonstrates knowledge of:</w:t>
      </w:r>
    </w:p>
    <w:p w:rsidR="00000000" w:rsidRPr="0078577F" w:rsidP="0078577F">
      <w:pPr>
        <w:pStyle w:val="ListBullet"/>
      </w:pPr>
      <w:r w:rsidRPr="0078577F">
        <w:t xml:space="preserve">relevant procedures </w:t>
      </w:r>
    </w:p>
    <w:p w:rsidR="00000000" w:rsidRPr="0078577F" w:rsidP="0078577F">
      <w:pPr>
        <w:pStyle w:val="ListBullet"/>
      </w:pPr>
      <w:r w:rsidRPr="0078577F">
        <w:t>specifications for test results</w:t>
      </w:r>
    </w:p>
    <w:p w:rsidR="00000000" w:rsidRPr="0078577F" w:rsidP="0078577F">
      <w:pPr>
        <w:pStyle w:val="ListBullet"/>
      </w:pPr>
      <w:r w:rsidRPr="0078577F">
        <w:t>types and application of sample techniques and their requ</w:t>
      </w:r>
      <w:r w:rsidRPr="0078577F">
        <w:t>irements</w:t>
      </w:r>
    </w:p>
    <w:p w:rsidR="00000000" w:rsidRPr="0078577F" w:rsidP="0078577F">
      <w:pPr>
        <w:pStyle w:val="ListBullet"/>
      </w:pPr>
      <w:r w:rsidRPr="0078577F">
        <w:t>types and application of test methods and critical factors leading to good/poor test results</w:t>
      </w:r>
    </w:p>
    <w:p w:rsidR="00000000" w:rsidRPr="0078577F" w:rsidP="0078577F">
      <w:pPr>
        <w:pStyle w:val="AllowPageBreak"/>
      </w:pPr>
    </w:p>
    <w:p w:rsidR="00000000" w:rsidRPr="0078577F" w:rsidP="0078577F">
      <w:pPr>
        <w:pStyle w:val="Heading1"/>
      </w:pPr>
      <w:bookmarkStart w:id="4" w:name="O_871880"/>
      <w:bookmarkEnd w:id="4"/>
      <w:r w:rsidRPr="0078577F">
        <w:t>Assessment Conditions</w:t>
      </w:r>
    </w:p>
    <w:p w:rsidR="00000000" w:rsidRPr="0078577F" w:rsidP="0078577F">
      <w:pPr>
        <w:pStyle w:val="ListBullet"/>
      </w:pPr>
      <w:r w:rsidRPr="0078577F">
        <w:t xml:space="preserve">The unit should be assessed holistically and the judgement of competence based on a holistic </w:t>
      </w:r>
      <w:r w:rsidRPr="0078577F">
        <w:t>assessment of the evidence.</w:t>
      </w:r>
    </w:p>
    <w:p w:rsidR="00000000" w:rsidRPr="0078577F" w:rsidP="0078577F">
      <w:pPr>
        <w:pStyle w:val="ListBullet"/>
      </w:pPr>
      <w:r w:rsidRPr="0078577F">
        <w:t>The collection of performance evidence:</w:t>
      </w:r>
    </w:p>
    <w:p w:rsidR="00000000" w:rsidRPr="0078577F" w:rsidP="0078577F">
      <w:pPr>
        <w:pStyle w:val="ListBullet2"/>
      </w:pPr>
      <w:r w:rsidRPr="0078577F">
        <w:t xml:space="preserve">should occur over a range of situations which include typical disruptions to normal, smooth operations </w:t>
      </w:r>
    </w:p>
    <w:p w:rsidR="00000000" w:rsidRPr="0078577F" w:rsidP="0078577F">
      <w:pPr>
        <w:pStyle w:val="ListBullet2"/>
      </w:pPr>
      <w:r w:rsidRPr="0078577F">
        <w:t>will typically include a supervisor/third-party report focusing on consistent perfo</w:t>
      </w:r>
      <w:r w:rsidRPr="0078577F">
        <w:t>rmance and problem recognition and solving. A supervisor/third-party report must be prepared by someone who has a direct, relevant, current relationship with the person being assessed and who is in a position to form a judgement on workplace performance re</w:t>
      </w:r>
      <w:r w:rsidRPr="0078577F">
        <w:t xml:space="preserve">levant to the unit of competency </w:t>
      </w:r>
    </w:p>
    <w:p w:rsidR="00000000" w:rsidRPr="0078577F" w:rsidP="0078577F">
      <w:pPr>
        <w:pStyle w:val="ListBullet2"/>
      </w:pPr>
      <w:r w:rsidRPr="0078577F">
        <w:t>must include the use of appropriate tools, equipment and safety gear requiring demonstration of preparation, operation, completion and responding to problems</w:t>
      </w:r>
    </w:p>
    <w:p w:rsidR="00000000" w:rsidRPr="0078577F" w:rsidP="0078577F">
      <w:pPr>
        <w:pStyle w:val="ListBullet2"/>
      </w:pPr>
      <w:r w:rsidRPr="0078577F">
        <w:t>may use industry-based simulation for all or part of the unit pa</w:t>
      </w:r>
      <w:r w:rsidRPr="0078577F">
        <w:t>rticularly where safety, lack of opportunity or significant cost is an issue.</w:t>
      </w:r>
    </w:p>
    <w:p w:rsidR="00000000" w:rsidRPr="0078577F" w:rsidP="0078577F">
      <w:pPr>
        <w:pStyle w:val="ListBullet"/>
      </w:pPr>
      <w:r w:rsidRPr="0078577F">
        <w:t>Assessment should occur in operational workplace situations. Where this is not possible, or where personal safety or environmental damage are limiting factors, assessment must o</w:t>
      </w:r>
      <w:r w:rsidRPr="0078577F">
        <w:t>ccur in a sufficiently rigorous simulated environment reflecting realistic operational workplace conditions. This must cover all aspects of workplace performance, including environment, task skills, task management skills, contingency management skills and</w:t>
      </w:r>
      <w:r w:rsidRPr="0078577F">
        <w:t xml:space="preserve"> job role environment skills. </w:t>
      </w:r>
    </w:p>
    <w:p w:rsidR="00000000" w:rsidRPr="0078577F" w:rsidP="0078577F">
      <w:pPr>
        <w:pStyle w:val="ListBullet"/>
      </w:pPr>
      <w:r w:rsidRPr="0078577F">
        <w:t xml:space="preserve">Assessment in a simulated environment should use evidence collected from one or more of: </w:t>
      </w:r>
    </w:p>
    <w:p w:rsidR="00000000" w:rsidRPr="0078577F" w:rsidP="0078577F">
      <w:pPr>
        <w:pStyle w:val="ListBullet2"/>
      </w:pPr>
      <w:r w:rsidRPr="0078577F">
        <w:t>walk-throughs</w:t>
      </w:r>
    </w:p>
    <w:p w:rsidR="00000000" w:rsidRPr="0078577F" w:rsidP="0078577F">
      <w:pPr>
        <w:pStyle w:val="ListBullet2"/>
      </w:pPr>
      <w:r w:rsidRPr="0078577F">
        <w:t>pilot plant operation</w:t>
      </w:r>
    </w:p>
    <w:p w:rsidR="00000000" w:rsidRPr="0078577F" w:rsidP="0078577F">
      <w:pPr>
        <w:pStyle w:val="ListBullet2"/>
      </w:pPr>
      <w:r w:rsidRPr="0078577F">
        <w:t xml:space="preserve">demonstration of skills </w:t>
      </w:r>
    </w:p>
    <w:p w:rsidR="00000000" w:rsidRPr="0078577F" w:rsidP="0078577F">
      <w:pPr>
        <w:pStyle w:val="ListBullet2"/>
      </w:pPr>
      <w:r w:rsidRPr="0078577F">
        <w:t xml:space="preserve">industry-based case studies/scenarios </w:t>
      </w:r>
    </w:p>
    <w:p w:rsidR="00000000" w:rsidRPr="0078577F" w:rsidP="0078577F">
      <w:pPr>
        <w:pStyle w:val="ListBullet2"/>
      </w:pPr>
      <w:r w:rsidRPr="0078577F">
        <w:t>‘what ifs’.</w:t>
      </w:r>
    </w:p>
    <w:p w:rsidR="00000000" w:rsidRPr="0078577F" w:rsidP="0078577F">
      <w:pPr>
        <w:pStyle w:val="ListBullet"/>
      </w:pPr>
      <w:r w:rsidRPr="0078577F">
        <w:t>Knowledge evidence ma</w:t>
      </w:r>
      <w:r w:rsidRPr="0078577F">
        <w:t>y be collected concurrently with performance evidence (provided a record is kept) or through an independent process, such as workbooks, written assessments or interviews (provided a record is kept).</w:t>
      </w:r>
    </w:p>
    <w:p w:rsidR="00000000" w:rsidRPr="0078577F" w:rsidP="0078577F">
      <w:pPr>
        <w:pStyle w:val="ListBullet"/>
      </w:pPr>
      <w:r w:rsidRPr="0078577F">
        <w:t>Assessment processes and techniques must be appropriate to the language, literacy and numeracy requirements of the work being performed and the needs of the candidate.</w:t>
      </w:r>
    </w:p>
    <w:p w:rsidR="00000000" w:rsidRPr="0078577F" w:rsidP="0078577F">
      <w:pPr>
        <w:pStyle w:val="ListBullet"/>
      </w:pPr>
      <w:r w:rsidRPr="0078577F">
        <w:t>Conditions for assessment must include access to all tools, equipment, materials and doc</w:t>
      </w:r>
      <w:r w:rsidRPr="0078577F">
        <w:t>umentation required, including relevant workplace procedures, product and manufacturing specifications associated with this unit.</w:t>
      </w:r>
    </w:p>
    <w:p w:rsidR="00000000" w:rsidRPr="0078577F" w:rsidP="0078577F">
      <w:pPr>
        <w:pStyle w:val="ListBullet"/>
      </w:pPr>
      <w:r w:rsidRPr="0078577F">
        <w:t>The regulatory framework will be reflected in workplace policies and procedures and is not required to be independently assess</w:t>
      </w:r>
      <w:r w:rsidRPr="0078577F">
        <w:t>ed.</w:t>
      </w:r>
    </w:p>
    <w:p w:rsidR="00000000" w:rsidRPr="0078577F" w:rsidP="0078577F">
      <w:pPr>
        <w:pStyle w:val="ListBullet"/>
      </w:pPr>
      <w:r w:rsidRPr="0078577F">
        <w:t>Foundation skills are integral to competent performance of the unit and should not be assessed separately.</w:t>
      </w:r>
    </w:p>
    <w:p w:rsidR="00000000" w:rsidRPr="0078577F" w:rsidP="0078577F">
      <w:pPr>
        <w:pStyle w:val="ListBullet"/>
      </w:pPr>
      <w:r w:rsidRPr="0078577F">
        <w:t>As a minimum, assessors must satisfy the Standards for Registered Training Organisations 2015 assessor requirements.</w:t>
      </w:r>
    </w:p>
    <w:p w:rsidR="00000000" w:rsidRPr="0078577F" w:rsidP="0078577F">
      <w:pPr>
        <w:pStyle w:val="AllowPageBreak"/>
      </w:pPr>
    </w:p>
    <w:p w:rsidR="00000000" w:rsidRPr="0078577F" w:rsidP="0078577F">
      <w:pPr>
        <w:pStyle w:val="Heading1"/>
      </w:pPr>
      <w:bookmarkStart w:id="5" w:name="O_871878"/>
      <w:bookmarkEnd w:id="5"/>
      <w:r w:rsidRPr="0078577F">
        <w:t>Links</w:t>
      </w:r>
    </w:p>
    <w:p w:rsidR="00000000" w:rsidRPr="0078577F" w:rsidP="00B17121">
      <w:pPr>
        <w:pStyle w:val="BodyText"/>
      </w:pPr>
      <w:r w:rsidRPr="0078577F">
        <w:t>Compa</w:t>
      </w:r>
      <w:r w:rsidRPr="0078577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86BA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8577F" w:rsidP="0078577F"/>
    <w:sectPr w:rsidSect="007857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7F" w:rsidRPr="00B17121" w:rsidP="00B17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21" w:rsidP="00785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121" w:rsidP="00785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7121" w:rsidP="00785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77F" w:rsidRPr="00B17121" w:rsidP="00B17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21" w:rsidRPr="002D2AF8" w:rsidP="00785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MSMSUP292 Sample and test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17121" w:rsidP="00785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BC2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D61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0A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77F"/>
  </w:style>
  <w:style w:type="character" w:customStyle="1" w:styleId="Heading1Char">
    <w:name w:val="Heading 1 Char"/>
    <w:basedOn w:val="DefaultParagraphFont"/>
    <w:link w:val="Heading1"/>
    <w:rsid w:val="00785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7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7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7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7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77F"/>
    <w:rPr>
      <w:b/>
      <w:spacing w:val="0"/>
    </w:rPr>
  </w:style>
  <w:style w:type="paragraph" w:customStyle="1" w:styleId="SuperTitle">
    <w:name w:val="SuperTitle"/>
    <w:basedOn w:val="Title"/>
    <w:rsid w:val="00785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77F"/>
    <w:rPr>
      <w:i/>
    </w:rPr>
  </w:style>
  <w:style w:type="paragraph" w:styleId="Caption">
    <w:name w:val="caption"/>
    <w:basedOn w:val="BodyText"/>
    <w:next w:val="Normal"/>
    <w:qFormat/>
    <w:rsid w:val="00785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77F"/>
  </w:style>
  <w:style w:type="paragraph" w:styleId="TableofFigures">
    <w:name w:val="table of figures"/>
    <w:basedOn w:val="Normal"/>
    <w:next w:val="Normal"/>
    <w:semiHidden/>
    <w:rsid w:val="00785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7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77F"/>
    <w:rPr>
      <w:rFonts w:ascii="Wingdings" w:hAnsi="Wingdings"/>
    </w:rPr>
  </w:style>
  <w:style w:type="paragraph" w:customStyle="1" w:styleId="TableHeading">
    <w:name w:val="Table Heading"/>
    <w:basedOn w:val="HeadingBase"/>
    <w:rsid w:val="00785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77F"/>
    <w:rPr>
      <w:color w:val="0033CC"/>
      <w:u w:val="none"/>
    </w:rPr>
  </w:style>
  <w:style w:type="paragraph" w:customStyle="1" w:styleId="BodyTextRight">
    <w:name w:val="Body Text Right"/>
    <w:basedOn w:val="BodyText"/>
    <w:rsid w:val="00785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7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77F"/>
    <w:rPr>
      <w:sz w:val="32"/>
    </w:rPr>
  </w:style>
  <w:style w:type="paragraph" w:customStyle="1" w:styleId="HeadingProcedure">
    <w:name w:val="Heading Procedure"/>
    <w:basedOn w:val="HeadingBase"/>
    <w:next w:val="Normal"/>
    <w:rsid w:val="00785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77F"/>
    <w:pPr>
      <w:spacing w:before="60" w:after="60"/>
    </w:pPr>
  </w:style>
  <w:style w:type="paragraph" w:styleId="ListContinue">
    <w:name w:val="List Continue"/>
    <w:basedOn w:val="List"/>
    <w:rsid w:val="0078577F"/>
    <w:pPr>
      <w:ind w:firstLine="0"/>
    </w:pPr>
  </w:style>
  <w:style w:type="paragraph" w:customStyle="1" w:styleId="ListNote">
    <w:name w:val="List Note"/>
    <w:basedOn w:val="List"/>
    <w:rsid w:val="00785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77F"/>
    <w:rPr>
      <w:rFonts w:ascii="Courier New" w:hAnsi="Courier New"/>
    </w:rPr>
  </w:style>
  <w:style w:type="paragraph" w:customStyle="1" w:styleId="NoteBullet">
    <w:name w:val="Note Bullet"/>
    <w:basedOn w:val="Note"/>
    <w:rsid w:val="00785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7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77F"/>
    <w:rPr>
      <w:b/>
      <w:smallCaps/>
    </w:rPr>
  </w:style>
  <w:style w:type="paragraph" w:customStyle="1" w:styleId="TableListNumber">
    <w:name w:val="Table List Number"/>
    <w:basedOn w:val="ListNumber"/>
    <w:rsid w:val="00785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77F"/>
    <w:pPr>
      <w:numPr>
        <w:numId w:val="9"/>
      </w:numPr>
    </w:pPr>
  </w:style>
  <w:style w:type="paragraph" w:customStyle="1" w:styleId="ListAlpha2">
    <w:name w:val="List Alpha 2"/>
    <w:basedOn w:val="List2"/>
    <w:rsid w:val="0078577F"/>
    <w:pPr>
      <w:numPr>
        <w:numId w:val="8"/>
      </w:numPr>
    </w:pPr>
  </w:style>
  <w:style w:type="paragraph" w:styleId="List2">
    <w:name w:val="List 2"/>
    <w:basedOn w:val="BodyText"/>
    <w:rsid w:val="00785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7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7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77F"/>
    <w:pPr>
      <w:numPr>
        <w:numId w:val="4"/>
      </w:numPr>
    </w:pPr>
  </w:style>
  <w:style w:type="paragraph" w:styleId="ListContinue2">
    <w:name w:val="List Continue 2"/>
    <w:basedOn w:val="List2"/>
    <w:rsid w:val="0078577F"/>
    <w:pPr>
      <w:ind w:firstLine="0"/>
    </w:pPr>
  </w:style>
  <w:style w:type="paragraph" w:styleId="ListContinue3">
    <w:name w:val="List Continue 3"/>
    <w:basedOn w:val="List3"/>
    <w:rsid w:val="0078577F"/>
    <w:pPr>
      <w:ind w:left="1021" w:firstLine="0"/>
    </w:pPr>
  </w:style>
  <w:style w:type="paragraph" w:styleId="ListContinue4">
    <w:name w:val="List Continue 4"/>
    <w:basedOn w:val="List4"/>
    <w:rsid w:val="0078577F"/>
    <w:pPr>
      <w:ind w:firstLine="0"/>
    </w:pPr>
  </w:style>
  <w:style w:type="paragraph" w:styleId="ListContinue5">
    <w:name w:val="List Continue 5"/>
    <w:basedOn w:val="List5"/>
    <w:rsid w:val="0078577F"/>
    <w:pPr>
      <w:ind w:firstLine="0"/>
    </w:pPr>
  </w:style>
  <w:style w:type="paragraph" w:styleId="ListNumber3">
    <w:name w:val="List Number 3"/>
    <w:basedOn w:val="List3"/>
    <w:rsid w:val="0078577F"/>
    <w:pPr>
      <w:numPr>
        <w:numId w:val="5"/>
      </w:numPr>
    </w:pPr>
  </w:style>
  <w:style w:type="paragraph" w:styleId="ListNumber4">
    <w:name w:val="List Number 4"/>
    <w:basedOn w:val="List4"/>
    <w:rsid w:val="0078577F"/>
    <w:pPr>
      <w:numPr>
        <w:numId w:val="6"/>
      </w:numPr>
    </w:pPr>
  </w:style>
  <w:style w:type="paragraph" w:styleId="ListNumber5">
    <w:name w:val="List Number 5"/>
    <w:basedOn w:val="List5"/>
    <w:rsid w:val="0078577F"/>
    <w:pPr>
      <w:numPr>
        <w:numId w:val="7"/>
      </w:numPr>
    </w:pPr>
  </w:style>
  <w:style w:type="paragraph" w:styleId="BlockText">
    <w:name w:val="Block Text"/>
    <w:basedOn w:val="Normal"/>
    <w:rsid w:val="00785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77F"/>
    <w:rPr>
      <w:sz w:val="16"/>
      <w:vertAlign w:val="superscript"/>
    </w:rPr>
  </w:style>
  <w:style w:type="character" w:customStyle="1" w:styleId="Symbols">
    <w:name w:val="Symbols"/>
    <w:basedOn w:val="DefaultParagraphFont"/>
    <w:rsid w:val="0078577F"/>
    <w:rPr>
      <w:rFonts w:ascii="Symbol" w:hAnsi="Symbol"/>
    </w:rPr>
  </w:style>
  <w:style w:type="character" w:customStyle="1" w:styleId="MenuOptions">
    <w:name w:val="Menu Options"/>
    <w:basedOn w:val="DefaultParagraphFont"/>
    <w:rsid w:val="00785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77F"/>
    <w:rPr>
      <w:b/>
    </w:rPr>
  </w:style>
  <w:style w:type="character" w:customStyle="1" w:styleId="Underlined">
    <w:name w:val="Underlined"/>
    <w:basedOn w:val="DefaultParagraphFont"/>
    <w:rsid w:val="0078577F"/>
    <w:rPr>
      <w:u w:val="single"/>
    </w:rPr>
  </w:style>
  <w:style w:type="paragraph" w:customStyle="1" w:styleId="TableBodyTextRight">
    <w:name w:val="Table Body Text Right"/>
    <w:basedOn w:val="TableBodyText"/>
    <w:rsid w:val="00785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77F"/>
    <w:rPr>
      <w:sz w:val="18"/>
    </w:rPr>
  </w:style>
  <w:style w:type="paragraph" w:customStyle="1" w:styleId="BodySmallRight">
    <w:name w:val="Body Small Right"/>
    <w:basedOn w:val="BodyTextRight"/>
    <w:rsid w:val="0078577F"/>
    <w:rPr>
      <w:sz w:val="18"/>
      <w:szCs w:val="18"/>
    </w:rPr>
  </w:style>
  <w:style w:type="paragraph" w:customStyle="1" w:styleId="MarginEdition">
    <w:name w:val="Margin Edition"/>
    <w:basedOn w:val="MarginNote"/>
    <w:rsid w:val="00785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77F"/>
    <w:rPr>
      <w:sz w:val="2"/>
      <w:szCs w:val="2"/>
    </w:rPr>
  </w:style>
  <w:style w:type="character" w:customStyle="1" w:styleId="Small">
    <w:name w:val="Small"/>
    <w:basedOn w:val="DefaultParagraphFont"/>
    <w:rsid w:val="0078577F"/>
    <w:rPr>
      <w:sz w:val="16"/>
    </w:rPr>
  </w:style>
  <w:style w:type="paragraph" w:customStyle="1" w:styleId="WideTable">
    <w:name w:val="Wide Table"/>
    <w:basedOn w:val="Normal"/>
    <w:rsid w:val="00785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77F"/>
  </w:style>
  <w:style w:type="paragraph" w:styleId="Quote">
    <w:name w:val="Quote"/>
    <w:basedOn w:val="Heading1"/>
    <w:link w:val="QuoteChar"/>
    <w:qFormat/>
    <w:rsid w:val="00785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77F"/>
    <w:pPr>
      <w:pageBreakBefore/>
    </w:pPr>
  </w:style>
  <w:style w:type="paragraph" w:customStyle="1" w:styleId="Border">
    <w:name w:val="Border"/>
    <w:basedOn w:val="Normal"/>
    <w:qFormat/>
    <w:rsid w:val="00785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77F"/>
    <w:rPr>
      <w:u w:val="single"/>
    </w:rPr>
  </w:style>
  <w:style w:type="character" w:customStyle="1" w:styleId="BoldandItalics">
    <w:name w:val="Bold and Italics"/>
    <w:qFormat/>
    <w:rsid w:val="0078577F"/>
    <w:rPr>
      <w:b/>
      <w:i/>
      <w:u w:val="none"/>
    </w:rPr>
  </w:style>
  <w:style w:type="paragraph" w:styleId="BalloonText">
    <w:name w:val="Balloon Text"/>
    <w:basedOn w:val="Normal"/>
    <w:link w:val="BalloonTextChar"/>
    <w:rsid w:val="00785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77F"/>
    <w:pPr>
      <w:spacing w:before="0" w:after="0"/>
    </w:pPr>
  </w:style>
  <w:style w:type="paragraph" w:customStyle="1" w:styleId="BodyTextBold">
    <w:name w:val="Body Text Bold"/>
    <w:basedOn w:val="BodyText"/>
    <w:qFormat/>
    <w:rsid w:val="0078577F"/>
    <w:rPr>
      <w:b/>
    </w:rPr>
  </w:style>
  <w:style w:type="character" w:styleId="Hyperlink">
    <w:name w:val="Hyperlink"/>
    <w:basedOn w:val="DefaultParagraphFont"/>
    <w:uiPriority w:val="99"/>
    <w:unhideWhenUsed/>
    <w:rsid w:val="00B17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3519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MSMSUP292 Sample and test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