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B42" w:rsidP="00246B42">
      <w:pPr>
        <w:pStyle w:val="Title"/>
      </w:pPr>
      <w:r>
        <w:fldChar w:fldCharType="begin"/>
      </w:r>
      <w:r>
        <w:instrText xml:space="preserve"> TITLE   \* MERGEFORMAT </w:instrText>
      </w:r>
      <w:r>
        <w:fldChar w:fldCharType="separate"/>
      </w:r>
      <w:r>
        <w:t>MSMSUP230 Monitor process operations</w:t>
      </w:r>
      <w:r>
        <w:fldChar w:fldCharType="end"/>
      </w:r>
    </w:p>
    <w:p w:rsidR="00246B42" w:rsidP="00246B42">
      <w:pPr>
        <w:pStyle w:val="Version"/>
        <w:sectPr w:rsidSect="00FC3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B91" w:rsidP="00FC3B91">
      <w:pPr>
        <w:pStyle w:val="SuperHeading"/>
      </w:pPr>
      <w:r w:rsidRPr="00FC3B91">
        <w:t>MSMSUP230 Monitor process operations</w:t>
      </w:r>
    </w:p>
    <w:p w:rsidR="00000000" w:rsidRPr="00FC3B91" w:rsidP="00FC3B91">
      <w:pPr>
        <w:pStyle w:val="Heading1"/>
      </w:pPr>
      <w:bookmarkStart w:id="1" w:name="O_871807"/>
      <w:bookmarkEnd w:id="1"/>
      <w:r w:rsidRPr="00FC3B91">
        <w:t>Modification History</w:t>
      </w:r>
    </w:p>
    <w:p w:rsidR="00000000" w:rsidRPr="00FC3B91" w:rsidP="00246B42">
      <w:pPr>
        <w:pStyle w:val="BodyText"/>
      </w:pPr>
      <w:r w:rsidRPr="00FC3B91">
        <w:t>Release 1. Supersedes and is equivalent to MSAPMSUP230A Monitor process operations</w:t>
      </w:r>
    </w:p>
    <w:p w:rsidR="00000000" w:rsidRPr="00FC3B91" w:rsidP="00FC3B91">
      <w:pPr>
        <w:pStyle w:val="Heading1"/>
      </w:pPr>
      <w:bookmarkStart w:id="2" w:name="O_871815"/>
      <w:bookmarkEnd w:id="2"/>
      <w:r w:rsidRPr="00FC3B91">
        <w:t>Application</w:t>
      </w:r>
    </w:p>
    <w:p w:rsidR="00000000" w:rsidRPr="00FC3B91" w:rsidP="00246B42">
      <w:pPr>
        <w:pStyle w:val="BodyText"/>
      </w:pPr>
      <w:r w:rsidRPr="00FC3B91">
        <w:t>This unit of competency covers the skills and knowledge required to monitor production processing equipment and take approp</w:t>
      </w:r>
      <w:r w:rsidRPr="00FC3B91">
        <w:t>riate action.</w:t>
      </w:r>
    </w:p>
    <w:p w:rsidR="00000000" w:rsidRPr="00FC3B91" w:rsidP="00246B42">
      <w:pPr>
        <w:pStyle w:val="BodyText"/>
      </w:pPr>
      <w:r w:rsidRPr="00FC3B91">
        <w:t xml:space="preserve">This unit of competency applies to operators who are required to identify the job requirements, monitor production processing equipment, monitor the job to maintain safety and quality, and identify and take action on problems. </w:t>
      </w:r>
    </w:p>
    <w:p w:rsidR="00000000" w:rsidRPr="00FC3B91" w:rsidP="00246B42">
      <w:pPr>
        <w:pStyle w:val="BodyText"/>
      </w:pPr>
      <w:r w:rsidRPr="00FC3B91">
        <w:t>This unit of</w:t>
      </w:r>
      <w:r w:rsidRPr="00FC3B91">
        <w:t xml:space="preserve"> competency applies to an individual working alone or as part of a team or group and working in liaison with other shift team members and the control room operator, as appropriate.</w:t>
      </w:r>
    </w:p>
    <w:p w:rsidR="00000000" w:rsidRPr="00FC3B91" w:rsidP="00246B42">
      <w:pPr>
        <w:pStyle w:val="BodyText"/>
      </w:pPr>
      <w:r w:rsidRPr="00FC3B91">
        <w:t>This competency applies to the monitoring of various forms of production e</w:t>
      </w:r>
      <w:r w:rsidRPr="00FC3B91">
        <w:t>quipment in all work environments and sectors within the process manufacturing industry. It includes the monitoring of all ancillary tools and equipment.</w:t>
      </w:r>
    </w:p>
    <w:p w:rsidR="00000000" w:rsidRPr="00FC3B91" w:rsidP="00246B42">
      <w:pPr>
        <w:pStyle w:val="BodyText"/>
      </w:pPr>
      <w:r w:rsidRPr="00FC3B91">
        <w:t xml:space="preserve">Where operation of the equipment is required, the appropriate operational unit from MSM, PMA, PMB or </w:t>
      </w:r>
      <w:r w:rsidRPr="00FC3B91">
        <w:t>PMC should be used.</w:t>
      </w:r>
    </w:p>
    <w:p w:rsidR="00000000" w:rsidRPr="00FC3B91" w:rsidP="00246B42">
      <w:pPr>
        <w:pStyle w:val="BodyText"/>
      </w:pPr>
      <w:r w:rsidRPr="00FC3B91">
        <w:t>No licensing, legislative or certification requirements apply to this unit at the time of publication.</w:t>
      </w:r>
    </w:p>
    <w:p w:rsidR="00000000" w:rsidRPr="00FC3B91" w:rsidP="00FC3B91">
      <w:pPr>
        <w:pStyle w:val="Heading1"/>
      </w:pPr>
      <w:bookmarkStart w:id="3" w:name="O_871814"/>
      <w:bookmarkEnd w:id="3"/>
      <w:r w:rsidRPr="00FC3B91">
        <w:t>Pre-requisite Unit</w:t>
      </w:r>
    </w:p>
    <w:p w:rsidR="00000000" w:rsidRPr="00FC3B91" w:rsidP="00246B42">
      <w:pPr>
        <w:pStyle w:val="BodyText"/>
      </w:pPr>
      <w:r w:rsidRPr="00FC3B91">
        <w:t>Nil</w:t>
      </w:r>
    </w:p>
    <w:p w:rsidR="00000000" w:rsidRPr="00FC3B91" w:rsidP="00FC3B91">
      <w:pPr>
        <w:pStyle w:val="Heading1"/>
      </w:pPr>
      <w:bookmarkStart w:id="4" w:name="O_871813"/>
      <w:bookmarkEnd w:id="4"/>
      <w:r w:rsidRPr="00FC3B91">
        <w:t>Competency Field</w:t>
      </w:r>
    </w:p>
    <w:p w:rsidR="00000000" w:rsidRPr="00FC3B91" w:rsidP="00246B42">
      <w:pPr>
        <w:pStyle w:val="BodyText"/>
      </w:pPr>
      <w:r w:rsidRPr="00FC3B91">
        <w:t>Support</w:t>
      </w:r>
    </w:p>
    <w:p w:rsidR="00000000" w:rsidRPr="00FC3B91" w:rsidP="00FC3B91">
      <w:pPr>
        <w:pStyle w:val="Heading1"/>
      </w:pPr>
      <w:bookmarkStart w:id="5" w:name="O_871812"/>
      <w:bookmarkEnd w:id="5"/>
      <w:r w:rsidRPr="00FC3B91">
        <w:t>Unit Sector</w:t>
      </w:r>
    </w:p>
    <w:p w:rsidR="00000000" w:rsidRPr="00FC3B91" w:rsidP="00FC3B91">
      <w:pPr>
        <w:pStyle w:val="Heading1"/>
      </w:pPr>
      <w:bookmarkStart w:id="6" w:name="O_871811"/>
      <w:bookmarkEnd w:id="6"/>
      <w:r w:rsidRPr="00FC3B91">
        <w:t>Eleme</w:t>
      </w:r>
      <w:r w:rsidRPr="00FC3B91">
        <w:t>nts and Performance Criteria</w:t>
      </w:r>
    </w:p>
    <w:tbl>
      <w:tblPr>
        <w:tblW w:w="0" w:type="auto"/>
        <w:tblLayout w:type="fixed"/>
        <w:tblCellMar>
          <w:left w:w="62" w:type="dxa"/>
          <w:right w:w="62" w:type="dxa"/>
        </w:tblCellMar>
        <w:tblLook w:val="0000"/>
      </w:tblPr>
      <w:tblGrid>
        <w:gridCol w:w="678"/>
        <w:gridCol w:w="1962"/>
        <w:gridCol w:w="770"/>
        <w:gridCol w:w="5610"/>
      </w:tblGrid>
      <w:tr w:rsidTr="00FC3B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Performance criteria describe the performance needed to demonstrate achievement of the element</w:t>
            </w:r>
          </w:p>
        </w:tc>
      </w:tr>
      <w:tr w:rsidTr="00FC3B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C3B91">
            <w:pPr>
              <w:pStyle w:val="BodyText"/>
              <w:rPr>
                <w:lang w:val="en-NZ"/>
              </w:rPr>
            </w:pP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w:t>
            </w:r>
          </w:p>
        </w:tc>
        <w:tc>
          <w:tcPr>
            <w:tcW w:w="1962" w:type="dxa"/>
            <w:vMerge w:val="restart"/>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scope of work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1.1</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own work requirements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1.2</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Check procedures to identify operating parameters and approved adjustments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1.3</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Establish actions to be used in the event of faulty production</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1.4</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procedures for obtaining materials for the process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1.5</w:t>
            </w:r>
          </w:p>
        </w:tc>
        <w:tc>
          <w:tcPr>
            <w:tcW w:w="5610" w:type="dxa"/>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Identify hazards and environmental issues relevant to own job</w:t>
            </w:r>
          </w:p>
        </w:tc>
      </w:tr>
    </w:tbl>
    <w:p w:rsidR="00000000" w:rsidRPr="00FC3B91" w:rsidP="00FC3B91">
      <w:pPr>
        <w:pStyle w:val="BodyText"/>
      </w:pPr>
    </w:p>
    <w:tbl>
      <w:tblPr>
        <w:tblW w:w="0" w:type="auto"/>
        <w:tblLayout w:type="fixed"/>
        <w:tblCellMar>
          <w:left w:w="62" w:type="dxa"/>
          <w:right w:w="62" w:type="dxa"/>
        </w:tblCellMar>
        <w:tblLook w:val="0000"/>
      </w:tblPr>
      <w:tblGrid>
        <w:gridCol w:w="678"/>
        <w:gridCol w:w="1962"/>
        <w:gridCol w:w="770"/>
        <w:gridCol w:w="5610"/>
      </w:tblGrid>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w:t>
            </w:r>
          </w:p>
        </w:tc>
        <w:tc>
          <w:tcPr>
            <w:tcW w:w="1962" w:type="dxa"/>
            <w:vMerge w:val="restart"/>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Get ready for work/job</w:t>
            </w: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2.1</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Assemble ancillary tools and equipment</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2.2</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inspection procedures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2.3</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any finishing activities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2.4</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and implement hazard controls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2.5</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Establish the location and function of equipment emergency stops and ensure guards are in place</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2.6</w:t>
            </w:r>
          </w:p>
        </w:tc>
        <w:tc>
          <w:tcPr>
            <w:tcW w:w="5610" w:type="dxa"/>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Identify and note requirements for checking materials inputs and outputs; ancillary supplies and equipment; and product quality requirements for the relevant process stage</w:t>
            </w:r>
          </w:p>
        </w:tc>
      </w:tr>
    </w:tbl>
    <w:p w:rsidR="00000000" w:rsidRPr="00FC3B91" w:rsidP="00FC3B91">
      <w:pPr>
        <w:pStyle w:val="BodyText"/>
      </w:pPr>
    </w:p>
    <w:tbl>
      <w:tblPr>
        <w:tblW w:w="0" w:type="auto"/>
        <w:tblLayout w:type="fixed"/>
        <w:tblCellMar>
          <w:left w:w="62" w:type="dxa"/>
          <w:right w:w="62" w:type="dxa"/>
        </w:tblCellMar>
        <w:tblLook w:val="0000"/>
      </w:tblPr>
      <w:tblGrid>
        <w:gridCol w:w="678"/>
        <w:gridCol w:w="1962"/>
        <w:gridCol w:w="770"/>
        <w:gridCol w:w="5610"/>
      </w:tblGrid>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w:t>
            </w:r>
          </w:p>
        </w:tc>
        <w:tc>
          <w:tcPr>
            <w:tcW w:w="1962" w:type="dxa"/>
            <w:vMerge w:val="restart"/>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Maintain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3.1</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 xml:space="preserve">Check process operations, </w:t>
            </w:r>
            <w:r w:rsidRPr="00FC3B91">
              <w:t>noting product quality, production outputs and waste</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3.2</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Check product for conformity to specification, make adjustments to the equipment, where appropriate, and store product</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3.3</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Collect material which is able to be reprocessed and reused, and deal with waste and scrap</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3.4</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Use the quality control system</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3.5</w:t>
            </w:r>
          </w:p>
        </w:tc>
        <w:tc>
          <w:tcPr>
            <w:tcW w:w="5610" w:type="dxa"/>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Clean up equipment and work area and manage waste.</w:t>
            </w:r>
          </w:p>
        </w:tc>
      </w:tr>
    </w:tbl>
    <w:p w:rsidR="00000000" w:rsidRPr="00FC3B91" w:rsidP="00FC3B91">
      <w:pPr>
        <w:pStyle w:val="BodyText"/>
      </w:pPr>
    </w:p>
    <w:tbl>
      <w:tblPr>
        <w:tblW w:w="0" w:type="auto"/>
        <w:tblLayout w:type="fixed"/>
        <w:tblCellMar>
          <w:left w:w="62" w:type="dxa"/>
          <w:right w:w="62" w:type="dxa"/>
        </w:tblCellMar>
        <w:tblLook w:val="0000"/>
      </w:tblPr>
      <w:tblGrid>
        <w:gridCol w:w="678"/>
        <w:gridCol w:w="1962"/>
        <w:gridCol w:w="770"/>
        <w:gridCol w:w="5610"/>
      </w:tblGrid>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4</w:t>
            </w:r>
          </w:p>
        </w:tc>
        <w:tc>
          <w:tcPr>
            <w:tcW w:w="1962" w:type="dxa"/>
            <w:vMerge w:val="restart"/>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Identify product quality requirements</w:t>
            </w: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4.1</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Monitor process and note conditions which may affect product quality standards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4.2</w:t>
            </w:r>
          </w:p>
        </w:tc>
        <w:tc>
          <w:tcPr>
            <w:tcW w:w="561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Report process variations within workplace procedures</w:t>
            </w:r>
          </w:p>
        </w:tc>
      </w:tr>
      <w:tr w:rsidTr="00FC3B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4.3</w:t>
            </w:r>
          </w:p>
        </w:tc>
        <w:tc>
          <w:tcPr>
            <w:tcW w:w="5610" w:type="dxa"/>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Note and implement authorised changes in procedures and specifications</w:t>
            </w:r>
          </w:p>
        </w:tc>
      </w:tr>
    </w:tbl>
    <w:p w:rsidR="00000000" w:rsidRPr="00FC3B91" w:rsidP="00FC3B91">
      <w:pPr>
        <w:pStyle w:val="BodyText"/>
      </w:pPr>
    </w:p>
    <w:p w:rsidR="00000000" w:rsidRPr="00FC3B91" w:rsidP="00FC3B91">
      <w:pPr>
        <w:pStyle w:val="AllowPageBreak"/>
      </w:pPr>
    </w:p>
    <w:p w:rsidR="00000000" w:rsidRPr="00FC3B91" w:rsidP="00FC3B91">
      <w:pPr>
        <w:pStyle w:val="Heading1"/>
      </w:pPr>
      <w:bookmarkStart w:id="7" w:name="O_871810"/>
      <w:bookmarkEnd w:id="7"/>
      <w:r w:rsidRPr="00FC3B91">
        <w:t>Foundation Skills</w:t>
      </w:r>
    </w:p>
    <w:p w:rsidR="00000000" w:rsidRPr="00FC3B91" w:rsidP="00246B42">
      <w:pPr>
        <w:pStyle w:val="BodyText"/>
      </w:pPr>
      <w:r w:rsidRPr="00FC3B91">
        <w:t>This section describes those language, literacy, numeracy and employment skills that are essential to performance.</w:t>
      </w:r>
    </w:p>
    <w:p w:rsidR="00000000" w:rsidRPr="00FC3B91" w:rsidP="00246B42">
      <w:pPr>
        <w:pStyle w:val="BodyText"/>
      </w:pPr>
      <w:r w:rsidRPr="00FC3B91">
        <w:t>Foundation skills essential to performance are explicit in the performance criteria of this unit of competency.</w:t>
      </w:r>
    </w:p>
    <w:p w:rsidR="00000000" w:rsidRPr="00FC3B91" w:rsidP="00FC3B91">
      <w:pPr>
        <w:pStyle w:val="Heading1"/>
      </w:pPr>
      <w:bookmarkStart w:id="8" w:name="O_871809"/>
      <w:bookmarkEnd w:id="8"/>
      <w:r w:rsidRPr="00FC3B91">
        <w:t>Range of Co</w:t>
      </w:r>
      <w:r w:rsidRPr="00FC3B91">
        <w:t>nditions</w:t>
      </w:r>
    </w:p>
    <w:tbl>
      <w:tblPr>
        <w:tblW w:w="0" w:type="auto"/>
        <w:tblCellMar>
          <w:left w:w="62" w:type="dxa"/>
          <w:right w:w="62" w:type="dxa"/>
        </w:tblCellMar>
        <w:tblLook w:val="0000"/>
      </w:tblPr>
      <w:tblGrid>
        <w:gridCol w:w="2572"/>
        <w:gridCol w:w="6624"/>
      </w:tblGrid>
      <w:tr w:rsidTr="00246B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t>This field allows for different work environments and conditions that may affect performance. Essential operating conditions that may be present (depending on the work situation, needs of the candidate, accessibility of the item, and local industr</w:t>
            </w:r>
            <w:r w:rsidRPr="00FC3B91">
              <w:t>y and regional contexts) are included.</w:t>
            </w:r>
          </w:p>
        </w:tc>
      </w:tr>
      <w:tr w:rsidTr="00246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Tools and equipment include one or more of the following:</w:t>
            </w:r>
          </w:p>
          <w:p w:rsidR="00000000" w:rsidRPr="00FC3B91" w:rsidP="00FC3B91">
            <w:pPr>
              <w:pStyle w:val="ListBullet"/>
            </w:pPr>
            <w:r w:rsidRPr="00FC3B91">
              <w:t xml:space="preserve">hand carts and trolleys </w:t>
            </w:r>
          </w:p>
          <w:p w:rsidR="00000000" w:rsidRPr="00FC3B91" w:rsidP="00FC3B91">
            <w:pPr>
              <w:pStyle w:val="ListBullet"/>
            </w:pPr>
            <w:r w:rsidRPr="00FC3B91">
              <w:t>knives and other bag opening equipment</w:t>
            </w:r>
          </w:p>
          <w:p w:rsidR="00000000" w:rsidRPr="00FC3B91" w:rsidP="00FC3B91">
            <w:pPr>
              <w:pStyle w:val="ListBullet"/>
            </w:pPr>
            <w:r w:rsidRPr="00FC3B91">
              <w:t>hoists/lifting equipment not requiring any special permits or licences</w:t>
            </w:r>
          </w:p>
          <w:p w:rsidR="00000000" w:rsidRPr="00FC3B91" w:rsidP="00FC3B91">
            <w:pPr>
              <w:pStyle w:val="ListBullet"/>
            </w:pPr>
            <w:r w:rsidRPr="00FC3B91">
              <w:t>basic hand tools required for opening of material packaging</w:t>
            </w:r>
          </w:p>
          <w:p w:rsidR="00000000" w:rsidRPr="00FC3B91" w:rsidP="00FC3B91">
            <w:pPr>
              <w:pStyle w:val="ListBullet"/>
            </w:pPr>
            <w:r w:rsidRPr="00FC3B91">
              <w:t>relevant personal protective equipment (PPE)</w:t>
            </w:r>
          </w:p>
          <w:p w:rsidR="00000000" w:rsidP="00FC3B91">
            <w:pPr>
              <w:pStyle w:val="BodyText"/>
              <w:rPr>
                <w:lang w:val="en-NZ"/>
              </w:rPr>
            </w:pPr>
          </w:p>
        </w:tc>
      </w:tr>
      <w:tr w:rsidTr="00246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Hazards include one or more of the following:</w:t>
            </w:r>
          </w:p>
          <w:p w:rsidR="00000000" w:rsidRPr="00FC3B91" w:rsidP="00FC3B91">
            <w:pPr>
              <w:pStyle w:val="ListBullet"/>
            </w:pPr>
            <w:r w:rsidRPr="00FC3B91">
              <w:t>automated or rotating equipment</w:t>
            </w:r>
          </w:p>
          <w:p w:rsidR="00000000" w:rsidRPr="00FC3B91" w:rsidP="00FC3B91">
            <w:pPr>
              <w:pStyle w:val="ListBullet"/>
            </w:pPr>
            <w:r w:rsidRPr="00FC3B91">
              <w:t>manual handling hazards</w:t>
            </w:r>
          </w:p>
          <w:p w:rsidR="00000000" w:rsidRPr="00FC3B91" w:rsidP="00FC3B91">
            <w:pPr>
              <w:pStyle w:val="ListBullet"/>
            </w:pPr>
            <w:r w:rsidRPr="00FC3B91">
              <w:t>knife hazards</w:t>
            </w:r>
          </w:p>
          <w:p w:rsidR="00000000" w:rsidRPr="00FC3B91" w:rsidP="00FC3B91">
            <w:pPr>
              <w:pStyle w:val="ListBullet"/>
            </w:pPr>
            <w:r w:rsidRPr="00FC3B91">
              <w:t>equipment failures</w:t>
            </w:r>
          </w:p>
          <w:p w:rsidR="00000000" w:rsidRPr="00FC3B91" w:rsidP="00FC3B91">
            <w:pPr>
              <w:pStyle w:val="ListBullet"/>
            </w:pPr>
            <w:r w:rsidRPr="00FC3B91">
              <w:t>industrial (machinery, equipment and product)</w:t>
            </w:r>
          </w:p>
          <w:p w:rsidR="00000000" w:rsidRPr="00FC3B91" w:rsidP="00FC3B91">
            <w:pPr>
              <w:pStyle w:val="ListBullet"/>
            </w:pPr>
            <w:r w:rsidRPr="00FC3B91">
              <w:t>noise, rotational equipment or vibration</w:t>
            </w:r>
          </w:p>
          <w:p w:rsidR="00000000" w:rsidRPr="00FC3B91" w:rsidP="00FC3B91">
            <w:pPr>
              <w:pStyle w:val="ListBullet"/>
            </w:pPr>
            <w:r w:rsidRPr="00FC3B91">
              <w:t>hazardous products and materials</w:t>
            </w:r>
          </w:p>
          <w:p w:rsidR="00000000" w:rsidRPr="00FC3B91" w:rsidP="00FC3B91">
            <w:pPr>
              <w:pStyle w:val="ListBullet"/>
            </w:pPr>
            <w:r w:rsidRPr="00FC3B91">
              <w:t>unauthorised personnel</w:t>
            </w:r>
          </w:p>
          <w:p w:rsidR="00000000" w:rsidRPr="00FC3B91" w:rsidP="00FC3B91">
            <w:pPr>
              <w:pStyle w:val="ListBullet"/>
            </w:pPr>
            <w:r w:rsidRPr="00FC3B91">
              <w:t>sharp edges, protrusions or obstructions</w:t>
            </w:r>
          </w:p>
          <w:p w:rsidR="00000000" w:rsidRPr="00FC3B91" w:rsidP="00FC3B91">
            <w:pPr>
              <w:pStyle w:val="ListBullet"/>
            </w:pPr>
            <w:r w:rsidRPr="00FC3B91">
              <w:t>slippery surfaces, spills or leaks</w:t>
            </w:r>
          </w:p>
          <w:p w:rsidR="00000000" w:rsidRPr="00FC3B91" w:rsidP="00FC3B91">
            <w:pPr>
              <w:pStyle w:val="ListBullet"/>
            </w:pPr>
            <w:r w:rsidRPr="00FC3B91">
              <w:t>other hazards that might arise</w:t>
            </w:r>
          </w:p>
          <w:p w:rsidR="00000000" w:rsidP="00FC3B91">
            <w:pPr>
              <w:pStyle w:val="BodyText"/>
              <w:rPr>
                <w:lang w:val="en-NZ"/>
              </w:rPr>
            </w:pPr>
          </w:p>
        </w:tc>
      </w:tr>
      <w:tr w:rsidTr="00246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B91">
            <w:pPr>
              <w:pStyle w:val="BodyText"/>
              <w:rPr>
                <w:lang w:val="en-NZ"/>
              </w:rPr>
            </w:pPr>
            <w:r w:rsidRPr="00FC3B91">
              <w:rPr>
                <w:rStyle w:val="SpecialBold"/>
              </w:rPr>
              <w:t>Rout</w:t>
            </w:r>
            <w:r w:rsidRPr="00FC3B91">
              <w:rPr>
                <w:rStyle w:val="SpecialBold"/>
              </w:rPr>
              <w:t>ine problems</w:t>
            </w:r>
          </w:p>
        </w:tc>
        <w:tc>
          <w:tcPr>
            <w:tcW w:w="0" w:type="auto"/>
            <w:tcBorders>
              <w:top w:val="nil"/>
              <w:left w:val="nil"/>
              <w:bottom w:val="nil"/>
              <w:right w:val="nil"/>
            </w:tcBorders>
            <w:tcMar>
              <w:top w:w="0" w:type="dxa"/>
              <w:left w:w="62" w:type="dxa"/>
              <w:bottom w:w="0" w:type="dxa"/>
              <w:right w:w="62" w:type="dxa"/>
            </w:tcMar>
          </w:tcPr>
          <w:p w:rsidR="00000000" w:rsidRPr="00FC3B91" w:rsidP="00FC3B91">
            <w:pPr>
              <w:pStyle w:val="BodyText"/>
            </w:pPr>
            <w:r w:rsidRPr="00FC3B91">
              <w:t xml:space="preserve">Routine problems must be resolved by applying known solutions. </w:t>
            </w:r>
          </w:p>
          <w:p w:rsidR="00000000" w:rsidRPr="00FC3B91" w:rsidP="00FC3B91">
            <w:pPr>
              <w:pStyle w:val="BodyText"/>
            </w:pPr>
          </w:p>
          <w:p w:rsidR="00000000" w:rsidRPr="00FC3B91" w:rsidP="00FC3B91">
            <w:pPr>
              <w:pStyle w:val="BodyText"/>
            </w:pPr>
            <w:r w:rsidRPr="00FC3B91">
              <w:t>Routine problems are predictable and include one or more of the following:</w:t>
            </w:r>
          </w:p>
          <w:p w:rsidR="00000000" w:rsidRPr="00FC3B91" w:rsidP="00FC3B91">
            <w:pPr>
              <w:pStyle w:val="ListBullet"/>
            </w:pPr>
            <w:r w:rsidRPr="00FC3B91">
              <w:t>process problems, such as:</w:t>
            </w:r>
          </w:p>
          <w:p w:rsidR="00000000" w:rsidRPr="00FC3B91" w:rsidP="00FC3B91">
            <w:pPr>
              <w:pStyle w:val="ListBullet2"/>
            </w:pPr>
            <w:r w:rsidRPr="00FC3B91">
              <w:t>equipment malfunctions</w:t>
            </w:r>
          </w:p>
          <w:p w:rsidR="00000000" w:rsidRPr="00FC3B91" w:rsidP="00FC3B91">
            <w:pPr>
              <w:pStyle w:val="ListBullet2"/>
            </w:pPr>
            <w:r w:rsidRPr="00FC3B91">
              <w:t>product jamming or sticking</w:t>
            </w:r>
          </w:p>
          <w:p w:rsidR="00000000" w:rsidRPr="00FC3B91" w:rsidP="00FC3B91">
            <w:pPr>
              <w:pStyle w:val="ListBullet2"/>
            </w:pPr>
            <w:r w:rsidRPr="00FC3B91">
              <w:t>power failures</w:t>
            </w:r>
          </w:p>
          <w:p w:rsidR="00000000" w:rsidRPr="00FC3B91" w:rsidP="00FC3B91">
            <w:pPr>
              <w:pStyle w:val="ListBullet2"/>
            </w:pPr>
            <w:r w:rsidRPr="00FC3B91">
              <w:t>air, oil or lubricant difficulties</w:t>
            </w:r>
          </w:p>
          <w:p w:rsidR="00000000" w:rsidRPr="00FC3B91" w:rsidP="00FC3B91">
            <w:pPr>
              <w:pStyle w:val="ListBullet"/>
            </w:pPr>
            <w:r w:rsidRPr="00FC3B91">
              <w:t>product problems, such as:</w:t>
            </w:r>
          </w:p>
          <w:p w:rsidR="00000000" w:rsidRPr="00FC3B91" w:rsidP="00FC3B91">
            <w:pPr>
              <w:pStyle w:val="ListBullet2"/>
            </w:pPr>
            <w:r w:rsidRPr="00FC3B91">
              <w:t>variations in materials</w:t>
            </w:r>
          </w:p>
          <w:p w:rsidR="00000000" w:rsidRPr="00FC3B91" w:rsidP="00FC3B91">
            <w:pPr>
              <w:pStyle w:val="ListBullet2"/>
            </w:pPr>
            <w:r w:rsidRPr="00FC3B91">
              <w:t>contamination of materials</w:t>
            </w:r>
          </w:p>
          <w:p w:rsidR="00000000" w:rsidRPr="00FC3B91" w:rsidP="00FC3B91">
            <w:pPr>
              <w:pStyle w:val="ListBullet2"/>
            </w:pPr>
            <w:r w:rsidRPr="00FC3B91">
              <w:t>malformed or incomplete products</w:t>
            </w:r>
          </w:p>
          <w:p w:rsidR="00000000" w:rsidRPr="00FC3B91" w:rsidP="00FC3B91">
            <w:pPr>
              <w:pStyle w:val="BodyText"/>
            </w:pPr>
          </w:p>
          <w:p w:rsidR="00000000" w:rsidRPr="00FC3B91" w:rsidP="00FC3B91">
            <w:pPr>
              <w:pStyle w:val="BodyText"/>
            </w:pPr>
            <w:r w:rsidRPr="00FC3B91">
              <w:t>Known solutions are drawn from one or more of the following:</w:t>
            </w:r>
          </w:p>
          <w:p w:rsidR="00000000" w:rsidRPr="00FC3B91" w:rsidP="00FC3B91">
            <w:pPr>
              <w:pStyle w:val="ListBullet"/>
            </w:pPr>
            <w:r w:rsidRPr="00FC3B91">
              <w:t>procedures</w:t>
            </w:r>
          </w:p>
          <w:p w:rsidR="00000000" w:rsidRPr="00FC3B91" w:rsidP="00FC3B91">
            <w:pPr>
              <w:pStyle w:val="ListBullet"/>
            </w:pPr>
            <w:r w:rsidRPr="00FC3B91">
              <w:t>training</w:t>
            </w:r>
          </w:p>
          <w:p w:rsidR="00000000" w:rsidRPr="00FC3B91" w:rsidP="00FC3B91">
            <w:pPr>
              <w:pStyle w:val="ListBullet"/>
            </w:pPr>
            <w:r w:rsidRPr="00FC3B91">
              <w:t>remembered experience</w:t>
            </w:r>
          </w:p>
          <w:p w:rsidR="00000000" w:rsidRPr="00FC3B91" w:rsidP="00FC3B91">
            <w:pPr>
              <w:pStyle w:val="BodyText"/>
            </w:pPr>
          </w:p>
          <w:p w:rsidR="00000000" w:rsidRPr="00FC3B91" w:rsidP="00FC3B91">
            <w:pPr>
              <w:pStyle w:val="BodyText"/>
            </w:pPr>
            <w:r w:rsidRPr="00FC3B91">
              <w:t>Non-routine problems must be reported according to according to relevant procedures.</w:t>
            </w:r>
          </w:p>
        </w:tc>
      </w:tr>
    </w:tbl>
    <w:p w:rsidR="00246B42" w:rsidP="00FC3B91">
      <w:pPr>
        <w:pStyle w:val="BodyText"/>
      </w:pPr>
    </w:p>
    <w:p w:rsidR="00246B42" w:rsidP="00FC3B91">
      <w:pPr>
        <w:pStyle w:val="BodyText"/>
      </w:pPr>
    </w:p>
    <w:p w:rsidR="00000000" w:rsidRPr="00FC3B91" w:rsidP="00FC3B91">
      <w:pPr>
        <w:pStyle w:val="Heading1"/>
      </w:pPr>
      <w:bookmarkStart w:id="9" w:name="O_871808"/>
      <w:bookmarkEnd w:id="9"/>
      <w:r w:rsidRPr="00FC3B91">
        <w:t>Unit Mapping Information</w:t>
      </w:r>
    </w:p>
    <w:p w:rsidR="00000000" w:rsidRPr="00FC3B91" w:rsidP="00246B42">
      <w:pPr>
        <w:pStyle w:val="BodyText"/>
      </w:pPr>
      <w:r w:rsidRPr="00FC3B91">
        <w:t>Release 1. Supersedes and is equivalent to MSAPMSUP230A Monitor process operations</w:t>
      </w:r>
    </w:p>
    <w:p w:rsidR="00000000" w:rsidRPr="00FC3B91" w:rsidP="00FC3B91">
      <w:pPr>
        <w:pStyle w:val="Heading1"/>
      </w:pPr>
      <w:bookmarkStart w:id="10" w:name="O_871801"/>
      <w:bookmarkEnd w:id="10"/>
      <w:r w:rsidRPr="00FC3B91">
        <w:t>Links</w:t>
      </w:r>
    </w:p>
    <w:p w:rsidR="00000000" w:rsidRPr="00FC3B91" w:rsidP="00246B42">
      <w:pPr>
        <w:pStyle w:val="BodyText"/>
      </w:pPr>
      <w:r w:rsidRPr="00FC3B91">
        <w:t>Companion Volume imp</w:t>
      </w:r>
      <w:r w:rsidRPr="00FC3B91">
        <w:t xml:space="preserve">lementation guides are found in VETNet - </w:t>
      </w:r>
      <w:r>
        <w:fldChar w:fldCharType="begin"/>
      </w:r>
      <w:r>
        <w:instrText xml:space="preserve"> HYPERLINK "https://vetnet.gov.au/Pages/TrainingDocs.aspx?q=d1287d36-dff4-4e9f-ad2c-9d6270054027" </w:instrText>
      </w:r>
      <w:r>
        <w:fldChar w:fldCharType="separate"/>
      </w:r>
      <w:r w:rsidRPr="00C069C5">
        <w:rPr>
          <w:rStyle w:val="Hyperlink"/>
        </w:rPr>
        <w:t>https://vetnet.gov.au/Pages/TrainingDocs.aspx?q=d1287d36-dff4-4e9f-ad2c-9d6270054027</w:t>
      </w:r>
      <w:r>
        <w:fldChar w:fldCharType="end"/>
      </w:r>
    </w:p>
    <w:p w:rsidR="00000000" w:rsidRPr="00FC3B91" w:rsidP="00FC3B91"/>
    <w:sectPr w:rsidSect="00FC3B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1" w:rsidRPr="00246B42" w:rsidP="00246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42" w:rsidP="00FC3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B42" w:rsidP="00FC3B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6B42" w:rsidP="00FC3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B91" w:rsidRPr="00246B42" w:rsidP="00246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42" w:rsidRPr="002D2AF8" w:rsidP="00FC3B91">
    <w:pPr>
      <w:pStyle w:val="Header"/>
      <w:framePr w:wrap="around"/>
    </w:pPr>
    <w:r>
      <w:fldChar w:fldCharType="begin"/>
    </w:r>
    <w:r>
      <w:instrText xml:space="preserve"> TITLE   \* MERGEFORMAT </w:instrText>
    </w:r>
    <w:r>
      <w:fldChar w:fldCharType="separate"/>
    </w:r>
    <w:r>
      <w:t>MSMSUP230 Monitor process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246B42" w:rsidP="00FC3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0E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65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5CE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B91"/>
    <w:pPr>
      <w:spacing w:before="360" w:after="60"/>
      <w:outlineLvl w:val="0"/>
    </w:pPr>
    <w:rPr>
      <w:sz w:val="32"/>
    </w:rPr>
  </w:style>
  <w:style w:type="paragraph" w:styleId="Heading2">
    <w:name w:val="heading 2"/>
    <w:basedOn w:val="HeadingBase"/>
    <w:next w:val="BodyText"/>
    <w:link w:val="Heading2Char"/>
    <w:qFormat/>
    <w:rsid w:val="00FC3B91"/>
    <w:pPr>
      <w:keepLines/>
      <w:spacing w:before="240" w:after="120"/>
      <w:outlineLvl w:val="1"/>
    </w:pPr>
    <w:rPr>
      <w:sz w:val="28"/>
      <w:szCs w:val="40"/>
    </w:rPr>
  </w:style>
  <w:style w:type="paragraph" w:styleId="Heading3">
    <w:name w:val="heading 3"/>
    <w:basedOn w:val="HeadingBase"/>
    <w:next w:val="BodyText"/>
    <w:link w:val="Heading3Char"/>
    <w:qFormat/>
    <w:rsid w:val="00FC3B91"/>
    <w:pPr>
      <w:spacing w:before="180" w:after="120"/>
      <w:outlineLvl w:val="2"/>
    </w:pPr>
    <w:rPr>
      <w:spacing w:val="-10"/>
      <w:kern w:val="32"/>
    </w:rPr>
  </w:style>
  <w:style w:type="paragraph" w:styleId="Heading4">
    <w:name w:val="heading 4"/>
    <w:basedOn w:val="HeadingBase"/>
    <w:next w:val="BodyText"/>
    <w:link w:val="Heading4Char"/>
    <w:qFormat/>
    <w:rsid w:val="00FC3B91"/>
    <w:pPr>
      <w:spacing w:before="160" w:after="120"/>
      <w:outlineLvl w:val="3"/>
    </w:pPr>
    <w:rPr>
      <w:sz w:val="22"/>
    </w:rPr>
  </w:style>
  <w:style w:type="paragraph" w:styleId="Heading5">
    <w:name w:val="heading 5"/>
    <w:basedOn w:val="HeadingBase"/>
    <w:next w:val="Normal"/>
    <w:link w:val="Heading5Char"/>
    <w:qFormat/>
    <w:rsid w:val="00FC3B91"/>
    <w:pPr>
      <w:spacing w:before="80"/>
      <w:outlineLvl w:val="4"/>
    </w:pPr>
    <w:rPr>
      <w:color w:val="918585"/>
      <w:sz w:val="20"/>
    </w:rPr>
  </w:style>
  <w:style w:type="paragraph" w:styleId="Heading6">
    <w:name w:val="heading 6"/>
    <w:basedOn w:val="HeadingBase"/>
    <w:next w:val="Normal"/>
    <w:link w:val="Heading6Char"/>
    <w:qFormat/>
    <w:rsid w:val="00FC3B91"/>
    <w:pPr>
      <w:spacing w:before="60"/>
      <w:outlineLvl w:val="5"/>
    </w:pPr>
    <w:rPr>
      <w:color w:val="918585"/>
      <w:sz w:val="20"/>
    </w:rPr>
  </w:style>
  <w:style w:type="paragraph" w:styleId="Heading7">
    <w:name w:val="heading 7"/>
    <w:basedOn w:val="Normal"/>
    <w:next w:val="Normal"/>
    <w:link w:val="Heading7Char"/>
    <w:qFormat/>
    <w:rsid w:val="00FC3B91"/>
    <w:pPr>
      <w:ind w:left="720"/>
      <w:outlineLvl w:val="6"/>
    </w:pPr>
    <w:rPr>
      <w:i/>
    </w:rPr>
  </w:style>
  <w:style w:type="paragraph" w:styleId="Heading8">
    <w:name w:val="heading 8"/>
    <w:basedOn w:val="Normal"/>
    <w:next w:val="Normal"/>
    <w:link w:val="Heading8Char"/>
    <w:qFormat/>
    <w:rsid w:val="00FC3B91"/>
    <w:pPr>
      <w:ind w:left="720"/>
      <w:outlineLvl w:val="7"/>
    </w:pPr>
    <w:rPr>
      <w:i/>
    </w:rPr>
  </w:style>
  <w:style w:type="paragraph" w:styleId="Heading9">
    <w:name w:val="heading 9"/>
    <w:basedOn w:val="Normal"/>
    <w:next w:val="Normal"/>
    <w:link w:val="Heading9Char"/>
    <w:qFormat/>
    <w:rsid w:val="00FC3B91"/>
    <w:pPr>
      <w:ind w:left="720"/>
      <w:outlineLvl w:val="8"/>
    </w:pPr>
    <w:rPr>
      <w:i/>
    </w:rPr>
  </w:style>
  <w:style w:type="character" w:default="1" w:styleId="DefaultParagraphFont">
    <w:name w:val="Default Paragraph Font"/>
    <w:uiPriority w:val="1"/>
    <w:unhideWhenUsed/>
    <w:rsid w:val="00FC3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B91"/>
  </w:style>
  <w:style w:type="character" w:customStyle="1" w:styleId="Heading1Char">
    <w:name w:val="Heading 1 Char"/>
    <w:basedOn w:val="DefaultParagraphFont"/>
    <w:link w:val="Heading1"/>
    <w:rsid w:val="00FC3B91"/>
    <w:rPr>
      <w:rFonts w:ascii="Times New Roman" w:eastAsia="Times New Roman" w:hAnsi="Times New Roman" w:cs="Times New Roman"/>
      <w:b/>
      <w:sz w:val="32"/>
      <w:szCs w:val="20"/>
      <w:lang w:eastAsia="en-US"/>
    </w:rPr>
  </w:style>
  <w:style w:type="paragraph" w:styleId="BodyText">
    <w:name w:val="Body Text"/>
    <w:basedOn w:val="Normal"/>
    <w:link w:val="BodyTextChar"/>
    <w:rsid w:val="00FC3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B91"/>
    <w:rPr>
      <w:rFonts w:ascii="Times New Roman" w:eastAsia="Times New Roman" w:hAnsi="Times New Roman" w:cs="Times New Roman"/>
      <w:sz w:val="24"/>
      <w:lang w:eastAsia="en-US"/>
    </w:rPr>
  </w:style>
  <w:style w:type="paragraph" w:styleId="ListBullet">
    <w:name w:val="List Bullet"/>
    <w:basedOn w:val="List"/>
    <w:rsid w:val="00FC3B91"/>
    <w:pPr>
      <w:numPr>
        <w:numId w:val="12"/>
      </w:numPr>
      <w:tabs>
        <w:tab w:val="clear" w:pos="340"/>
      </w:tabs>
      <w:spacing w:before="40" w:after="40"/>
    </w:pPr>
  </w:style>
  <w:style w:type="character" w:customStyle="1" w:styleId="SpecialBold">
    <w:name w:val="Special Bold"/>
    <w:basedOn w:val="DefaultParagraphFont"/>
    <w:rsid w:val="00FC3B91"/>
    <w:rPr>
      <w:b/>
      <w:spacing w:val="0"/>
    </w:rPr>
  </w:style>
  <w:style w:type="paragraph" w:styleId="ListBullet2">
    <w:name w:val="List Bullet 2"/>
    <w:basedOn w:val="List2"/>
    <w:rsid w:val="00FC3B91"/>
    <w:pPr>
      <w:numPr>
        <w:numId w:val="13"/>
      </w:numPr>
      <w:tabs>
        <w:tab w:val="clear" w:pos="680"/>
      </w:tabs>
    </w:pPr>
  </w:style>
  <w:style w:type="paragraph" w:customStyle="1" w:styleId="SuperHeading">
    <w:name w:val="SuperHeading"/>
    <w:basedOn w:val="Normal"/>
    <w:rsid w:val="00FC3B91"/>
    <w:pPr>
      <w:spacing w:before="240" w:after="120"/>
      <w:outlineLvl w:val="0"/>
    </w:pPr>
    <w:rPr>
      <w:rFonts w:ascii="Times New Roman" w:hAnsi="Times New Roman"/>
      <w:b/>
      <w:sz w:val="32"/>
    </w:rPr>
  </w:style>
  <w:style w:type="paragraph" w:customStyle="1" w:styleId="AllowPageBreak">
    <w:name w:val="AllowPageBreak"/>
    <w:rsid w:val="00FC3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B91"/>
    <w:rPr>
      <w:rFonts w:ascii="Courier New" w:eastAsia="Times New Roman" w:hAnsi="Courier New" w:cs="Times New Roman"/>
      <w:i/>
      <w:szCs w:val="20"/>
      <w:lang w:eastAsia="en-US"/>
    </w:rPr>
  </w:style>
  <w:style w:type="paragraph" w:customStyle="1" w:styleId="HeadingBase">
    <w:name w:val="Heading Base"/>
    <w:rsid w:val="00FC3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B91"/>
    <w:pPr>
      <w:tabs>
        <w:tab w:val="right" w:leader="dot" w:pos="9072"/>
      </w:tabs>
      <w:ind w:left="567"/>
    </w:pPr>
    <w:rPr>
      <w:szCs w:val="22"/>
    </w:rPr>
  </w:style>
  <w:style w:type="paragraph" w:customStyle="1" w:styleId="TOCBase">
    <w:name w:val="TOC Base"/>
    <w:rsid w:val="00FC3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B91"/>
    <w:pPr>
      <w:tabs>
        <w:tab w:val="right" w:leader="dot" w:pos="9072"/>
      </w:tabs>
      <w:spacing w:before="40" w:after="40"/>
      <w:ind w:left="284"/>
    </w:pPr>
    <w:rPr>
      <w:rFonts w:ascii="Times New Roman" w:hAnsi="Times New Roman"/>
    </w:rPr>
  </w:style>
  <w:style w:type="paragraph" w:styleId="TOC1">
    <w:name w:val="toc 1"/>
    <w:basedOn w:val="TOCBase"/>
    <w:next w:val="Normal"/>
    <w:rsid w:val="00FC3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B91"/>
    <w:rPr>
      <w:rFonts w:ascii="Times New Roman" w:eastAsia="Times New Roman" w:hAnsi="Times New Roman" w:cs="Times New Roman"/>
      <w:sz w:val="16"/>
      <w:lang w:eastAsia="en-US"/>
    </w:rPr>
  </w:style>
  <w:style w:type="paragraph" w:styleId="Title">
    <w:name w:val="Title"/>
    <w:basedOn w:val="HeadingBase"/>
    <w:link w:val="TitleChar"/>
    <w:qFormat/>
    <w:rsid w:val="00FC3B91"/>
    <w:pPr>
      <w:spacing w:before="5040"/>
      <w:jc w:val="center"/>
    </w:pPr>
    <w:rPr>
      <w:sz w:val="48"/>
      <w:szCs w:val="72"/>
      <w:lang w:val="en-US"/>
    </w:rPr>
  </w:style>
  <w:style w:type="character" w:customStyle="1" w:styleId="TitleChar">
    <w:name w:val="Title Char"/>
    <w:basedOn w:val="DefaultParagraphFont"/>
    <w:link w:val="Title"/>
    <w:rsid w:val="00FC3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B91"/>
    <w:pPr>
      <w:tabs>
        <w:tab w:val="left" w:pos="3600"/>
        <w:tab w:val="left" w:pos="3958"/>
      </w:tabs>
    </w:pPr>
  </w:style>
  <w:style w:type="paragraph" w:styleId="List">
    <w:name w:val="List"/>
    <w:basedOn w:val="BodyText"/>
    <w:next w:val="BodyText"/>
    <w:rsid w:val="00FC3B91"/>
    <w:pPr>
      <w:tabs>
        <w:tab w:val="left" w:pos="340"/>
      </w:tabs>
      <w:spacing w:before="60" w:after="60"/>
      <w:ind w:left="340" w:hanging="340"/>
    </w:pPr>
  </w:style>
  <w:style w:type="paragraph" w:customStyle="1" w:styleId="Note">
    <w:name w:val="Note"/>
    <w:basedOn w:val="BodyText"/>
    <w:rsid w:val="00FC3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B91"/>
    <w:pPr>
      <w:framePr w:wrap="auto" w:hAnchor="text" w:y="6049"/>
    </w:pPr>
    <w:rPr>
      <w:color w:val="000000"/>
      <w:sz w:val="40"/>
    </w:rPr>
  </w:style>
  <w:style w:type="paragraph" w:customStyle="1" w:styleId="TOCTitle">
    <w:name w:val="TOCTitle"/>
    <w:basedOn w:val="Heading1"/>
    <w:rsid w:val="00FC3B91"/>
    <w:pPr>
      <w:spacing w:after="240"/>
      <w:jc w:val="center"/>
      <w:outlineLvl w:val="9"/>
    </w:pPr>
    <w:rPr>
      <w:caps/>
    </w:rPr>
  </w:style>
  <w:style w:type="paragraph" w:customStyle="1" w:styleId="Version">
    <w:name w:val="Version"/>
    <w:rsid w:val="00FC3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B91"/>
    <w:pPr>
      <w:keepNext w:val="0"/>
      <w:tabs>
        <w:tab w:val="right" w:pos="4176"/>
      </w:tabs>
      <w:ind w:left="198" w:hanging="198"/>
    </w:pPr>
    <w:rPr>
      <w:rFonts w:ascii="Garamond" w:hAnsi="Garamond"/>
    </w:rPr>
  </w:style>
  <w:style w:type="paragraph" w:styleId="IndexHeading">
    <w:name w:val="index heading"/>
    <w:basedOn w:val="Normal"/>
    <w:next w:val="Index1"/>
    <w:semiHidden/>
    <w:rsid w:val="00FC3B91"/>
    <w:pPr>
      <w:spacing w:before="120" w:after="120"/>
    </w:pPr>
    <w:rPr>
      <w:rFonts w:ascii="Arial" w:hAnsi="Arial"/>
      <w:b/>
      <w:color w:val="918585"/>
      <w:sz w:val="24"/>
    </w:rPr>
  </w:style>
  <w:style w:type="paragraph" w:styleId="Header">
    <w:name w:val="header"/>
    <w:basedOn w:val="Normal"/>
    <w:link w:val="HeaderChar"/>
    <w:rsid w:val="00FC3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B91"/>
    <w:rPr>
      <w:rFonts w:ascii="Times New Roman" w:eastAsia="Times New Roman" w:hAnsi="Times New Roman" w:cs="Times New Roman"/>
      <w:sz w:val="16"/>
      <w:szCs w:val="20"/>
      <w:lang w:val="en-GB" w:eastAsia="en-US"/>
    </w:rPr>
  </w:style>
  <w:style w:type="paragraph" w:customStyle="1" w:styleId="Chapter">
    <w:name w:val="Chapter"/>
    <w:basedOn w:val="Normal"/>
    <w:rsid w:val="00FC3B91"/>
    <w:pPr>
      <w:spacing w:before="240"/>
    </w:pPr>
    <w:rPr>
      <w:rFonts w:ascii="Times New Roman" w:hAnsi="Times New Roman"/>
      <w:smallCaps/>
      <w:spacing w:val="80"/>
      <w:sz w:val="28"/>
    </w:rPr>
  </w:style>
  <w:style w:type="paragraph" w:customStyle="1" w:styleId="InChapter">
    <w:name w:val="InChapter"/>
    <w:basedOn w:val="Heading3"/>
    <w:rsid w:val="00FC3B91"/>
    <w:pPr>
      <w:spacing w:after="240"/>
      <w:outlineLvl w:val="9"/>
    </w:pPr>
    <w:rPr>
      <w:noProof/>
    </w:rPr>
  </w:style>
  <w:style w:type="paragraph" w:styleId="Index2">
    <w:name w:val="index 2"/>
    <w:basedOn w:val="Normal"/>
    <w:next w:val="Normal"/>
    <w:semiHidden/>
    <w:rsid w:val="00FC3B91"/>
    <w:pPr>
      <w:tabs>
        <w:tab w:val="right" w:pos="4176"/>
      </w:tabs>
      <w:ind w:left="568" w:hanging="284"/>
    </w:pPr>
    <w:rPr>
      <w:rFonts w:ascii="Garamond" w:hAnsi="Garamond"/>
    </w:rPr>
  </w:style>
  <w:style w:type="paragraph" w:customStyle="1" w:styleId="Byline">
    <w:name w:val="Byline"/>
    <w:rsid w:val="00FC3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B91"/>
    <w:pPr>
      <w:tabs>
        <w:tab w:val="clear" w:pos="3600"/>
        <w:tab w:val="clear" w:pos="3958"/>
      </w:tabs>
      <w:jc w:val="right"/>
    </w:pPr>
  </w:style>
  <w:style w:type="character" w:styleId="Emphasis">
    <w:name w:val="Emphasis"/>
    <w:basedOn w:val="DefaultParagraphFont"/>
    <w:qFormat/>
    <w:rsid w:val="00FC3B91"/>
    <w:rPr>
      <w:i/>
    </w:rPr>
  </w:style>
  <w:style w:type="paragraph" w:styleId="Caption">
    <w:name w:val="caption"/>
    <w:basedOn w:val="BodyText"/>
    <w:next w:val="Normal"/>
    <w:qFormat/>
    <w:rsid w:val="00FC3B91"/>
    <w:pPr>
      <w:framePr w:w="2268" w:hSpace="181" w:vSpace="181" w:wrap="around" w:vAnchor="text" w:hAnchor="page" w:x="1135" w:y="285" w:anchorLock="1"/>
    </w:pPr>
    <w:rPr>
      <w:i/>
    </w:rPr>
  </w:style>
  <w:style w:type="paragraph" w:customStyle="1" w:styleId="MiniTOCTitle">
    <w:name w:val="MiniTOCTitle"/>
    <w:basedOn w:val="Heading4"/>
    <w:rsid w:val="00FC3B91"/>
    <w:pPr>
      <w:spacing w:before="240"/>
      <w:outlineLvl w:val="9"/>
    </w:pPr>
    <w:rPr>
      <w:noProof/>
      <w:sz w:val="24"/>
    </w:rPr>
  </w:style>
  <w:style w:type="paragraph" w:customStyle="1" w:styleId="MiniTOCItem">
    <w:name w:val="MiniTOCItem"/>
    <w:basedOn w:val="ListBullet"/>
    <w:rsid w:val="00FC3B91"/>
    <w:pPr>
      <w:numPr>
        <w:numId w:val="0"/>
      </w:numPr>
      <w:tabs>
        <w:tab w:val="right" w:leader="dot" w:pos="6521"/>
      </w:tabs>
      <w:spacing w:before="0" w:after="0"/>
    </w:pPr>
  </w:style>
  <w:style w:type="paragraph" w:customStyle="1" w:styleId="TOFTitle">
    <w:name w:val="TOFTitle"/>
    <w:basedOn w:val="TOCTitle"/>
    <w:rsid w:val="00FC3B91"/>
  </w:style>
  <w:style w:type="paragraph" w:styleId="TableofFigures">
    <w:name w:val="table of figures"/>
    <w:basedOn w:val="Normal"/>
    <w:next w:val="Normal"/>
    <w:semiHidden/>
    <w:rsid w:val="00FC3B91"/>
    <w:pPr>
      <w:tabs>
        <w:tab w:val="right" w:leader="dot" w:pos="9072"/>
      </w:tabs>
      <w:ind w:left="970" w:hanging="403"/>
    </w:pPr>
    <w:rPr>
      <w:rFonts w:ascii="Times New Roman" w:hAnsi="Times New Roman"/>
      <w:b/>
    </w:rPr>
  </w:style>
  <w:style w:type="paragraph" w:styleId="ListNumber">
    <w:name w:val="List Number"/>
    <w:basedOn w:val="List"/>
    <w:rsid w:val="00FC3B91"/>
    <w:pPr>
      <w:numPr>
        <w:numId w:val="15"/>
      </w:numPr>
      <w:tabs>
        <w:tab w:val="clear" w:pos="340"/>
      </w:tabs>
    </w:pPr>
  </w:style>
  <w:style w:type="character" w:customStyle="1" w:styleId="WingdingSymbols">
    <w:name w:val="Wingding Symbols"/>
    <w:rsid w:val="00FC3B91"/>
    <w:rPr>
      <w:rFonts w:ascii="Wingdings" w:hAnsi="Wingdings"/>
    </w:rPr>
  </w:style>
  <w:style w:type="paragraph" w:customStyle="1" w:styleId="TableHeading">
    <w:name w:val="Table Heading"/>
    <w:basedOn w:val="HeadingBase"/>
    <w:rsid w:val="00FC3B91"/>
    <w:pPr>
      <w:keepLines/>
      <w:pBdr>
        <w:bottom w:val="single" w:sz="6" w:space="1" w:color="918585"/>
      </w:pBdr>
      <w:spacing w:before="240"/>
    </w:pPr>
  </w:style>
  <w:style w:type="character" w:customStyle="1" w:styleId="HotSpot">
    <w:name w:val="HotSpot"/>
    <w:rsid w:val="00FC3B91"/>
    <w:rPr>
      <w:color w:val="0033CC"/>
      <w:u w:val="none"/>
    </w:rPr>
  </w:style>
  <w:style w:type="paragraph" w:customStyle="1" w:styleId="BodyTextRight">
    <w:name w:val="Body Text Right"/>
    <w:basedOn w:val="BodyText"/>
    <w:rsid w:val="00FC3B91"/>
    <w:pPr>
      <w:spacing w:before="0" w:after="0"/>
      <w:jc w:val="right"/>
    </w:pPr>
  </w:style>
  <w:style w:type="paragraph" w:styleId="Index3">
    <w:name w:val="index 3"/>
    <w:basedOn w:val="ListNumber2"/>
    <w:next w:val="Normal"/>
    <w:semiHidden/>
    <w:rsid w:val="00FC3B91"/>
    <w:pPr>
      <w:numPr>
        <w:numId w:val="0"/>
      </w:numPr>
      <w:tabs>
        <w:tab w:val="right" w:leader="dot" w:pos="4176"/>
      </w:tabs>
    </w:pPr>
  </w:style>
  <w:style w:type="paragraph" w:styleId="ListNumber2">
    <w:name w:val="List Number 2"/>
    <w:basedOn w:val="List2"/>
    <w:rsid w:val="00FC3B91"/>
    <w:pPr>
      <w:numPr>
        <w:numId w:val="10"/>
      </w:numPr>
      <w:tabs>
        <w:tab w:val="clear" w:pos="1060"/>
      </w:tabs>
    </w:pPr>
  </w:style>
  <w:style w:type="paragraph" w:customStyle="1" w:styleId="MarginNote">
    <w:name w:val="Margin Note"/>
    <w:basedOn w:val="BodyText"/>
    <w:rsid w:val="00FC3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B91"/>
    <w:rPr>
      <w:sz w:val="32"/>
    </w:rPr>
  </w:style>
  <w:style w:type="paragraph" w:customStyle="1" w:styleId="HeadingProcedure">
    <w:name w:val="Heading Procedure"/>
    <w:basedOn w:val="HeadingBase"/>
    <w:next w:val="Normal"/>
    <w:rsid w:val="00FC3B91"/>
    <w:pPr>
      <w:tabs>
        <w:tab w:val="left" w:pos="0"/>
      </w:tabs>
      <w:spacing w:before="120" w:after="60"/>
    </w:pPr>
    <w:rPr>
      <w:i/>
      <w:color w:val="918585"/>
      <w:sz w:val="22"/>
    </w:rPr>
  </w:style>
  <w:style w:type="paragraph" w:customStyle="1" w:styleId="TableBodyText">
    <w:name w:val="Table Body Text"/>
    <w:basedOn w:val="BodyText"/>
    <w:rsid w:val="00FC3B91"/>
    <w:pPr>
      <w:spacing w:before="60" w:after="60"/>
    </w:pPr>
  </w:style>
  <w:style w:type="paragraph" w:styleId="ListContinue">
    <w:name w:val="List Continue"/>
    <w:basedOn w:val="List"/>
    <w:rsid w:val="00FC3B91"/>
    <w:pPr>
      <w:ind w:firstLine="0"/>
    </w:pPr>
  </w:style>
  <w:style w:type="paragraph" w:customStyle="1" w:styleId="ListNote">
    <w:name w:val="List Note"/>
    <w:basedOn w:val="List"/>
    <w:rsid w:val="00FC3B91"/>
    <w:pPr>
      <w:pBdr>
        <w:top w:val="single" w:sz="6" w:space="2" w:color="918585"/>
        <w:bottom w:val="single" w:sz="6" w:space="2" w:color="918585"/>
      </w:pBdr>
      <w:tabs>
        <w:tab w:val="left" w:pos="1021"/>
      </w:tabs>
      <w:ind w:firstLine="0"/>
    </w:pPr>
  </w:style>
  <w:style w:type="paragraph" w:customStyle="1" w:styleId="Warning">
    <w:name w:val="Warning"/>
    <w:basedOn w:val="BodyText"/>
    <w:rsid w:val="00FC3B91"/>
    <w:pPr>
      <w:shd w:val="clear" w:color="auto" w:fill="D9D9D9"/>
      <w:tabs>
        <w:tab w:val="left" w:pos="992"/>
      </w:tabs>
      <w:ind w:left="119" w:right="119"/>
    </w:pPr>
    <w:rPr>
      <w:sz w:val="20"/>
    </w:rPr>
  </w:style>
  <w:style w:type="paragraph" w:customStyle="1" w:styleId="MarginIcons">
    <w:name w:val="Margin Icons"/>
    <w:basedOn w:val="BodyText"/>
    <w:rsid w:val="00FC3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B91"/>
    <w:rPr>
      <w:rFonts w:ascii="Courier New" w:hAnsi="Courier New"/>
    </w:rPr>
  </w:style>
  <w:style w:type="paragraph" w:customStyle="1" w:styleId="NoteBullet">
    <w:name w:val="Note Bullet"/>
    <w:basedOn w:val="Note"/>
    <w:rsid w:val="00FC3B91"/>
    <w:pPr>
      <w:tabs>
        <w:tab w:val="clear" w:pos="680"/>
      </w:tabs>
      <w:spacing w:before="60" w:after="60"/>
    </w:pPr>
  </w:style>
  <w:style w:type="paragraph" w:customStyle="1" w:styleId="SubHeading2">
    <w:name w:val="SubHeading2"/>
    <w:basedOn w:val="HeadingBase"/>
    <w:rsid w:val="00FC3B91"/>
    <w:pPr>
      <w:spacing w:before="240" w:after="60"/>
    </w:pPr>
    <w:rPr>
      <w:sz w:val="20"/>
    </w:rPr>
  </w:style>
  <w:style w:type="paragraph" w:customStyle="1" w:styleId="SubHeading1">
    <w:name w:val="SubHeading1"/>
    <w:basedOn w:val="HeadingBase"/>
    <w:rsid w:val="00FC3B91"/>
    <w:pPr>
      <w:spacing w:before="240" w:after="60"/>
    </w:pPr>
    <w:rPr>
      <w:color w:val="918585"/>
      <w:sz w:val="22"/>
    </w:rPr>
  </w:style>
  <w:style w:type="paragraph" w:customStyle="1" w:styleId="SideHeading">
    <w:name w:val="Side Heading"/>
    <w:basedOn w:val="HeadingBase"/>
    <w:rsid w:val="00FC3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B91"/>
    <w:pPr>
      <w:tabs>
        <w:tab w:val="num" w:pos="360"/>
      </w:tabs>
    </w:pPr>
  </w:style>
  <w:style w:type="paragraph" w:styleId="PlainText">
    <w:name w:val="Plain Text"/>
    <w:basedOn w:val="Normal"/>
    <w:link w:val="PlainTextChar"/>
    <w:rsid w:val="00FC3B91"/>
    <w:rPr>
      <w:sz w:val="20"/>
    </w:rPr>
  </w:style>
  <w:style w:type="character" w:customStyle="1" w:styleId="PlainTextChar">
    <w:name w:val="Plain Text Char"/>
    <w:basedOn w:val="DefaultParagraphFont"/>
    <w:link w:val="PlainText"/>
    <w:rsid w:val="00FC3B91"/>
    <w:rPr>
      <w:rFonts w:ascii="Courier New" w:eastAsia="Times New Roman" w:hAnsi="Courier New" w:cs="Times New Roman"/>
      <w:sz w:val="20"/>
      <w:szCs w:val="20"/>
      <w:lang w:eastAsia="en-US"/>
    </w:rPr>
  </w:style>
  <w:style w:type="character" w:customStyle="1" w:styleId="MenuOption">
    <w:name w:val="Menu Option"/>
    <w:basedOn w:val="DefaultParagraphFont"/>
    <w:rsid w:val="00FC3B91"/>
    <w:rPr>
      <w:b/>
      <w:smallCaps/>
    </w:rPr>
  </w:style>
  <w:style w:type="paragraph" w:customStyle="1" w:styleId="TableListNumber">
    <w:name w:val="Table List Number"/>
    <w:basedOn w:val="ListNumber"/>
    <w:rsid w:val="00FC3B91"/>
    <w:pPr>
      <w:numPr>
        <w:numId w:val="0"/>
      </w:numPr>
    </w:pPr>
  </w:style>
  <w:style w:type="paragraph" w:styleId="TOC4">
    <w:name w:val="toc 4"/>
    <w:basedOn w:val="TOCBase"/>
    <w:next w:val="Normal"/>
    <w:semiHidden/>
    <w:rsid w:val="00FC3B91"/>
    <w:pPr>
      <w:tabs>
        <w:tab w:val="right" w:leader="dot" w:pos="9071"/>
      </w:tabs>
      <w:ind w:left="1701"/>
    </w:pPr>
  </w:style>
  <w:style w:type="paragraph" w:customStyle="1" w:styleId="ListAlpha">
    <w:name w:val="List Alpha"/>
    <w:basedOn w:val="List"/>
    <w:rsid w:val="00FC3B91"/>
    <w:pPr>
      <w:numPr>
        <w:numId w:val="9"/>
      </w:numPr>
    </w:pPr>
  </w:style>
  <w:style w:type="paragraph" w:customStyle="1" w:styleId="ListAlpha2">
    <w:name w:val="List Alpha 2"/>
    <w:basedOn w:val="List2"/>
    <w:rsid w:val="00FC3B91"/>
    <w:pPr>
      <w:numPr>
        <w:numId w:val="8"/>
      </w:numPr>
    </w:pPr>
  </w:style>
  <w:style w:type="paragraph" w:styleId="List2">
    <w:name w:val="List 2"/>
    <w:basedOn w:val="BodyText"/>
    <w:rsid w:val="00FC3B91"/>
    <w:pPr>
      <w:tabs>
        <w:tab w:val="left" w:pos="680"/>
      </w:tabs>
      <w:spacing w:before="60" w:after="60"/>
      <w:ind w:left="680" w:hanging="340"/>
    </w:pPr>
  </w:style>
  <w:style w:type="paragraph" w:styleId="List3">
    <w:name w:val="List 3"/>
    <w:basedOn w:val="BodyText"/>
    <w:rsid w:val="00FC3B91"/>
    <w:pPr>
      <w:tabs>
        <w:tab w:val="left" w:pos="1021"/>
      </w:tabs>
      <w:spacing w:before="60" w:after="60"/>
      <w:ind w:left="1020" w:hanging="340"/>
    </w:pPr>
  </w:style>
  <w:style w:type="paragraph" w:styleId="List4">
    <w:name w:val="List 4"/>
    <w:basedOn w:val="BodyText"/>
    <w:rsid w:val="00FC3B91"/>
    <w:pPr>
      <w:tabs>
        <w:tab w:val="left" w:pos="1361"/>
      </w:tabs>
      <w:spacing w:before="60" w:after="60"/>
      <w:ind w:left="1361" w:hanging="340"/>
    </w:pPr>
  </w:style>
  <w:style w:type="paragraph" w:styleId="List5">
    <w:name w:val="List 5"/>
    <w:basedOn w:val="BodyText"/>
    <w:rsid w:val="00FC3B91"/>
    <w:pPr>
      <w:tabs>
        <w:tab w:val="left" w:pos="1701"/>
      </w:tabs>
      <w:spacing w:before="60" w:after="60"/>
      <w:ind w:left="1701" w:hanging="340"/>
    </w:pPr>
  </w:style>
  <w:style w:type="paragraph" w:styleId="ListBullet3">
    <w:name w:val="List Bullet 3"/>
    <w:basedOn w:val="List3"/>
    <w:rsid w:val="00FC3B91"/>
    <w:pPr>
      <w:numPr>
        <w:numId w:val="14"/>
      </w:numPr>
      <w:tabs>
        <w:tab w:val="clear" w:pos="1021"/>
      </w:tabs>
      <w:ind w:left="1037" w:hanging="357"/>
    </w:pPr>
  </w:style>
  <w:style w:type="paragraph" w:styleId="ListBullet4">
    <w:name w:val="List Bullet 4"/>
    <w:basedOn w:val="List4"/>
    <w:rsid w:val="00FC3B91"/>
    <w:pPr>
      <w:numPr>
        <w:numId w:val="3"/>
      </w:numPr>
      <w:tabs>
        <w:tab w:val="clear" w:pos="1361"/>
      </w:tabs>
    </w:pPr>
  </w:style>
  <w:style w:type="paragraph" w:styleId="ListBullet5">
    <w:name w:val="List Bullet 5"/>
    <w:basedOn w:val="List5"/>
    <w:rsid w:val="00FC3B91"/>
    <w:pPr>
      <w:numPr>
        <w:numId w:val="4"/>
      </w:numPr>
    </w:pPr>
  </w:style>
  <w:style w:type="paragraph" w:styleId="ListContinue2">
    <w:name w:val="List Continue 2"/>
    <w:basedOn w:val="List2"/>
    <w:rsid w:val="00FC3B91"/>
    <w:pPr>
      <w:ind w:firstLine="0"/>
    </w:pPr>
  </w:style>
  <w:style w:type="paragraph" w:styleId="ListContinue3">
    <w:name w:val="List Continue 3"/>
    <w:basedOn w:val="List3"/>
    <w:rsid w:val="00FC3B91"/>
    <w:pPr>
      <w:ind w:left="1021" w:firstLine="0"/>
    </w:pPr>
  </w:style>
  <w:style w:type="paragraph" w:styleId="ListContinue4">
    <w:name w:val="List Continue 4"/>
    <w:basedOn w:val="List4"/>
    <w:rsid w:val="00FC3B91"/>
    <w:pPr>
      <w:ind w:firstLine="0"/>
    </w:pPr>
  </w:style>
  <w:style w:type="paragraph" w:styleId="ListContinue5">
    <w:name w:val="List Continue 5"/>
    <w:basedOn w:val="List5"/>
    <w:rsid w:val="00FC3B91"/>
    <w:pPr>
      <w:ind w:firstLine="0"/>
    </w:pPr>
  </w:style>
  <w:style w:type="paragraph" w:styleId="ListNumber3">
    <w:name w:val="List Number 3"/>
    <w:basedOn w:val="List3"/>
    <w:rsid w:val="00FC3B91"/>
    <w:pPr>
      <w:numPr>
        <w:numId w:val="5"/>
      </w:numPr>
    </w:pPr>
  </w:style>
  <w:style w:type="paragraph" w:styleId="ListNumber4">
    <w:name w:val="List Number 4"/>
    <w:basedOn w:val="List4"/>
    <w:rsid w:val="00FC3B91"/>
    <w:pPr>
      <w:numPr>
        <w:numId w:val="6"/>
      </w:numPr>
    </w:pPr>
  </w:style>
  <w:style w:type="paragraph" w:styleId="ListNumber5">
    <w:name w:val="List Number 5"/>
    <w:basedOn w:val="List5"/>
    <w:rsid w:val="00FC3B91"/>
    <w:pPr>
      <w:numPr>
        <w:numId w:val="7"/>
      </w:numPr>
    </w:pPr>
  </w:style>
  <w:style w:type="paragraph" w:styleId="BlockText">
    <w:name w:val="Block Text"/>
    <w:basedOn w:val="Normal"/>
    <w:rsid w:val="00FC3B91"/>
    <w:pPr>
      <w:spacing w:after="120"/>
      <w:ind w:left="1440" w:right="1440"/>
    </w:pPr>
  </w:style>
  <w:style w:type="character" w:customStyle="1" w:styleId="Subscript">
    <w:name w:val="Subscript"/>
    <w:basedOn w:val="DefaultParagraphFont"/>
    <w:rsid w:val="00FC3B91"/>
    <w:rPr>
      <w:sz w:val="16"/>
      <w:vertAlign w:val="subscript"/>
    </w:rPr>
  </w:style>
  <w:style w:type="character" w:customStyle="1" w:styleId="Superscript">
    <w:name w:val="Superscript"/>
    <w:basedOn w:val="DefaultParagraphFont"/>
    <w:rsid w:val="00FC3B91"/>
    <w:rPr>
      <w:sz w:val="16"/>
      <w:vertAlign w:val="superscript"/>
    </w:rPr>
  </w:style>
  <w:style w:type="character" w:customStyle="1" w:styleId="Symbols">
    <w:name w:val="Symbols"/>
    <w:basedOn w:val="DefaultParagraphFont"/>
    <w:rsid w:val="00FC3B91"/>
    <w:rPr>
      <w:rFonts w:ascii="Symbol" w:hAnsi="Symbol"/>
    </w:rPr>
  </w:style>
  <w:style w:type="character" w:customStyle="1" w:styleId="MenuOptions">
    <w:name w:val="Menu Options"/>
    <w:basedOn w:val="DefaultParagraphFont"/>
    <w:rsid w:val="00FC3B91"/>
    <w:rPr>
      <w:rFonts w:ascii="Arial Narrow" w:hAnsi="Arial Narrow"/>
      <w:smallCaps/>
    </w:rPr>
  </w:style>
  <w:style w:type="character" w:customStyle="1" w:styleId="Buttons">
    <w:name w:val="Buttons"/>
    <w:basedOn w:val="DefaultParagraphFont"/>
    <w:rsid w:val="00FC3B91"/>
    <w:rPr>
      <w:b/>
    </w:rPr>
  </w:style>
  <w:style w:type="character" w:customStyle="1" w:styleId="Underlined">
    <w:name w:val="Underlined"/>
    <w:basedOn w:val="DefaultParagraphFont"/>
    <w:rsid w:val="00FC3B91"/>
    <w:rPr>
      <w:u w:val="single"/>
    </w:rPr>
  </w:style>
  <w:style w:type="paragraph" w:customStyle="1" w:styleId="TableBodyTextRight">
    <w:name w:val="Table Body Text Right"/>
    <w:basedOn w:val="TableBodyText"/>
    <w:rsid w:val="00FC3B91"/>
    <w:pPr>
      <w:widowControl w:val="0"/>
      <w:autoSpaceDE w:val="0"/>
      <w:autoSpaceDN w:val="0"/>
      <w:adjustRightInd w:val="0"/>
      <w:jc w:val="right"/>
    </w:pPr>
    <w:rPr>
      <w:rFonts w:cs="Arial"/>
      <w:szCs w:val="18"/>
    </w:rPr>
  </w:style>
  <w:style w:type="paragraph" w:customStyle="1" w:styleId="CopyrightText">
    <w:name w:val="Copyright Text"/>
    <w:basedOn w:val="BodyText"/>
    <w:rsid w:val="00FC3B91"/>
    <w:rPr>
      <w:sz w:val="18"/>
    </w:rPr>
  </w:style>
  <w:style w:type="paragraph" w:customStyle="1" w:styleId="BodySmallRight">
    <w:name w:val="Body Small Right"/>
    <w:basedOn w:val="BodyTextRight"/>
    <w:rsid w:val="00FC3B91"/>
    <w:rPr>
      <w:sz w:val="18"/>
      <w:szCs w:val="18"/>
    </w:rPr>
  </w:style>
  <w:style w:type="paragraph" w:customStyle="1" w:styleId="MarginEdition">
    <w:name w:val="Margin Edition"/>
    <w:basedOn w:val="MarginNote"/>
    <w:rsid w:val="00FC3B91"/>
    <w:pPr>
      <w:spacing w:before="0" w:after="0"/>
    </w:pPr>
    <w:rPr>
      <w:rFonts w:ascii="Times New Roman" w:hAnsi="Times New Roman"/>
      <w:color w:val="999999"/>
    </w:rPr>
  </w:style>
  <w:style w:type="paragraph" w:customStyle="1" w:styleId="Spacer">
    <w:name w:val="Spacer"/>
    <w:basedOn w:val="Normal"/>
    <w:rsid w:val="00FC3B91"/>
    <w:rPr>
      <w:sz w:val="2"/>
      <w:szCs w:val="2"/>
    </w:rPr>
  </w:style>
  <w:style w:type="character" w:customStyle="1" w:styleId="Small">
    <w:name w:val="Small"/>
    <w:basedOn w:val="DefaultParagraphFont"/>
    <w:rsid w:val="00FC3B91"/>
    <w:rPr>
      <w:sz w:val="16"/>
    </w:rPr>
  </w:style>
  <w:style w:type="paragraph" w:customStyle="1" w:styleId="WideTable">
    <w:name w:val="Wide Table"/>
    <w:basedOn w:val="Normal"/>
    <w:rsid w:val="00FC3B91"/>
    <w:pPr>
      <w:ind w:left="-1418"/>
    </w:pPr>
    <w:rPr>
      <w:sz w:val="2"/>
      <w:szCs w:val="2"/>
    </w:rPr>
  </w:style>
  <w:style w:type="character" w:styleId="PageNumber">
    <w:name w:val="page number"/>
    <w:basedOn w:val="DefaultParagraphFont"/>
    <w:rsid w:val="00FC3B91"/>
  </w:style>
  <w:style w:type="paragraph" w:styleId="Quote">
    <w:name w:val="Quote"/>
    <w:basedOn w:val="Heading1"/>
    <w:link w:val="QuoteChar"/>
    <w:qFormat/>
    <w:rsid w:val="00FC3B91"/>
    <w:rPr>
      <w:b w:val="0"/>
      <w:sz w:val="72"/>
      <w:szCs w:val="72"/>
      <w:lang w:val="en-NZ"/>
    </w:rPr>
  </w:style>
  <w:style w:type="character" w:customStyle="1" w:styleId="QuoteChar">
    <w:name w:val="Quote Char"/>
    <w:basedOn w:val="DefaultParagraphFont"/>
    <w:link w:val="Quote"/>
    <w:rsid w:val="00FC3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B91"/>
    <w:pPr>
      <w:pageBreakBefore/>
    </w:pPr>
  </w:style>
  <w:style w:type="paragraph" w:customStyle="1" w:styleId="Border">
    <w:name w:val="Border"/>
    <w:basedOn w:val="Normal"/>
    <w:qFormat/>
    <w:rsid w:val="00FC3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B91"/>
    <w:rPr>
      <w:b/>
      <w:bCs/>
      <w:i/>
      <w:iCs/>
      <w:color w:val="auto"/>
    </w:rPr>
  </w:style>
  <w:style w:type="paragraph" w:styleId="IntenseQuote">
    <w:name w:val="Intense Quote"/>
    <w:basedOn w:val="Normal"/>
    <w:next w:val="Normal"/>
    <w:link w:val="IntenseQuoteChar"/>
    <w:uiPriority w:val="30"/>
    <w:qFormat/>
    <w:rsid w:val="00FC3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B91"/>
    <w:rPr>
      <w:smallCaps/>
      <w:color w:val="auto"/>
      <w:u w:val="single"/>
    </w:rPr>
  </w:style>
  <w:style w:type="character" w:styleId="IntenseReference">
    <w:name w:val="Intense Reference"/>
    <w:basedOn w:val="DefaultParagraphFont"/>
    <w:uiPriority w:val="32"/>
    <w:qFormat/>
    <w:rsid w:val="00FC3B91"/>
    <w:rPr>
      <w:b/>
      <w:bCs/>
      <w:smallCaps/>
      <w:color w:val="auto"/>
      <w:spacing w:val="5"/>
      <w:u w:val="single"/>
    </w:rPr>
  </w:style>
  <w:style w:type="paragraph" w:customStyle="1" w:styleId="2ColumnHeading">
    <w:name w:val="2Column Heading"/>
    <w:basedOn w:val="BodyText"/>
    <w:qFormat/>
    <w:rsid w:val="00FC3B91"/>
    <w:pPr>
      <w:spacing w:after="60"/>
      <w:ind w:left="-2268"/>
    </w:pPr>
    <w:rPr>
      <w:b/>
    </w:rPr>
  </w:style>
  <w:style w:type="paragraph" w:customStyle="1" w:styleId="Heading1TOC">
    <w:name w:val="Heading1 TOC"/>
    <w:basedOn w:val="Normal"/>
    <w:qFormat/>
    <w:rsid w:val="00FC3B91"/>
    <w:pPr>
      <w:spacing w:before="240" w:after="120"/>
    </w:pPr>
    <w:rPr>
      <w:rFonts w:ascii="Times New Roman" w:hAnsi="Times New Roman"/>
      <w:b/>
      <w:sz w:val="32"/>
    </w:rPr>
  </w:style>
  <w:style w:type="paragraph" w:customStyle="1" w:styleId="Heading2TOC">
    <w:name w:val="Heading2 TOC"/>
    <w:basedOn w:val="Normal"/>
    <w:qFormat/>
    <w:rsid w:val="00FC3B91"/>
    <w:pPr>
      <w:spacing w:before="240" w:after="60"/>
    </w:pPr>
    <w:rPr>
      <w:rFonts w:ascii="Times New Roman" w:hAnsi="Times New Roman"/>
      <w:b/>
      <w:sz w:val="28"/>
    </w:rPr>
  </w:style>
  <w:style w:type="character" w:customStyle="1" w:styleId="Underline">
    <w:name w:val="Underline"/>
    <w:basedOn w:val="DefaultParagraphFont"/>
    <w:qFormat/>
    <w:rsid w:val="00FC3B91"/>
    <w:rPr>
      <w:u w:val="single"/>
    </w:rPr>
  </w:style>
  <w:style w:type="character" w:customStyle="1" w:styleId="BoldandItalics">
    <w:name w:val="Bold and Italics"/>
    <w:qFormat/>
    <w:rsid w:val="00FC3B91"/>
    <w:rPr>
      <w:b/>
      <w:i/>
      <w:u w:val="none"/>
    </w:rPr>
  </w:style>
  <w:style w:type="paragraph" w:styleId="BalloonText">
    <w:name w:val="Balloon Text"/>
    <w:basedOn w:val="Normal"/>
    <w:link w:val="BalloonTextChar"/>
    <w:rsid w:val="00FC3B91"/>
    <w:rPr>
      <w:rFonts w:ascii="Tahoma" w:hAnsi="Tahoma" w:cs="Tahoma"/>
      <w:sz w:val="16"/>
      <w:szCs w:val="16"/>
    </w:rPr>
  </w:style>
  <w:style w:type="character" w:customStyle="1" w:styleId="BalloonTextChar">
    <w:name w:val="Balloon Text Char"/>
    <w:basedOn w:val="DefaultParagraphFont"/>
    <w:link w:val="BalloonText"/>
    <w:rsid w:val="00FC3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B91"/>
    <w:rPr>
      <w:b/>
      <w:color w:val="660033"/>
      <w:spacing w:val="0"/>
    </w:rPr>
  </w:style>
  <w:style w:type="paragraph" w:customStyle="1" w:styleId="Nameditemlist">
    <w:name w:val="Named item list"/>
    <w:basedOn w:val="BodyText"/>
    <w:qFormat/>
    <w:rsid w:val="00FC3B91"/>
    <w:pPr>
      <w:tabs>
        <w:tab w:val="left" w:pos="2835"/>
      </w:tabs>
      <w:ind w:left="2835" w:hanging="2835"/>
    </w:pPr>
  </w:style>
  <w:style w:type="paragraph" w:customStyle="1" w:styleId="BodyTextnopadding">
    <w:name w:val="Body Text no padding"/>
    <w:basedOn w:val="BodyText"/>
    <w:qFormat/>
    <w:rsid w:val="00FC3B91"/>
    <w:pPr>
      <w:spacing w:before="0" w:after="0"/>
    </w:pPr>
  </w:style>
  <w:style w:type="paragraph" w:customStyle="1" w:styleId="BodyTextBold">
    <w:name w:val="Body Text Bold"/>
    <w:basedOn w:val="BodyText"/>
    <w:qFormat/>
    <w:rsid w:val="00FC3B91"/>
    <w:rPr>
      <w:b/>
    </w:rPr>
  </w:style>
  <w:style w:type="character" w:styleId="Hyperlink">
    <w:name w:val="Hyperlink"/>
    <w:basedOn w:val="DefaultParagraphFont"/>
    <w:uiPriority w:val="99"/>
    <w:unhideWhenUsed/>
    <w:rsid w:val="00246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4572</Characters>
  <Application>Microsoft Office Word</Application>
  <DocSecurity>0</DocSecurity>
  <Lines>228</Lines>
  <Paragraphs>132</Paragraphs>
  <ScaleCrop>false</ScaleCrop>
  <Company>Author-it Software Corporation Ltd.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MSMSUP230 Monitor process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2024-04-26T01:57:00Z</dcterms:created>
  <dcterms:modified xsi:type="dcterms:W3CDTF">2024-04-26T01:57:00Z</dcterms:modified>
</cp:coreProperties>
</file>