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354" w:rsidP="004E2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MSMSUP205 Transfer loads</w:t>
      </w:r>
      <w:r>
        <w:fldChar w:fldCharType="end"/>
      </w:r>
    </w:p>
    <w:p w:rsidR="004E2354" w:rsidP="004E2354">
      <w:pPr>
        <w:pStyle w:val="Version"/>
        <w:sectPr w:rsidSect="00984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2AF" w:rsidP="009842AF">
      <w:pPr>
        <w:pStyle w:val="SuperHeading"/>
      </w:pPr>
      <w:r w:rsidRPr="009842AF">
        <w:t>Assessment Requirements for MSMSUP205 Transfer loads</w:t>
      </w:r>
    </w:p>
    <w:p w:rsidR="00000000" w:rsidRPr="009842AF" w:rsidP="009842AF">
      <w:pPr>
        <w:pStyle w:val="Heading1"/>
      </w:pPr>
      <w:bookmarkStart w:id="1" w:name="O_871746"/>
      <w:bookmarkEnd w:id="1"/>
      <w:r w:rsidRPr="009842AF">
        <w:t>Modification History</w:t>
      </w:r>
    </w:p>
    <w:p w:rsidR="00000000" w:rsidRPr="009842AF" w:rsidP="004E2354">
      <w:pPr>
        <w:pStyle w:val="BodyText"/>
      </w:pPr>
      <w:r w:rsidRPr="009842AF">
        <w:t>Release 1. Supersedes and is equivalent to MSAPMSUP205A Transfer loads</w:t>
      </w:r>
    </w:p>
    <w:p w:rsidR="00000000" w:rsidRPr="009842AF" w:rsidP="009842AF">
      <w:pPr>
        <w:pStyle w:val="Heading1"/>
      </w:pPr>
      <w:bookmarkStart w:id="2" w:name="O_871749"/>
      <w:bookmarkEnd w:id="2"/>
      <w:r w:rsidRPr="009842AF">
        <w:t>Performance Evidence</w:t>
      </w:r>
    </w:p>
    <w:p w:rsidR="00000000" w:rsidRPr="009842AF" w:rsidP="004E2354">
      <w:pPr>
        <w:pStyle w:val="BodyText"/>
      </w:pPr>
      <w:r w:rsidRPr="009842AF">
        <w:t>Evidence required to demonstrate competence in this unit must be relevant to and satisfy the requirements of the eleme</w:t>
      </w:r>
      <w:r w:rsidRPr="009842AF">
        <w:t>nts and performance criteria and must include the ability to:</w:t>
      </w:r>
    </w:p>
    <w:p w:rsidR="00000000" w:rsidRPr="009842AF" w:rsidP="009842AF">
      <w:pPr>
        <w:pStyle w:val="ListBullet"/>
      </w:pPr>
      <w:r w:rsidRPr="009842AF">
        <w:t xml:space="preserve">plan and prepare for the safe relocation of goods based on load characteristics, risk analysis, equipment to be used and calculation of load limits </w:t>
      </w:r>
    </w:p>
    <w:p w:rsidR="00000000" w:rsidRPr="009842AF" w:rsidP="009842AF">
      <w:pPr>
        <w:pStyle w:val="ListBullet"/>
      </w:pPr>
      <w:r w:rsidRPr="009842AF">
        <w:t>select and use equipment to lift and transfe</w:t>
      </w:r>
      <w:r w:rsidRPr="009842AF">
        <w:t>r load and perform pre and post-checks</w:t>
      </w:r>
    </w:p>
    <w:p w:rsidR="00000000" w:rsidRPr="009842AF" w:rsidP="009842AF">
      <w:pPr>
        <w:pStyle w:val="ListBullet"/>
      </w:pPr>
      <w:r w:rsidRPr="009842AF">
        <w:t>apply known solutions to routine problems</w:t>
      </w:r>
    </w:p>
    <w:p w:rsidR="00000000" w:rsidRPr="009842AF" w:rsidP="009842AF">
      <w:pPr>
        <w:pStyle w:val="ListBullet"/>
      </w:pPr>
      <w:r w:rsidRPr="009842AF">
        <w:t>complete documentation and records</w:t>
      </w:r>
    </w:p>
    <w:p w:rsidR="00000000" w:rsidRPr="009842AF" w:rsidP="009842AF">
      <w:pPr>
        <w:pStyle w:val="ListBullet"/>
      </w:pPr>
      <w:r w:rsidRPr="009842AF">
        <w:t>communicate effectively to clarify requirements, report problems and coordinate safe movement of the load.</w:t>
      </w:r>
    </w:p>
    <w:p w:rsidR="00000000" w:rsidRPr="009842AF" w:rsidP="009842AF">
      <w:pPr>
        <w:pStyle w:val="AllowPageBreak"/>
      </w:pPr>
    </w:p>
    <w:p w:rsidR="00000000" w:rsidRPr="009842AF" w:rsidP="009842AF">
      <w:pPr>
        <w:pStyle w:val="Heading1"/>
      </w:pPr>
      <w:bookmarkStart w:id="3" w:name="O_871748"/>
      <w:bookmarkEnd w:id="3"/>
      <w:r w:rsidRPr="009842AF">
        <w:t>Knowledge Eviden</w:t>
      </w:r>
      <w:r w:rsidRPr="009842AF">
        <w:t>ce</w:t>
      </w:r>
    </w:p>
    <w:p w:rsidR="00000000" w:rsidRPr="009842AF" w:rsidP="004E2354">
      <w:pPr>
        <w:pStyle w:val="BodyText"/>
      </w:pPr>
      <w:r w:rsidRPr="009842AF">
        <w:t>Evidence must be provided that demonstrates knowledge of:</w:t>
      </w:r>
    </w:p>
    <w:p w:rsidR="00000000" w:rsidRPr="009842AF" w:rsidP="009842AF">
      <w:pPr>
        <w:pStyle w:val="ListBullet"/>
      </w:pPr>
      <w:r w:rsidRPr="009842AF">
        <w:t>organisation procedures, including:</w:t>
      </w:r>
    </w:p>
    <w:p w:rsidR="00000000" w:rsidRPr="009842AF" w:rsidP="009842AF">
      <w:pPr>
        <w:pStyle w:val="ListBullet2"/>
      </w:pPr>
      <w:r w:rsidRPr="009842AF">
        <w:t>safety, emergency and hazard control</w:t>
      </w:r>
    </w:p>
    <w:p w:rsidR="00000000" w:rsidRPr="009842AF" w:rsidP="009842AF">
      <w:pPr>
        <w:pStyle w:val="ListBullet"/>
      </w:pPr>
      <w:r w:rsidRPr="009842AF">
        <w:t>types, application and capacity of load shifting equipment and any licensing requirements</w:t>
      </w:r>
    </w:p>
    <w:p w:rsidR="00000000" w:rsidRPr="009842AF" w:rsidP="009842AF">
      <w:pPr>
        <w:pStyle w:val="ListBullet"/>
      </w:pPr>
      <w:r w:rsidRPr="009842AF">
        <w:t>hazards that may arise in load transfer, including:</w:t>
      </w:r>
    </w:p>
    <w:p w:rsidR="00000000" w:rsidRPr="009842AF" w:rsidP="009842AF">
      <w:pPr>
        <w:pStyle w:val="ListBullet2"/>
      </w:pPr>
      <w:r w:rsidRPr="009842AF">
        <w:t xml:space="preserve">their possible causes </w:t>
      </w:r>
    </w:p>
    <w:p w:rsidR="00000000" w:rsidRPr="009842AF" w:rsidP="009842AF">
      <w:pPr>
        <w:pStyle w:val="ListBullet2"/>
      </w:pPr>
      <w:r w:rsidRPr="009842AF">
        <w:t>potential consequences</w:t>
      </w:r>
    </w:p>
    <w:p w:rsidR="004E2354" w:rsidP="009842AF">
      <w:pPr>
        <w:pStyle w:val="ListBullet2"/>
      </w:pPr>
      <w:r w:rsidRPr="009842AF">
        <w:t>appropriate risk controls.</w:t>
      </w:r>
    </w:p>
    <w:p w:rsidR="004E2354" w:rsidP="009842AF">
      <w:pPr>
        <w:pStyle w:val="ListBullet2"/>
      </w:pPr>
    </w:p>
    <w:p w:rsidR="00000000" w:rsidRPr="009842AF" w:rsidP="009842AF">
      <w:pPr>
        <w:pStyle w:val="Heading1"/>
      </w:pPr>
      <w:bookmarkStart w:id="4" w:name="O_871747"/>
      <w:bookmarkEnd w:id="4"/>
      <w:r w:rsidRPr="009842AF">
        <w:t>Assessment Conditions</w:t>
      </w:r>
    </w:p>
    <w:p w:rsidR="00000000" w:rsidRPr="009842AF" w:rsidP="009842AF">
      <w:pPr>
        <w:pStyle w:val="ListBullet"/>
      </w:pPr>
      <w:r w:rsidRPr="009842AF">
        <w:t>The unit should be assessed holistically and the judgement of competence based on a holis</w:t>
      </w:r>
      <w:r w:rsidRPr="009842AF">
        <w:t>tic assessment of the evidence.</w:t>
      </w:r>
    </w:p>
    <w:p w:rsidR="00000000" w:rsidRPr="009842AF" w:rsidP="009842AF">
      <w:pPr>
        <w:pStyle w:val="ListBullet"/>
      </w:pPr>
      <w:r w:rsidRPr="009842AF">
        <w:t>The collection of performance evidence:</w:t>
      </w:r>
    </w:p>
    <w:p w:rsidR="00000000" w:rsidRPr="009842AF" w:rsidP="009842AF">
      <w:pPr>
        <w:pStyle w:val="ListBullet2"/>
      </w:pPr>
      <w:r w:rsidRPr="009842AF">
        <w:t xml:space="preserve">should occur over a range of situations which include typical disruptions to normal, smooth operations </w:t>
      </w:r>
    </w:p>
    <w:p w:rsidR="00000000" w:rsidRPr="009842AF" w:rsidP="009842AF">
      <w:pPr>
        <w:pStyle w:val="ListBullet2"/>
      </w:pPr>
      <w:r w:rsidRPr="009842AF">
        <w:t>will typically include a supervisor/third-party report focusing on consistent p</w:t>
      </w:r>
      <w:r w:rsidRPr="009842AF">
        <w:t>erformance and problem recognition and solving. A supervisor/third-party report must be prepared by someone who has a direct, relevant, current relationship with the person being assessed and who is in a position to form a judgement on workplace performanc</w:t>
      </w:r>
      <w:r w:rsidRPr="009842AF">
        <w:t xml:space="preserve">e relevant to the unit of competency </w:t>
      </w:r>
    </w:p>
    <w:p w:rsidR="00000000" w:rsidRPr="009842AF" w:rsidP="009842AF">
      <w:pPr>
        <w:pStyle w:val="ListBullet2"/>
      </w:pPr>
      <w:r w:rsidRPr="009842AF">
        <w:t>must include the use of appropriate tools, equipment and safety gear requiring demonstration of preparation, operation, completion and responding to problems</w:t>
      </w:r>
    </w:p>
    <w:p w:rsidR="00000000" w:rsidRPr="009842AF" w:rsidP="009842AF">
      <w:pPr>
        <w:pStyle w:val="ListBullet2"/>
      </w:pPr>
      <w:r w:rsidRPr="009842AF">
        <w:t>may use industry-based simulation for all or part of the uni</w:t>
      </w:r>
      <w:r w:rsidRPr="009842AF">
        <w:t>t particularly where safety, lack of opportunity or significant cost is an issue.</w:t>
      </w:r>
    </w:p>
    <w:p w:rsidR="00000000" w:rsidRPr="009842AF" w:rsidP="009842AF">
      <w:pPr>
        <w:pStyle w:val="ListBullet"/>
      </w:pPr>
      <w:r w:rsidRPr="009842AF">
        <w:t xml:space="preserve">Assessment should occur in operational workplace situations. Where this is not possible, or </w:t>
      </w:r>
      <w:r w:rsidRPr="009842AF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9842AF">
        <w:t xml:space="preserve">g environment, task skills, task management skills, contingency management skills and job role environment skills.  </w:t>
      </w:r>
    </w:p>
    <w:p w:rsidR="00000000" w:rsidRPr="009842AF" w:rsidP="009842AF">
      <w:pPr>
        <w:pStyle w:val="ListBullet"/>
      </w:pPr>
      <w:r w:rsidRPr="009842AF">
        <w:t xml:space="preserve">Assessment in a simulated environment should use evidence collected from one or more of: </w:t>
      </w:r>
    </w:p>
    <w:p w:rsidR="00000000" w:rsidRPr="009842AF" w:rsidP="009842AF">
      <w:pPr>
        <w:pStyle w:val="ListBullet2"/>
      </w:pPr>
      <w:r w:rsidRPr="009842AF">
        <w:t>walk-throughs</w:t>
      </w:r>
    </w:p>
    <w:p w:rsidR="00000000" w:rsidRPr="009842AF" w:rsidP="009842AF">
      <w:pPr>
        <w:pStyle w:val="ListBullet2"/>
      </w:pPr>
      <w:r w:rsidRPr="009842AF">
        <w:t>pilot plant operation</w:t>
      </w:r>
    </w:p>
    <w:p w:rsidR="00000000" w:rsidRPr="009842AF" w:rsidP="009842AF">
      <w:pPr>
        <w:pStyle w:val="ListBullet2"/>
      </w:pPr>
      <w:r w:rsidRPr="009842AF">
        <w:t>demonstratio</w:t>
      </w:r>
      <w:r w:rsidRPr="009842AF">
        <w:t xml:space="preserve">n of skills </w:t>
      </w:r>
    </w:p>
    <w:p w:rsidR="00000000" w:rsidRPr="009842AF" w:rsidP="009842AF">
      <w:pPr>
        <w:pStyle w:val="ListBullet2"/>
      </w:pPr>
      <w:r w:rsidRPr="009842AF">
        <w:t xml:space="preserve">industry-based case studies/scenarios </w:t>
      </w:r>
    </w:p>
    <w:p w:rsidR="00000000" w:rsidRPr="009842AF" w:rsidP="009842AF">
      <w:pPr>
        <w:pStyle w:val="ListBullet2"/>
      </w:pPr>
      <w:r w:rsidRPr="009842AF">
        <w:t>‘what ifs’.</w:t>
      </w:r>
    </w:p>
    <w:p w:rsidR="00000000" w:rsidRPr="009842AF" w:rsidP="009842AF">
      <w:pPr>
        <w:pStyle w:val="ListBullet"/>
      </w:pPr>
      <w:r w:rsidRPr="009842AF">
        <w:t xml:space="preserve">Knowledge evidence may be collected concurrently with performance evidence (provided a record is kept) or through an independent process, such as workbooks, written assessments or interviews </w:t>
      </w:r>
      <w:r w:rsidRPr="009842AF">
        <w:t>(provided a record is kept).</w:t>
      </w:r>
    </w:p>
    <w:p w:rsidR="00000000" w:rsidRPr="009842AF" w:rsidP="009842AF">
      <w:pPr>
        <w:pStyle w:val="ListBullet"/>
      </w:pPr>
      <w:r w:rsidRPr="009842AF">
        <w:t>Assessment processes and techniques must be appropriate to the language, literacy and numeracy requirements of the work being performed and the needs of the candidate.</w:t>
      </w:r>
    </w:p>
    <w:p w:rsidR="00000000" w:rsidRPr="009842AF" w:rsidP="009842AF">
      <w:pPr>
        <w:pStyle w:val="ListBullet"/>
      </w:pPr>
      <w:r w:rsidRPr="009842AF">
        <w:t>Conditions for assessment must include access to all tools,</w:t>
      </w:r>
      <w:r w:rsidRPr="009842AF">
        <w:t xml:space="preserve"> equipment, materials and documentation required, including relevant workplace procedures, product and manufacturing specifications associated with this unit.</w:t>
      </w:r>
    </w:p>
    <w:p w:rsidR="00000000" w:rsidRPr="009842AF" w:rsidP="009842AF">
      <w:pPr>
        <w:pStyle w:val="ListBullet"/>
      </w:pPr>
      <w:r w:rsidRPr="009842AF">
        <w:t>The regulatory framework will be reflected in workplace policies and procedures and is not requir</w:t>
      </w:r>
      <w:r w:rsidRPr="009842AF">
        <w:t>ed to be independently assessed.</w:t>
      </w:r>
    </w:p>
    <w:p w:rsidR="00000000" w:rsidRPr="009842AF" w:rsidP="009842AF">
      <w:pPr>
        <w:pStyle w:val="ListBullet"/>
      </w:pPr>
      <w:r w:rsidRPr="009842AF">
        <w:t>Foundation skills are integral to competent performance of the unit and should not be assessed separately.</w:t>
      </w:r>
    </w:p>
    <w:p w:rsidR="00000000" w:rsidRPr="009842AF" w:rsidP="009842AF">
      <w:pPr>
        <w:pStyle w:val="ListBullet"/>
      </w:pPr>
      <w:r w:rsidRPr="009842AF">
        <w:t>As a minimum, assessors must satisfy the Standards for Registered Training Organisations 2015 assessor requirements.</w:t>
      </w:r>
    </w:p>
    <w:p w:rsidR="00000000" w:rsidRPr="009842AF" w:rsidP="009842AF">
      <w:pPr>
        <w:pStyle w:val="AllowPageBreak"/>
      </w:pPr>
    </w:p>
    <w:p w:rsidR="00000000" w:rsidRPr="009842AF" w:rsidP="009842AF">
      <w:pPr>
        <w:pStyle w:val="Heading1"/>
      </w:pPr>
      <w:bookmarkStart w:id="5" w:name="O_871745"/>
      <w:bookmarkEnd w:id="5"/>
      <w:r w:rsidRPr="009842AF">
        <w:t>Links</w:t>
      </w:r>
    </w:p>
    <w:p w:rsidR="00000000" w:rsidRPr="009842AF" w:rsidP="004E2354">
      <w:pPr>
        <w:pStyle w:val="BodyText"/>
      </w:pPr>
      <w:r w:rsidRPr="00984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911F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842AF" w:rsidP="009842AF"/>
    <w:sectPr w:rsidSect="00984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AF" w:rsidRPr="004E2354" w:rsidP="004E2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54" w:rsidP="00984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354" w:rsidP="00984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354" w:rsidP="00984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2AF" w:rsidRPr="004E2354" w:rsidP="004E2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54" w:rsidRPr="002D2AF8" w:rsidP="00984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MSMSUP205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2354" w:rsidP="00984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C3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6E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2E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2AF"/>
  </w:style>
  <w:style w:type="character" w:customStyle="1" w:styleId="Heading1Char">
    <w:name w:val="Heading 1 Char"/>
    <w:basedOn w:val="DefaultParagraphFont"/>
    <w:link w:val="Heading1"/>
    <w:rsid w:val="00984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2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42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2AF"/>
    <w:rPr>
      <w:b/>
      <w:spacing w:val="0"/>
    </w:rPr>
  </w:style>
  <w:style w:type="paragraph" w:customStyle="1" w:styleId="SuperTitle">
    <w:name w:val="SuperTitle"/>
    <w:basedOn w:val="Title"/>
    <w:rsid w:val="00984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2AF"/>
    <w:rPr>
      <w:i/>
    </w:rPr>
  </w:style>
  <w:style w:type="paragraph" w:styleId="Caption">
    <w:name w:val="caption"/>
    <w:basedOn w:val="BodyText"/>
    <w:next w:val="Normal"/>
    <w:qFormat/>
    <w:rsid w:val="00984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2AF"/>
  </w:style>
  <w:style w:type="paragraph" w:styleId="TableofFigures">
    <w:name w:val="table of figures"/>
    <w:basedOn w:val="Normal"/>
    <w:next w:val="Normal"/>
    <w:semiHidden/>
    <w:rsid w:val="00984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2AF"/>
    <w:rPr>
      <w:rFonts w:ascii="Wingdings" w:hAnsi="Wingdings"/>
    </w:rPr>
  </w:style>
  <w:style w:type="paragraph" w:customStyle="1" w:styleId="TableHeading">
    <w:name w:val="Table Heading"/>
    <w:basedOn w:val="HeadingBase"/>
    <w:rsid w:val="00984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2AF"/>
    <w:rPr>
      <w:color w:val="0033CC"/>
      <w:u w:val="none"/>
    </w:rPr>
  </w:style>
  <w:style w:type="paragraph" w:customStyle="1" w:styleId="BodyTextRight">
    <w:name w:val="Body Text Right"/>
    <w:basedOn w:val="BodyText"/>
    <w:rsid w:val="00984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2AF"/>
    <w:rPr>
      <w:sz w:val="32"/>
    </w:rPr>
  </w:style>
  <w:style w:type="paragraph" w:customStyle="1" w:styleId="HeadingProcedure">
    <w:name w:val="Heading Procedure"/>
    <w:basedOn w:val="HeadingBase"/>
    <w:next w:val="Normal"/>
    <w:rsid w:val="00984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2AF"/>
    <w:pPr>
      <w:spacing w:before="60" w:after="60"/>
    </w:pPr>
  </w:style>
  <w:style w:type="paragraph" w:styleId="ListContinue">
    <w:name w:val="List Continue"/>
    <w:basedOn w:val="List"/>
    <w:rsid w:val="009842AF"/>
    <w:pPr>
      <w:ind w:firstLine="0"/>
    </w:pPr>
  </w:style>
  <w:style w:type="paragraph" w:customStyle="1" w:styleId="ListNote">
    <w:name w:val="List Note"/>
    <w:basedOn w:val="List"/>
    <w:rsid w:val="00984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2AF"/>
    <w:rPr>
      <w:rFonts w:ascii="Courier New" w:hAnsi="Courier New"/>
    </w:rPr>
  </w:style>
  <w:style w:type="paragraph" w:customStyle="1" w:styleId="NoteBullet">
    <w:name w:val="Note Bullet"/>
    <w:basedOn w:val="Note"/>
    <w:rsid w:val="00984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2AF"/>
    <w:rPr>
      <w:b/>
      <w:smallCaps/>
    </w:rPr>
  </w:style>
  <w:style w:type="paragraph" w:customStyle="1" w:styleId="TableListNumber">
    <w:name w:val="Table List Number"/>
    <w:basedOn w:val="ListNumber"/>
    <w:rsid w:val="00984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2AF"/>
    <w:pPr>
      <w:numPr>
        <w:numId w:val="9"/>
      </w:numPr>
    </w:pPr>
  </w:style>
  <w:style w:type="paragraph" w:customStyle="1" w:styleId="ListAlpha2">
    <w:name w:val="List Alpha 2"/>
    <w:basedOn w:val="List2"/>
    <w:rsid w:val="009842AF"/>
    <w:pPr>
      <w:numPr>
        <w:numId w:val="8"/>
      </w:numPr>
    </w:pPr>
  </w:style>
  <w:style w:type="paragraph" w:styleId="List2">
    <w:name w:val="List 2"/>
    <w:basedOn w:val="BodyText"/>
    <w:rsid w:val="00984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2AF"/>
    <w:pPr>
      <w:numPr>
        <w:numId w:val="4"/>
      </w:numPr>
    </w:pPr>
  </w:style>
  <w:style w:type="paragraph" w:styleId="ListContinue2">
    <w:name w:val="List Continue 2"/>
    <w:basedOn w:val="List2"/>
    <w:rsid w:val="009842AF"/>
    <w:pPr>
      <w:ind w:firstLine="0"/>
    </w:pPr>
  </w:style>
  <w:style w:type="paragraph" w:styleId="ListContinue3">
    <w:name w:val="List Continue 3"/>
    <w:basedOn w:val="List3"/>
    <w:rsid w:val="009842AF"/>
    <w:pPr>
      <w:ind w:left="1021" w:firstLine="0"/>
    </w:pPr>
  </w:style>
  <w:style w:type="paragraph" w:styleId="ListContinue4">
    <w:name w:val="List Continue 4"/>
    <w:basedOn w:val="List4"/>
    <w:rsid w:val="009842AF"/>
    <w:pPr>
      <w:ind w:firstLine="0"/>
    </w:pPr>
  </w:style>
  <w:style w:type="paragraph" w:styleId="ListContinue5">
    <w:name w:val="List Continue 5"/>
    <w:basedOn w:val="List5"/>
    <w:rsid w:val="009842AF"/>
    <w:pPr>
      <w:ind w:firstLine="0"/>
    </w:pPr>
  </w:style>
  <w:style w:type="paragraph" w:styleId="ListNumber3">
    <w:name w:val="List Number 3"/>
    <w:basedOn w:val="List3"/>
    <w:rsid w:val="009842AF"/>
    <w:pPr>
      <w:numPr>
        <w:numId w:val="5"/>
      </w:numPr>
    </w:pPr>
  </w:style>
  <w:style w:type="paragraph" w:styleId="ListNumber4">
    <w:name w:val="List Number 4"/>
    <w:basedOn w:val="List4"/>
    <w:rsid w:val="009842AF"/>
    <w:pPr>
      <w:numPr>
        <w:numId w:val="6"/>
      </w:numPr>
    </w:pPr>
  </w:style>
  <w:style w:type="paragraph" w:styleId="ListNumber5">
    <w:name w:val="List Number 5"/>
    <w:basedOn w:val="List5"/>
    <w:rsid w:val="009842AF"/>
    <w:pPr>
      <w:numPr>
        <w:numId w:val="7"/>
      </w:numPr>
    </w:pPr>
  </w:style>
  <w:style w:type="paragraph" w:styleId="BlockText">
    <w:name w:val="Block Text"/>
    <w:basedOn w:val="Normal"/>
    <w:rsid w:val="00984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2AF"/>
    <w:rPr>
      <w:sz w:val="16"/>
      <w:vertAlign w:val="superscript"/>
    </w:rPr>
  </w:style>
  <w:style w:type="character" w:customStyle="1" w:styleId="Symbols">
    <w:name w:val="Symbols"/>
    <w:basedOn w:val="DefaultParagraphFont"/>
    <w:rsid w:val="009842AF"/>
    <w:rPr>
      <w:rFonts w:ascii="Symbol" w:hAnsi="Symbol"/>
    </w:rPr>
  </w:style>
  <w:style w:type="character" w:customStyle="1" w:styleId="MenuOptions">
    <w:name w:val="Menu Options"/>
    <w:basedOn w:val="DefaultParagraphFont"/>
    <w:rsid w:val="00984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2AF"/>
    <w:rPr>
      <w:b/>
    </w:rPr>
  </w:style>
  <w:style w:type="character" w:customStyle="1" w:styleId="Underlined">
    <w:name w:val="Underlined"/>
    <w:basedOn w:val="DefaultParagraphFont"/>
    <w:rsid w:val="009842AF"/>
    <w:rPr>
      <w:u w:val="single"/>
    </w:rPr>
  </w:style>
  <w:style w:type="paragraph" w:customStyle="1" w:styleId="TableBodyTextRight">
    <w:name w:val="Table Body Text Right"/>
    <w:basedOn w:val="TableBodyText"/>
    <w:rsid w:val="00984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2AF"/>
    <w:rPr>
      <w:sz w:val="18"/>
    </w:rPr>
  </w:style>
  <w:style w:type="paragraph" w:customStyle="1" w:styleId="BodySmallRight">
    <w:name w:val="Body Small Right"/>
    <w:basedOn w:val="BodyTextRight"/>
    <w:rsid w:val="009842AF"/>
    <w:rPr>
      <w:sz w:val="18"/>
      <w:szCs w:val="18"/>
    </w:rPr>
  </w:style>
  <w:style w:type="paragraph" w:customStyle="1" w:styleId="MarginEdition">
    <w:name w:val="Margin Edition"/>
    <w:basedOn w:val="MarginNote"/>
    <w:rsid w:val="00984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2AF"/>
    <w:rPr>
      <w:sz w:val="2"/>
      <w:szCs w:val="2"/>
    </w:rPr>
  </w:style>
  <w:style w:type="character" w:customStyle="1" w:styleId="Small">
    <w:name w:val="Small"/>
    <w:basedOn w:val="DefaultParagraphFont"/>
    <w:rsid w:val="009842AF"/>
    <w:rPr>
      <w:sz w:val="16"/>
    </w:rPr>
  </w:style>
  <w:style w:type="paragraph" w:customStyle="1" w:styleId="WideTable">
    <w:name w:val="Wide Table"/>
    <w:basedOn w:val="Normal"/>
    <w:rsid w:val="00984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2AF"/>
  </w:style>
  <w:style w:type="paragraph" w:styleId="Quote">
    <w:name w:val="Quote"/>
    <w:basedOn w:val="Heading1"/>
    <w:link w:val="QuoteChar"/>
    <w:qFormat/>
    <w:rsid w:val="00984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2AF"/>
    <w:pPr>
      <w:pageBreakBefore/>
    </w:pPr>
  </w:style>
  <w:style w:type="paragraph" w:customStyle="1" w:styleId="Border">
    <w:name w:val="Border"/>
    <w:basedOn w:val="Normal"/>
    <w:qFormat/>
    <w:rsid w:val="00984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2AF"/>
    <w:rPr>
      <w:u w:val="single"/>
    </w:rPr>
  </w:style>
  <w:style w:type="character" w:customStyle="1" w:styleId="BoldandItalics">
    <w:name w:val="Bold and Italics"/>
    <w:qFormat/>
    <w:rsid w:val="009842AF"/>
    <w:rPr>
      <w:b/>
      <w:i/>
      <w:u w:val="none"/>
    </w:rPr>
  </w:style>
  <w:style w:type="paragraph" w:styleId="BalloonText">
    <w:name w:val="Balloon Text"/>
    <w:basedOn w:val="Normal"/>
    <w:link w:val="BalloonTextChar"/>
    <w:rsid w:val="00984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2AF"/>
    <w:pPr>
      <w:spacing w:before="0" w:after="0"/>
    </w:pPr>
  </w:style>
  <w:style w:type="paragraph" w:customStyle="1" w:styleId="BodyTextBold">
    <w:name w:val="Body Text Bold"/>
    <w:basedOn w:val="BodyText"/>
    <w:qFormat/>
    <w:rsid w:val="009842AF"/>
    <w:rPr>
      <w:b/>
    </w:rPr>
  </w:style>
  <w:style w:type="character" w:styleId="Hyperlink">
    <w:name w:val="Hyperlink"/>
    <w:basedOn w:val="DefaultParagraphFont"/>
    <w:uiPriority w:val="99"/>
    <w:unhideWhenUsed/>
    <w:rsid w:val="004E2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3553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MSMSUP205 Transfer loads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