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2825" w:rsidP="00D72825">
      <w:pPr>
        <w:pStyle w:val="Title"/>
      </w:pPr>
      <w:r>
        <w:fldChar w:fldCharType="begin"/>
      </w:r>
      <w:r>
        <w:instrText xml:space="preserve"> TITLE   \* MERGEFORMAT </w:instrText>
      </w:r>
      <w:r>
        <w:fldChar w:fldCharType="separate"/>
      </w:r>
      <w:r>
        <w:t>MSMSUP204 Pack products or materials</w:t>
      </w:r>
      <w:r>
        <w:fldChar w:fldCharType="end"/>
      </w:r>
    </w:p>
    <w:p w:rsidR="00D72825" w:rsidP="00D72825">
      <w:pPr>
        <w:pStyle w:val="Version"/>
        <w:sectPr w:rsidSect="00DF7C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7C30" w:rsidP="00DF7C30">
      <w:pPr>
        <w:pStyle w:val="SuperHeading"/>
      </w:pPr>
      <w:r w:rsidRPr="00DF7C30">
        <w:t>MSMSUP204 Pack products or materials</w:t>
      </w:r>
    </w:p>
    <w:p w:rsidR="00000000" w:rsidRPr="00DF7C30" w:rsidP="00DF7C30">
      <w:pPr>
        <w:pStyle w:val="Heading1"/>
      </w:pPr>
      <w:bookmarkStart w:id="1" w:name="O_871598"/>
      <w:bookmarkEnd w:id="1"/>
      <w:r w:rsidRPr="00DF7C30">
        <w:t>Modification History</w:t>
      </w:r>
    </w:p>
    <w:p w:rsidR="00000000" w:rsidRPr="00DF7C30" w:rsidP="00D72825">
      <w:pPr>
        <w:pStyle w:val="BodyText"/>
      </w:pPr>
      <w:r w:rsidRPr="00DF7C30">
        <w:t>Release 1. Supersedes and is equivalent to MSAPMSUP204A Pack products or materials</w:t>
      </w:r>
    </w:p>
    <w:p w:rsidR="00000000" w:rsidRPr="00DF7C30" w:rsidP="00DF7C30">
      <w:pPr>
        <w:pStyle w:val="Heading1"/>
      </w:pPr>
      <w:bookmarkStart w:id="2" w:name="O_871606"/>
      <w:bookmarkEnd w:id="2"/>
      <w:r w:rsidRPr="00DF7C30">
        <w:t>Application</w:t>
      </w:r>
    </w:p>
    <w:p w:rsidR="00000000" w:rsidRPr="00DF7C30" w:rsidP="00D72825">
      <w:pPr>
        <w:pStyle w:val="BodyText"/>
      </w:pPr>
      <w:r w:rsidRPr="00DF7C30">
        <w:t>This unit of competency covers the skills and knowledge required to package products and/or materials to prepare them for d</w:t>
      </w:r>
      <w:r w:rsidRPr="00DF7C30">
        <w:t xml:space="preserve">espatch, warehousing or storage. </w:t>
      </w:r>
    </w:p>
    <w:p w:rsidR="00000000" w:rsidRPr="00DF7C30" w:rsidP="00D72825">
      <w:pPr>
        <w:pStyle w:val="BodyText"/>
      </w:pPr>
      <w:r w:rsidRPr="00DF7C30">
        <w:t>It applies to operators who are required to identify packaging requirements, use technology to package the goods and complete labelling and documentation. It covers the packaging of liquids or particulate solids, drums an</w:t>
      </w:r>
      <w:r w:rsidRPr="00DF7C30">
        <w:t>d semi-bulk containers, and so on.</w:t>
      </w:r>
    </w:p>
    <w:p w:rsidR="00000000" w:rsidRPr="00DF7C30" w:rsidP="00D72825">
      <w:pPr>
        <w:pStyle w:val="BodyText"/>
      </w:pPr>
      <w:r w:rsidRPr="00DF7C30">
        <w:t>This unit of competency applies to an individual working alone or as part of a team or group and working in liaison with other shift team members and the control room operator, as appropriate.</w:t>
      </w:r>
    </w:p>
    <w:p w:rsidR="00000000" w:rsidRPr="00DF7C30" w:rsidP="00D72825">
      <w:pPr>
        <w:pStyle w:val="BodyText"/>
      </w:pPr>
      <w:r w:rsidRPr="00DF7C30">
        <w:t>This unit of competency in</w:t>
      </w:r>
      <w:r w:rsidRPr="00DF7C30">
        <w:t xml:space="preserve">cludes the operation of all relevant ancillary equipment, such as pumps, valves, scales and other equipment integral to the packing operation. </w:t>
      </w:r>
    </w:p>
    <w:p w:rsidR="00000000" w:rsidRPr="00DF7C30" w:rsidP="00D72825">
      <w:pPr>
        <w:pStyle w:val="BodyText"/>
      </w:pPr>
      <w:r w:rsidRPr="00DF7C30">
        <w:t>No licensing, legislative or certification requirements apply to this unit at the time of publication.</w:t>
      </w:r>
    </w:p>
    <w:p w:rsidR="00D72825" w:rsidP="00D72825">
      <w:pPr>
        <w:pStyle w:val="BodyText"/>
      </w:pPr>
      <w:r w:rsidRPr="00DF7C30">
        <w:t>The per</w:t>
      </w:r>
      <w:r w:rsidRPr="00DF7C30">
        <w:t>son undertaking this role may require licences to cover the operation of forklift trucks or other regulated load shifting devices. Licensing or certification may be required by the local Worksafe or other regulatory authority.</w:t>
      </w:r>
    </w:p>
    <w:p w:rsidR="00000000" w:rsidRPr="00DF7C30" w:rsidP="00DF7C30">
      <w:pPr>
        <w:pStyle w:val="Heading1"/>
      </w:pPr>
      <w:bookmarkStart w:id="3" w:name="O_871605"/>
      <w:bookmarkEnd w:id="3"/>
      <w:r w:rsidRPr="00DF7C30">
        <w:t>Pre-requisi</w:t>
      </w:r>
      <w:r w:rsidRPr="00DF7C30">
        <w:t>te Unit</w:t>
      </w:r>
    </w:p>
    <w:p w:rsidR="00000000" w:rsidRPr="00DF7C30" w:rsidP="00D72825">
      <w:pPr>
        <w:pStyle w:val="BodyText"/>
      </w:pPr>
      <w:r w:rsidRPr="00DF7C30">
        <w:t>Nil</w:t>
      </w:r>
    </w:p>
    <w:p w:rsidR="00000000" w:rsidRPr="00DF7C30" w:rsidP="00DF7C30">
      <w:pPr>
        <w:pStyle w:val="Heading1"/>
      </w:pPr>
      <w:bookmarkStart w:id="4" w:name="O_871604"/>
      <w:bookmarkEnd w:id="4"/>
      <w:r w:rsidRPr="00DF7C30">
        <w:t>Competency Field</w:t>
      </w:r>
    </w:p>
    <w:p w:rsidR="00000000" w:rsidRPr="00DF7C30" w:rsidP="00D72825">
      <w:pPr>
        <w:pStyle w:val="BodyText"/>
      </w:pPr>
      <w:r w:rsidRPr="00DF7C30">
        <w:t>Support</w:t>
      </w:r>
    </w:p>
    <w:p w:rsidR="00000000" w:rsidRPr="00DF7C30" w:rsidP="00DF7C30">
      <w:pPr>
        <w:pStyle w:val="Heading1"/>
      </w:pPr>
      <w:bookmarkStart w:id="5" w:name="O_871603"/>
      <w:bookmarkEnd w:id="5"/>
      <w:r w:rsidRPr="00DF7C30">
        <w:t>Unit Sector</w:t>
      </w:r>
    </w:p>
    <w:p w:rsidR="00000000" w:rsidRPr="00DF7C30" w:rsidP="00DF7C30">
      <w:pPr>
        <w:pStyle w:val="Heading1"/>
      </w:pPr>
      <w:bookmarkStart w:id="6" w:name="O_871602"/>
      <w:bookmarkEnd w:id="6"/>
      <w:r w:rsidRPr="00DF7C3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F7C3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F7C30">
            <w:pPr>
              <w:pStyle w:val="BodyText"/>
              <w:rPr>
                <w:lang w:val="en-NZ"/>
              </w:rPr>
            </w:pPr>
            <w:r w:rsidRPr="00DF7C3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F7C30">
            <w:pPr>
              <w:pStyle w:val="BodyText"/>
              <w:rPr>
                <w:lang w:val="en-NZ"/>
              </w:rPr>
            </w:pPr>
            <w:r w:rsidRPr="00DF7C30">
              <w:t>Performance criteria describe the performance needed to demonstrate achievement of the element</w:t>
            </w:r>
          </w:p>
        </w:tc>
      </w:tr>
      <w:tr w:rsidTr="00DF7C3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DF7C30">
            <w:pPr>
              <w:pStyle w:val="BodyText"/>
              <w:rPr>
                <w:lang w:val="en-NZ"/>
              </w:rPr>
            </w:pPr>
          </w:p>
        </w:tc>
      </w:tr>
      <w:tr w:rsidTr="00DF7C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F7C30">
            <w:pPr>
              <w:pStyle w:val="BodyText"/>
              <w:rPr>
                <w:lang w:val="en-NZ"/>
              </w:rPr>
            </w:pPr>
            <w:r w:rsidRPr="00DF7C30">
              <w:t>1</w:t>
            </w:r>
          </w:p>
        </w:tc>
        <w:tc>
          <w:tcPr>
            <w:tcW w:w="1962" w:type="dxa"/>
            <w:vMerge w:val="restart"/>
            <w:tcBorders>
              <w:top w:val="nil"/>
              <w:left w:val="nil"/>
              <w:bottom w:val="nil"/>
              <w:right w:val="nil"/>
            </w:tcBorders>
            <w:tcMar>
              <w:top w:w="0" w:type="dxa"/>
              <w:left w:w="62" w:type="dxa"/>
              <w:bottom w:w="0" w:type="dxa"/>
              <w:right w:w="62" w:type="dxa"/>
            </w:tcMar>
          </w:tcPr>
          <w:p w:rsidR="00000000" w:rsidP="00DF7C30">
            <w:pPr>
              <w:pStyle w:val="BodyText"/>
              <w:rPr>
                <w:lang w:val="en-NZ"/>
              </w:rPr>
            </w:pPr>
            <w:r w:rsidRPr="00DF7C30">
              <w:t>Prepare goods/materials for packaging</w:t>
            </w:r>
          </w:p>
        </w:tc>
        <w:tc>
          <w:tcPr>
            <w:tcW w:w="770" w:type="dxa"/>
            <w:tcBorders>
              <w:top w:val="nil"/>
              <w:left w:val="nil"/>
              <w:bottom w:val="nil"/>
              <w:right w:val="nil"/>
            </w:tcBorders>
            <w:tcMar>
              <w:top w:w="0" w:type="dxa"/>
              <w:left w:w="62" w:type="dxa"/>
              <w:bottom w:w="0" w:type="dxa"/>
              <w:right w:w="62" w:type="dxa"/>
            </w:tcMar>
          </w:tcPr>
          <w:p w:rsidR="00000000" w:rsidP="00DF7C30">
            <w:pPr>
              <w:pStyle w:val="BodyText"/>
              <w:rPr>
                <w:lang w:val="en-NZ"/>
              </w:rPr>
            </w:pPr>
            <w:r w:rsidRPr="00DF7C30">
              <w:t>1.1</w:t>
            </w:r>
          </w:p>
        </w:tc>
        <w:tc>
          <w:tcPr>
            <w:tcW w:w="5610" w:type="dxa"/>
            <w:tcBorders>
              <w:top w:val="nil"/>
              <w:left w:val="nil"/>
              <w:bottom w:val="nil"/>
              <w:right w:val="nil"/>
            </w:tcBorders>
            <w:tcMar>
              <w:top w:w="0" w:type="dxa"/>
              <w:left w:w="62" w:type="dxa"/>
              <w:bottom w:w="0" w:type="dxa"/>
              <w:right w:w="62" w:type="dxa"/>
            </w:tcMar>
          </w:tcPr>
          <w:p w:rsidR="00000000" w:rsidP="00DF7C30">
            <w:pPr>
              <w:pStyle w:val="BodyText"/>
              <w:rPr>
                <w:lang w:val="en-NZ"/>
              </w:rPr>
            </w:pPr>
            <w:r w:rsidRPr="00DF7C30">
              <w:t>Interpret packaging specifications</w:t>
            </w:r>
          </w:p>
        </w:tc>
      </w:tr>
      <w:tr w:rsidTr="00DF7C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7C30">
            <w:pPr>
              <w:pStyle w:val="BodyText"/>
              <w:rPr>
                <w:lang w:val="en-NZ"/>
              </w:rPr>
            </w:pPr>
            <w:r w:rsidRPr="00DF7C30">
              <w:t>1.2</w:t>
            </w:r>
          </w:p>
        </w:tc>
        <w:tc>
          <w:tcPr>
            <w:tcW w:w="5610" w:type="dxa"/>
            <w:tcBorders>
              <w:top w:val="nil"/>
              <w:left w:val="nil"/>
              <w:bottom w:val="nil"/>
              <w:right w:val="nil"/>
            </w:tcBorders>
            <w:tcMar>
              <w:top w:w="0" w:type="dxa"/>
              <w:left w:w="62" w:type="dxa"/>
              <w:bottom w:w="0" w:type="dxa"/>
              <w:right w:w="62" w:type="dxa"/>
            </w:tcMar>
          </w:tcPr>
          <w:p w:rsidR="00000000" w:rsidP="00DF7C30">
            <w:pPr>
              <w:pStyle w:val="BodyText"/>
              <w:rPr>
                <w:lang w:val="en-NZ"/>
              </w:rPr>
            </w:pPr>
            <w:r w:rsidRPr="00DF7C30">
              <w:t>Interpret order packaging documentation</w:t>
            </w:r>
          </w:p>
        </w:tc>
      </w:tr>
      <w:tr w:rsidTr="00DF7C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7C30">
            <w:pPr>
              <w:pStyle w:val="BodyText"/>
              <w:rPr>
                <w:lang w:val="en-NZ"/>
              </w:rPr>
            </w:pPr>
            <w:r w:rsidRPr="00DF7C30">
              <w:t>1.3</w:t>
            </w:r>
          </w:p>
        </w:tc>
        <w:tc>
          <w:tcPr>
            <w:tcW w:w="5610" w:type="dxa"/>
            <w:tcBorders>
              <w:top w:val="nil"/>
              <w:left w:val="nil"/>
              <w:bottom w:val="nil"/>
              <w:right w:val="nil"/>
            </w:tcBorders>
            <w:tcMar>
              <w:top w:w="0" w:type="dxa"/>
              <w:left w:w="62" w:type="dxa"/>
              <w:bottom w:w="0" w:type="dxa"/>
              <w:right w:w="62" w:type="dxa"/>
            </w:tcMar>
          </w:tcPr>
          <w:p w:rsidR="00000000" w:rsidP="00DF7C30">
            <w:pPr>
              <w:pStyle w:val="BodyText"/>
              <w:rPr>
                <w:lang w:val="en-NZ"/>
              </w:rPr>
            </w:pPr>
            <w:r w:rsidRPr="00DF7C30">
              <w:t>Select appropriate technology for packaging goods/materials</w:t>
            </w:r>
          </w:p>
        </w:tc>
      </w:tr>
      <w:tr w:rsidTr="00DF7C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7C30">
            <w:pPr>
              <w:pStyle w:val="BodyText"/>
              <w:rPr>
                <w:lang w:val="en-NZ"/>
              </w:rPr>
            </w:pPr>
            <w:r w:rsidRPr="00DF7C30">
              <w:t>1.4</w:t>
            </w:r>
          </w:p>
        </w:tc>
        <w:tc>
          <w:tcPr>
            <w:tcW w:w="5610" w:type="dxa"/>
            <w:tcBorders>
              <w:top w:val="nil"/>
              <w:left w:val="nil"/>
              <w:bottom w:val="nil"/>
              <w:right w:val="nil"/>
            </w:tcBorders>
            <w:tcMar>
              <w:top w:w="0" w:type="dxa"/>
              <w:left w:w="62" w:type="dxa"/>
              <w:bottom w:w="0" w:type="dxa"/>
              <w:right w:w="62" w:type="dxa"/>
            </w:tcMar>
          </w:tcPr>
          <w:p w:rsidR="00000000" w:rsidP="00DF7C30">
            <w:pPr>
              <w:pStyle w:val="BodyText"/>
              <w:rPr>
                <w:lang w:val="en-NZ"/>
              </w:rPr>
            </w:pPr>
            <w:r w:rsidRPr="00DF7C30">
              <w:t>Identify packaging materials and match specifications</w:t>
            </w:r>
          </w:p>
        </w:tc>
      </w:tr>
      <w:tr w:rsidTr="00DF7C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7C30">
            <w:pPr>
              <w:pStyle w:val="BodyText"/>
              <w:rPr>
                <w:lang w:val="en-NZ"/>
              </w:rPr>
            </w:pPr>
            <w:r w:rsidRPr="00DF7C30">
              <w:t>1.5</w:t>
            </w:r>
          </w:p>
        </w:tc>
        <w:tc>
          <w:tcPr>
            <w:tcW w:w="5610" w:type="dxa"/>
            <w:tcBorders>
              <w:top w:val="nil"/>
              <w:left w:val="nil"/>
              <w:bottom w:val="nil"/>
              <w:right w:val="nil"/>
            </w:tcBorders>
            <w:tcMar>
              <w:top w:w="0" w:type="dxa"/>
              <w:left w:w="62" w:type="dxa"/>
              <w:bottom w:w="0" w:type="dxa"/>
              <w:right w:w="62" w:type="dxa"/>
            </w:tcMar>
          </w:tcPr>
          <w:p w:rsidR="00000000" w:rsidRPr="00DF7C30" w:rsidP="00DF7C30">
            <w:pPr>
              <w:pStyle w:val="BodyText"/>
            </w:pPr>
            <w:r w:rsidRPr="00DF7C30">
              <w:t>Identify and control hazards</w:t>
            </w:r>
          </w:p>
        </w:tc>
      </w:tr>
    </w:tbl>
    <w:p w:rsidR="00000000" w:rsidRPr="00DF7C30" w:rsidP="00DF7C30">
      <w:pPr>
        <w:pStyle w:val="BodyText"/>
      </w:pPr>
    </w:p>
    <w:tbl>
      <w:tblPr>
        <w:tblW w:w="0" w:type="auto"/>
        <w:tblLayout w:type="fixed"/>
        <w:tblCellMar>
          <w:left w:w="62" w:type="dxa"/>
          <w:right w:w="62" w:type="dxa"/>
        </w:tblCellMar>
        <w:tblLook w:val="0000"/>
      </w:tblPr>
      <w:tblGrid>
        <w:gridCol w:w="678"/>
        <w:gridCol w:w="1962"/>
        <w:gridCol w:w="770"/>
        <w:gridCol w:w="5610"/>
      </w:tblGrid>
      <w:tr w:rsidTr="00DF7C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F7C30">
            <w:pPr>
              <w:pStyle w:val="BodyText"/>
              <w:rPr>
                <w:lang w:val="en-NZ"/>
              </w:rPr>
            </w:pPr>
            <w:r w:rsidRPr="00DF7C30">
              <w:t>2</w:t>
            </w:r>
          </w:p>
        </w:tc>
        <w:tc>
          <w:tcPr>
            <w:tcW w:w="1962" w:type="dxa"/>
            <w:vMerge w:val="restart"/>
            <w:tcBorders>
              <w:top w:val="nil"/>
              <w:left w:val="nil"/>
              <w:bottom w:val="nil"/>
              <w:right w:val="nil"/>
            </w:tcBorders>
            <w:tcMar>
              <w:top w:w="0" w:type="dxa"/>
              <w:left w:w="62" w:type="dxa"/>
              <w:bottom w:w="0" w:type="dxa"/>
              <w:right w:w="62" w:type="dxa"/>
            </w:tcMar>
          </w:tcPr>
          <w:p w:rsidR="00000000" w:rsidP="00DF7C30">
            <w:pPr>
              <w:pStyle w:val="BodyText"/>
              <w:rPr>
                <w:lang w:val="en-NZ"/>
              </w:rPr>
            </w:pPr>
            <w:r w:rsidRPr="00DF7C30">
              <w:t>Package finished products or materials</w:t>
            </w:r>
          </w:p>
        </w:tc>
        <w:tc>
          <w:tcPr>
            <w:tcW w:w="770" w:type="dxa"/>
            <w:tcBorders>
              <w:top w:val="nil"/>
              <w:left w:val="nil"/>
              <w:bottom w:val="nil"/>
              <w:right w:val="nil"/>
            </w:tcBorders>
            <w:tcMar>
              <w:top w:w="0" w:type="dxa"/>
              <w:left w:w="62" w:type="dxa"/>
              <w:bottom w:w="0" w:type="dxa"/>
              <w:right w:w="62" w:type="dxa"/>
            </w:tcMar>
          </w:tcPr>
          <w:p w:rsidR="00000000" w:rsidP="00DF7C30">
            <w:pPr>
              <w:pStyle w:val="BodyText"/>
              <w:rPr>
                <w:lang w:val="en-NZ"/>
              </w:rPr>
            </w:pPr>
            <w:r w:rsidRPr="00DF7C30">
              <w:t>2.1</w:t>
            </w:r>
          </w:p>
        </w:tc>
        <w:tc>
          <w:tcPr>
            <w:tcW w:w="5610" w:type="dxa"/>
            <w:tcBorders>
              <w:top w:val="nil"/>
              <w:left w:val="nil"/>
              <w:bottom w:val="nil"/>
              <w:right w:val="nil"/>
            </w:tcBorders>
            <w:tcMar>
              <w:top w:w="0" w:type="dxa"/>
              <w:left w:w="62" w:type="dxa"/>
              <w:bottom w:w="0" w:type="dxa"/>
              <w:right w:w="62" w:type="dxa"/>
            </w:tcMar>
          </w:tcPr>
          <w:p w:rsidR="00000000" w:rsidP="00DF7C30">
            <w:pPr>
              <w:pStyle w:val="BodyText"/>
              <w:rPr>
                <w:lang w:val="en-NZ"/>
              </w:rPr>
            </w:pPr>
            <w:r w:rsidRPr="00DF7C30">
              <w:t>Identify the nature of the product or material and the particular handling requirements</w:t>
            </w:r>
          </w:p>
        </w:tc>
      </w:tr>
      <w:tr w:rsidTr="00DF7C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7C30">
            <w:pPr>
              <w:pStyle w:val="BodyText"/>
              <w:rPr>
                <w:lang w:val="en-NZ"/>
              </w:rPr>
            </w:pPr>
            <w:r w:rsidRPr="00DF7C30">
              <w:t>2.2</w:t>
            </w:r>
          </w:p>
        </w:tc>
        <w:tc>
          <w:tcPr>
            <w:tcW w:w="5610" w:type="dxa"/>
            <w:tcBorders>
              <w:top w:val="nil"/>
              <w:left w:val="nil"/>
              <w:bottom w:val="nil"/>
              <w:right w:val="nil"/>
            </w:tcBorders>
            <w:tcMar>
              <w:top w:w="0" w:type="dxa"/>
              <w:left w:w="62" w:type="dxa"/>
              <w:bottom w:w="0" w:type="dxa"/>
              <w:right w:w="62" w:type="dxa"/>
            </w:tcMar>
          </w:tcPr>
          <w:p w:rsidR="00000000" w:rsidP="00DF7C30">
            <w:pPr>
              <w:pStyle w:val="BodyText"/>
              <w:rPr>
                <w:lang w:val="en-NZ"/>
              </w:rPr>
            </w:pPr>
            <w:r w:rsidRPr="00DF7C30">
              <w:t>Conduct process according to production specifications and organisational procedures</w:t>
            </w:r>
          </w:p>
        </w:tc>
      </w:tr>
      <w:tr w:rsidTr="00DF7C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7C30">
            <w:pPr>
              <w:pStyle w:val="BodyText"/>
              <w:rPr>
                <w:lang w:val="en-NZ"/>
              </w:rPr>
            </w:pPr>
            <w:r w:rsidRPr="00DF7C30">
              <w:t>2.3</w:t>
            </w:r>
          </w:p>
        </w:tc>
        <w:tc>
          <w:tcPr>
            <w:tcW w:w="5610" w:type="dxa"/>
            <w:tcBorders>
              <w:top w:val="nil"/>
              <w:left w:val="nil"/>
              <w:bottom w:val="nil"/>
              <w:right w:val="nil"/>
            </w:tcBorders>
            <w:tcMar>
              <w:top w:w="0" w:type="dxa"/>
              <w:left w:w="62" w:type="dxa"/>
              <w:bottom w:w="0" w:type="dxa"/>
              <w:right w:w="62" w:type="dxa"/>
            </w:tcMar>
          </w:tcPr>
          <w:p w:rsidR="00000000" w:rsidP="00DF7C30">
            <w:pPr>
              <w:pStyle w:val="BodyText"/>
              <w:rPr>
                <w:lang w:val="en-NZ"/>
              </w:rPr>
            </w:pPr>
            <w:r w:rsidRPr="00DF7C30">
              <w:t>Identify potential problems and required action/solution</w:t>
            </w:r>
          </w:p>
        </w:tc>
      </w:tr>
      <w:tr w:rsidTr="00DF7C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7C30">
            <w:pPr>
              <w:pStyle w:val="BodyText"/>
              <w:rPr>
                <w:lang w:val="en-NZ"/>
              </w:rPr>
            </w:pPr>
            <w:r w:rsidRPr="00DF7C30">
              <w:t>2.4</w:t>
            </w:r>
          </w:p>
        </w:tc>
        <w:tc>
          <w:tcPr>
            <w:tcW w:w="5610" w:type="dxa"/>
            <w:tcBorders>
              <w:top w:val="nil"/>
              <w:left w:val="nil"/>
              <w:bottom w:val="nil"/>
              <w:right w:val="nil"/>
            </w:tcBorders>
            <w:tcMar>
              <w:top w:w="0" w:type="dxa"/>
              <w:left w:w="62" w:type="dxa"/>
              <w:bottom w:w="0" w:type="dxa"/>
              <w:right w:w="62" w:type="dxa"/>
            </w:tcMar>
          </w:tcPr>
          <w:p w:rsidR="00000000" w:rsidP="00DF7C30">
            <w:pPr>
              <w:pStyle w:val="BodyText"/>
              <w:rPr>
                <w:lang w:val="en-NZ"/>
              </w:rPr>
            </w:pPr>
            <w:r w:rsidRPr="00DF7C30">
              <w:t>Condu</w:t>
            </w:r>
            <w:r w:rsidRPr="00DF7C30">
              <w:t>ct equipment start-up and run operation as necessary</w:t>
            </w:r>
          </w:p>
        </w:tc>
      </w:tr>
      <w:tr w:rsidTr="00DF7C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7C30">
            <w:pPr>
              <w:pStyle w:val="BodyText"/>
              <w:rPr>
                <w:lang w:val="en-NZ"/>
              </w:rPr>
            </w:pPr>
            <w:r w:rsidRPr="00DF7C30">
              <w:t>2.5</w:t>
            </w:r>
          </w:p>
        </w:tc>
        <w:tc>
          <w:tcPr>
            <w:tcW w:w="5610" w:type="dxa"/>
            <w:tcBorders>
              <w:top w:val="nil"/>
              <w:left w:val="nil"/>
              <w:bottom w:val="nil"/>
              <w:right w:val="nil"/>
            </w:tcBorders>
            <w:tcMar>
              <w:top w:w="0" w:type="dxa"/>
              <w:left w:w="62" w:type="dxa"/>
              <w:bottom w:w="0" w:type="dxa"/>
              <w:right w:w="62" w:type="dxa"/>
            </w:tcMar>
          </w:tcPr>
          <w:p w:rsidR="00000000" w:rsidRPr="00DF7C30" w:rsidP="00DF7C30">
            <w:pPr>
              <w:pStyle w:val="BodyText"/>
            </w:pPr>
            <w:r w:rsidRPr="00DF7C30">
              <w:t>Employ ancillary equipment, as necessary, and use safe working procedures</w:t>
            </w:r>
          </w:p>
        </w:tc>
      </w:tr>
    </w:tbl>
    <w:p w:rsidR="00000000" w:rsidRPr="00DF7C30" w:rsidP="00DF7C30">
      <w:pPr>
        <w:pStyle w:val="BodyText"/>
      </w:pPr>
    </w:p>
    <w:tbl>
      <w:tblPr>
        <w:tblW w:w="0" w:type="auto"/>
        <w:tblLayout w:type="fixed"/>
        <w:tblCellMar>
          <w:left w:w="62" w:type="dxa"/>
          <w:right w:w="62" w:type="dxa"/>
        </w:tblCellMar>
        <w:tblLook w:val="0000"/>
      </w:tblPr>
      <w:tblGrid>
        <w:gridCol w:w="678"/>
        <w:gridCol w:w="1962"/>
        <w:gridCol w:w="770"/>
        <w:gridCol w:w="5610"/>
      </w:tblGrid>
      <w:tr w:rsidTr="00DF7C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F7C30">
            <w:pPr>
              <w:pStyle w:val="BodyText"/>
              <w:rPr>
                <w:lang w:val="en-NZ"/>
              </w:rPr>
            </w:pPr>
            <w:r w:rsidRPr="00DF7C30">
              <w:t>3</w:t>
            </w:r>
          </w:p>
        </w:tc>
        <w:tc>
          <w:tcPr>
            <w:tcW w:w="1962" w:type="dxa"/>
            <w:vMerge w:val="restart"/>
            <w:tcBorders>
              <w:top w:val="nil"/>
              <w:left w:val="nil"/>
              <w:bottom w:val="nil"/>
              <w:right w:val="nil"/>
            </w:tcBorders>
            <w:tcMar>
              <w:top w:w="0" w:type="dxa"/>
              <w:left w:w="62" w:type="dxa"/>
              <w:bottom w:w="0" w:type="dxa"/>
              <w:right w:w="62" w:type="dxa"/>
            </w:tcMar>
          </w:tcPr>
          <w:p w:rsidR="00000000" w:rsidP="00DF7C30">
            <w:pPr>
              <w:pStyle w:val="BodyText"/>
              <w:rPr>
                <w:lang w:val="en-NZ"/>
              </w:rPr>
            </w:pPr>
            <w:r w:rsidRPr="00DF7C30">
              <w:t>Stack, label and store finished products or materials</w:t>
            </w:r>
          </w:p>
        </w:tc>
        <w:tc>
          <w:tcPr>
            <w:tcW w:w="770" w:type="dxa"/>
            <w:tcBorders>
              <w:top w:val="nil"/>
              <w:left w:val="nil"/>
              <w:bottom w:val="nil"/>
              <w:right w:val="nil"/>
            </w:tcBorders>
            <w:tcMar>
              <w:top w:w="0" w:type="dxa"/>
              <w:left w:w="62" w:type="dxa"/>
              <w:bottom w:w="0" w:type="dxa"/>
              <w:right w:w="62" w:type="dxa"/>
            </w:tcMar>
          </w:tcPr>
          <w:p w:rsidR="00000000" w:rsidP="00DF7C30">
            <w:pPr>
              <w:pStyle w:val="BodyText"/>
              <w:rPr>
                <w:lang w:val="en-NZ"/>
              </w:rPr>
            </w:pPr>
            <w:r w:rsidRPr="00DF7C30">
              <w:t>3.1</w:t>
            </w:r>
          </w:p>
        </w:tc>
        <w:tc>
          <w:tcPr>
            <w:tcW w:w="5610" w:type="dxa"/>
            <w:tcBorders>
              <w:top w:val="nil"/>
              <w:left w:val="nil"/>
              <w:bottom w:val="nil"/>
              <w:right w:val="nil"/>
            </w:tcBorders>
            <w:tcMar>
              <w:top w:w="0" w:type="dxa"/>
              <w:left w:w="62" w:type="dxa"/>
              <w:bottom w:w="0" w:type="dxa"/>
              <w:right w:w="62" w:type="dxa"/>
            </w:tcMar>
          </w:tcPr>
          <w:p w:rsidR="00000000" w:rsidP="00DF7C30">
            <w:pPr>
              <w:pStyle w:val="BodyText"/>
              <w:rPr>
                <w:lang w:val="en-NZ"/>
              </w:rPr>
            </w:pPr>
            <w:r w:rsidRPr="00DF7C30">
              <w:t>Find out delivery, s</w:t>
            </w:r>
            <w:r w:rsidRPr="00DF7C30">
              <w:t>torage and location requirements in accordance with procedures</w:t>
            </w:r>
          </w:p>
        </w:tc>
      </w:tr>
      <w:tr w:rsidTr="00DF7C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7C30">
            <w:pPr>
              <w:pStyle w:val="BodyText"/>
              <w:rPr>
                <w:lang w:val="en-NZ"/>
              </w:rPr>
            </w:pPr>
            <w:r w:rsidRPr="00DF7C30">
              <w:t>3.2</w:t>
            </w:r>
          </w:p>
        </w:tc>
        <w:tc>
          <w:tcPr>
            <w:tcW w:w="5610" w:type="dxa"/>
            <w:tcBorders>
              <w:top w:val="nil"/>
              <w:left w:val="nil"/>
              <w:bottom w:val="nil"/>
              <w:right w:val="nil"/>
            </w:tcBorders>
            <w:tcMar>
              <w:top w:w="0" w:type="dxa"/>
              <w:left w:w="62" w:type="dxa"/>
              <w:bottom w:w="0" w:type="dxa"/>
              <w:right w:w="62" w:type="dxa"/>
            </w:tcMar>
          </w:tcPr>
          <w:p w:rsidR="00000000" w:rsidP="00DF7C30">
            <w:pPr>
              <w:pStyle w:val="BodyText"/>
              <w:rPr>
                <w:lang w:val="en-NZ"/>
              </w:rPr>
            </w:pPr>
            <w:r w:rsidRPr="00DF7C30">
              <w:t>Label or mark products or materials following workplace labelling standards</w:t>
            </w:r>
          </w:p>
        </w:tc>
      </w:tr>
      <w:tr w:rsidTr="00DF7C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7C30">
            <w:pPr>
              <w:pStyle w:val="BodyText"/>
              <w:rPr>
                <w:lang w:val="en-NZ"/>
              </w:rPr>
            </w:pPr>
            <w:r w:rsidRPr="00DF7C30">
              <w:t>3.3</w:t>
            </w:r>
          </w:p>
        </w:tc>
        <w:tc>
          <w:tcPr>
            <w:tcW w:w="5610" w:type="dxa"/>
            <w:tcBorders>
              <w:top w:val="nil"/>
              <w:left w:val="nil"/>
              <w:bottom w:val="nil"/>
              <w:right w:val="nil"/>
            </w:tcBorders>
            <w:tcMar>
              <w:top w:w="0" w:type="dxa"/>
              <w:left w:w="62" w:type="dxa"/>
              <w:bottom w:w="0" w:type="dxa"/>
              <w:right w:w="62" w:type="dxa"/>
            </w:tcMar>
          </w:tcPr>
          <w:p w:rsidR="00000000" w:rsidP="00DF7C30">
            <w:pPr>
              <w:pStyle w:val="BodyText"/>
              <w:rPr>
                <w:lang w:val="en-NZ"/>
              </w:rPr>
            </w:pPr>
            <w:r w:rsidRPr="00DF7C30">
              <w:t>Set up work area and handling and storage equipment taking account of safety and efficiency</w:t>
            </w:r>
          </w:p>
        </w:tc>
      </w:tr>
      <w:tr w:rsidTr="00DF7C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7C30">
            <w:pPr>
              <w:pStyle w:val="BodyText"/>
              <w:rPr>
                <w:lang w:val="en-NZ"/>
              </w:rPr>
            </w:pPr>
            <w:r w:rsidRPr="00DF7C30">
              <w:t>3.4</w:t>
            </w:r>
          </w:p>
        </w:tc>
        <w:tc>
          <w:tcPr>
            <w:tcW w:w="5610" w:type="dxa"/>
            <w:tcBorders>
              <w:top w:val="nil"/>
              <w:left w:val="nil"/>
              <w:bottom w:val="nil"/>
              <w:right w:val="nil"/>
            </w:tcBorders>
            <w:tcMar>
              <w:top w:w="0" w:type="dxa"/>
              <w:left w:w="62" w:type="dxa"/>
              <w:bottom w:w="0" w:type="dxa"/>
              <w:right w:w="62" w:type="dxa"/>
            </w:tcMar>
          </w:tcPr>
          <w:p w:rsidR="00000000" w:rsidP="00DF7C30">
            <w:pPr>
              <w:pStyle w:val="BodyText"/>
              <w:rPr>
                <w:lang w:val="en-NZ"/>
              </w:rPr>
            </w:pPr>
            <w:r w:rsidRPr="00DF7C30">
              <w:t>Store products where required making safe and efficient use of storage space</w:t>
            </w:r>
          </w:p>
        </w:tc>
      </w:tr>
      <w:tr w:rsidTr="00DF7C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7C30">
            <w:pPr>
              <w:pStyle w:val="BodyText"/>
              <w:rPr>
                <w:lang w:val="en-NZ"/>
              </w:rPr>
            </w:pPr>
            <w:r w:rsidRPr="00DF7C30">
              <w:t>3.5</w:t>
            </w:r>
          </w:p>
        </w:tc>
        <w:tc>
          <w:tcPr>
            <w:tcW w:w="5610" w:type="dxa"/>
            <w:tcBorders>
              <w:top w:val="nil"/>
              <w:left w:val="nil"/>
              <w:bottom w:val="nil"/>
              <w:right w:val="nil"/>
            </w:tcBorders>
            <w:tcMar>
              <w:top w:w="0" w:type="dxa"/>
              <w:left w:w="62" w:type="dxa"/>
              <w:bottom w:w="0" w:type="dxa"/>
              <w:right w:w="62" w:type="dxa"/>
            </w:tcMar>
          </w:tcPr>
          <w:p w:rsidR="00000000" w:rsidP="00DF7C30">
            <w:pPr>
              <w:pStyle w:val="BodyText"/>
              <w:rPr>
                <w:lang w:val="en-NZ"/>
              </w:rPr>
            </w:pPr>
            <w:r w:rsidRPr="00DF7C30">
              <w:t>Complete workplace records/documentation</w:t>
            </w:r>
          </w:p>
        </w:tc>
      </w:tr>
      <w:tr w:rsidTr="00DF7C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7C30">
            <w:pPr>
              <w:pStyle w:val="BodyText"/>
              <w:rPr>
                <w:lang w:val="en-NZ"/>
              </w:rPr>
            </w:pPr>
            <w:r w:rsidRPr="00DF7C30">
              <w:t>3.6</w:t>
            </w:r>
          </w:p>
        </w:tc>
        <w:tc>
          <w:tcPr>
            <w:tcW w:w="5610" w:type="dxa"/>
            <w:tcBorders>
              <w:top w:val="nil"/>
              <w:left w:val="nil"/>
              <w:bottom w:val="nil"/>
              <w:right w:val="nil"/>
            </w:tcBorders>
            <w:tcMar>
              <w:top w:w="0" w:type="dxa"/>
              <w:left w:w="62" w:type="dxa"/>
              <w:bottom w:w="0" w:type="dxa"/>
              <w:right w:w="62" w:type="dxa"/>
            </w:tcMar>
          </w:tcPr>
          <w:p w:rsidR="00000000" w:rsidRPr="00DF7C30" w:rsidP="00DF7C30">
            <w:pPr>
              <w:pStyle w:val="BodyText"/>
            </w:pPr>
            <w:r w:rsidRPr="00DF7C30">
              <w:t>Attach invoices and picking slips (where required)</w:t>
            </w:r>
          </w:p>
        </w:tc>
      </w:tr>
    </w:tbl>
    <w:p w:rsidR="00000000" w:rsidRPr="00DF7C30" w:rsidP="00DF7C30">
      <w:pPr>
        <w:pStyle w:val="BodyText"/>
      </w:pPr>
    </w:p>
    <w:tbl>
      <w:tblPr>
        <w:tblW w:w="0" w:type="auto"/>
        <w:tblLayout w:type="fixed"/>
        <w:tblCellMar>
          <w:left w:w="62" w:type="dxa"/>
          <w:right w:w="62" w:type="dxa"/>
        </w:tblCellMar>
        <w:tblLook w:val="0000"/>
      </w:tblPr>
      <w:tblGrid>
        <w:gridCol w:w="678"/>
        <w:gridCol w:w="1962"/>
        <w:gridCol w:w="770"/>
        <w:gridCol w:w="5610"/>
      </w:tblGrid>
      <w:tr w:rsidTr="00DF7C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F7C30">
            <w:pPr>
              <w:pStyle w:val="BodyText"/>
              <w:rPr>
                <w:lang w:val="en-NZ"/>
              </w:rPr>
            </w:pPr>
            <w:r w:rsidRPr="00DF7C30">
              <w:t>4</w:t>
            </w:r>
          </w:p>
        </w:tc>
        <w:tc>
          <w:tcPr>
            <w:tcW w:w="1962" w:type="dxa"/>
            <w:vMerge w:val="restart"/>
            <w:tcBorders>
              <w:top w:val="nil"/>
              <w:left w:val="nil"/>
              <w:bottom w:val="nil"/>
              <w:right w:val="nil"/>
            </w:tcBorders>
            <w:tcMar>
              <w:top w:w="0" w:type="dxa"/>
              <w:left w:w="62" w:type="dxa"/>
              <w:bottom w:w="0" w:type="dxa"/>
              <w:right w:w="62" w:type="dxa"/>
            </w:tcMar>
          </w:tcPr>
          <w:p w:rsidR="00000000" w:rsidP="00DF7C30">
            <w:pPr>
              <w:pStyle w:val="BodyText"/>
              <w:rPr>
                <w:lang w:val="en-NZ"/>
              </w:rPr>
            </w:pPr>
            <w:r w:rsidRPr="00DF7C30">
              <w:t>Clear work area</w:t>
            </w:r>
          </w:p>
        </w:tc>
        <w:tc>
          <w:tcPr>
            <w:tcW w:w="770" w:type="dxa"/>
            <w:tcBorders>
              <w:top w:val="nil"/>
              <w:left w:val="nil"/>
              <w:bottom w:val="nil"/>
              <w:right w:val="nil"/>
            </w:tcBorders>
            <w:tcMar>
              <w:top w:w="0" w:type="dxa"/>
              <w:left w:w="62" w:type="dxa"/>
              <w:bottom w:w="0" w:type="dxa"/>
              <w:right w:w="62" w:type="dxa"/>
            </w:tcMar>
          </w:tcPr>
          <w:p w:rsidR="00000000" w:rsidP="00DF7C30">
            <w:pPr>
              <w:pStyle w:val="BodyText"/>
              <w:rPr>
                <w:lang w:val="en-NZ"/>
              </w:rPr>
            </w:pPr>
            <w:r w:rsidRPr="00DF7C30">
              <w:t>4.1</w:t>
            </w:r>
          </w:p>
        </w:tc>
        <w:tc>
          <w:tcPr>
            <w:tcW w:w="5610" w:type="dxa"/>
            <w:tcBorders>
              <w:top w:val="nil"/>
              <w:left w:val="nil"/>
              <w:bottom w:val="nil"/>
              <w:right w:val="nil"/>
            </w:tcBorders>
            <w:tcMar>
              <w:top w:w="0" w:type="dxa"/>
              <w:left w:w="62" w:type="dxa"/>
              <w:bottom w:w="0" w:type="dxa"/>
              <w:right w:w="62" w:type="dxa"/>
            </w:tcMar>
          </w:tcPr>
          <w:p w:rsidR="00000000" w:rsidP="00DF7C30">
            <w:pPr>
              <w:pStyle w:val="BodyText"/>
              <w:rPr>
                <w:lang w:val="en-NZ"/>
              </w:rPr>
            </w:pPr>
            <w:r w:rsidRPr="00DF7C30">
              <w:t>Store unpacked products, products for packaging and handling equipment in appropriate areas</w:t>
            </w:r>
          </w:p>
        </w:tc>
      </w:tr>
      <w:tr w:rsidTr="00DF7C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7C30">
            <w:pPr>
              <w:pStyle w:val="BodyText"/>
              <w:rPr>
                <w:lang w:val="en-NZ"/>
              </w:rPr>
            </w:pPr>
            <w:r w:rsidRPr="00DF7C30">
              <w:t>4.2</w:t>
            </w:r>
          </w:p>
        </w:tc>
        <w:tc>
          <w:tcPr>
            <w:tcW w:w="5610" w:type="dxa"/>
            <w:tcBorders>
              <w:top w:val="nil"/>
              <w:left w:val="nil"/>
              <w:bottom w:val="nil"/>
              <w:right w:val="nil"/>
            </w:tcBorders>
            <w:tcMar>
              <w:top w:w="0" w:type="dxa"/>
              <w:left w:w="62" w:type="dxa"/>
              <w:bottom w:w="0" w:type="dxa"/>
              <w:right w:w="62" w:type="dxa"/>
            </w:tcMar>
          </w:tcPr>
          <w:p w:rsidR="00000000" w:rsidP="00DF7C30">
            <w:pPr>
              <w:pStyle w:val="BodyText"/>
              <w:rPr>
                <w:lang w:val="en-NZ"/>
              </w:rPr>
            </w:pPr>
            <w:r w:rsidRPr="00DF7C30">
              <w:t>Clean equipment and make ready for re-use</w:t>
            </w:r>
          </w:p>
        </w:tc>
      </w:tr>
      <w:tr w:rsidTr="00DF7C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7C30">
            <w:pPr>
              <w:pStyle w:val="BodyText"/>
              <w:rPr>
                <w:lang w:val="en-NZ"/>
              </w:rPr>
            </w:pPr>
            <w:r w:rsidRPr="00DF7C30">
              <w:t>4.3</w:t>
            </w:r>
          </w:p>
        </w:tc>
        <w:tc>
          <w:tcPr>
            <w:tcW w:w="5610" w:type="dxa"/>
            <w:tcBorders>
              <w:top w:val="nil"/>
              <w:left w:val="nil"/>
              <w:bottom w:val="nil"/>
              <w:right w:val="nil"/>
            </w:tcBorders>
            <w:tcMar>
              <w:top w:w="0" w:type="dxa"/>
              <w:left w:w="62" w:type="dxa"/>
              <w:bottom w:w="0" w:type="dxa"/>
              <w:right w:w="62" w:type="dxa"/>
            </w:tcMar>
          </w:tcPr>
          <w:p w:rsidR="00000000" w:rsidP="00DF7C30">
            <w:pPr>
              <w:pStyle w:val="BodyText"/>
              <w:rPr>
                <w:lang w:val="en-NZ"/>
              </w:rPr>
            </w:pPr>
            <w:r w:rsidRPr="00DF7C30">
              <w:t>Clean work area, making it safe and ready for the next user</w:t>
            </w:r>
          </w:p>
        </w:tc>
      </w:tr>
      <w:tr w:rsidTr="00DF7C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F7C30">
            <w:pPr>
              <w:pStyle w:val="BodyText"/>
              <w:rPr>
                <w:lang w:val="en-NZ"/>
              </w:rPr>
            </w:pPr>
            <w:r w:rsidRPr="00DF7C30">
              <w:t>4.4</w:t>
            </w:r>
          </w:p>
        </w:tc>
        <w:tc>
          <w:tcPr>
            <w:tcW w:w="5610" w:type="dxa"/>
            <w:tcBorders>
              <w:top w:val="nil"/>
              <w:left w:val="nil"/>
              <w:bottom w:val="nil"/>
              <w:right w:val="nil"/>
            </w:tcBorders>
            <w:tcMar>
              <w:top w:w="0" w:type="dxa"/>
              <w:left w:w="62" w:type="dxa"/>
              <w:bottom w:w="0" w:type="dxa"/>
              <w:right w:w="62" w:type="dxa"/>
            </w:tcMar>
          </w:tcPr>
          <w:p w:rsidR="00000000" w:rsidRPr="00DF7C30" w:rsidP="00DF7C30">
            <w:pPr>
              <w:pStyle w:val="BodyText"/>
            </w:pPr>
            <w:r w:rsidRPr="00DF7C30">
              <w:t>Report and document equipment faults</w:t>
            </w:r>
          </w:p>
        </w:tc>
      </w:tr>
    </w:tbl>
    <w:p w:rsidR="00000000" w:rsidRPr="00DF7C30" w:rsidP="00DF7C30">
      <w:pPr>
        <w:pStyle w:val="BodyText"/>
      </w:pPr>
    </w:p>
    <w:p w:rsidR="00000000" w:rsidRPr="00DF7C30" w:rsidP="00DF7C30">
      <w:pPr>
        <w:pStyle w:val="AllowPageBreak"/>
      </w:pPr>
    </w:p>
    <w:p w:rsidR="00000000" w:rsidRPr="00DF7C30" w:rsidP="00DF7C30">
      <w:pPr>
        <w:pStyle w:val="Heading1"/>
      </w:pPr>
      <w:bookmarkStart w:id="7" w:name="O_871601"/>
      <w:bookmarkEnd w:id="7"/>
      <w:r w:rsidRPr="00DF7C30">
        <w:t>Foundation Skills</w:t>
      </w:r>
    </w:p>
    <w:p w:rsidR="00000000" w:rsidRPr="00DF7C30" w:rsidP="00D72825">
      <w:pPr>
        <w:pStyle w:val="BodyText"/>
      </w:pPr>
      <w:r w:rsidRPr="00DF7C30">
        <w:t>This section describes those language, literacy, numeracy and employment skills that are essential to performance.</w:t>
      </w:r>
    </w:p>
    <w:p w:rsidR="00000000" w:rsidRPr="00DF7C30" w:rsidP="00D72825">
      <w:pPr>
        <w:pStyle w:val="BodyText"/>
      </w:pPr>
      <w:r w:rsidRPr="00DF7C30">
        <w:t>Foundation skills essential to performance are explicit in the performance criteria of this unit of compet</w:t>
      </w:r>
      <w:r w:rsidRPr="00DF7C30">
        <w:t>ency.</w:t>
      </w:r>
    </w:p>
    <w:p w:rsidR="00000000" w:rsidRPr="00DF7C30" w:rsidP="00DF7C30">
      <w:pPr>
        <w:pStyle w:val="Heading1"/>
      </w:pPr>
      <w:bookmarkStart w:id="8" w:name="O_871600"/>
      <w:bookmarkEnd w:id="8"/>
      <w:r w:rsidRPr="00DF7C30">
        <w:t>Range of Conditions</w:t>
      </w:r>
    </w:p>
    <w:tbl>
      <w:tblPr>
        <w:tblW w:w="0" w:type="auto"/>
        <w:tblCellMar>
          <w:left w:w="62" w:type="dxa"/>
          <w:right w:w="62" w:type="dxa"/>
        </w:tblCellMar>
        <w:tblLook w:val="0000"/>
      </w:tblPr>
      <w:tblGrid>
        <w:gridCol w:w="2163"/>
        <w:gridCol w:w="7033"/>
      </w:tblGrid>
      <w:tr w:rsidTr="00D7282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F7C30">
            <w:pPr>
              <w:pStyle w:val="BodyText"/>
              <w:rPr>
                <w:lang w:val="en-NZ"/>
              </w:rPr>
            </w:pPr>
            <w:r w:rsidRPr="00DF7C30">
              <w:t>This field allows for different work environments and conditions that may affect performance. Essential operating conditions that may be present (depending on the work situation, needs of the candidate, accessibil</w:t>
            </w:r>
            <w:r w:rsidRPr="00DF7C30">
              <w:t>ity of the item, and local industry and regional contexts) are included.</w:t>
            </w:r>
          </w:p>
        </w:tc>
      </w:tr>
      <w:tr w:rsidTr="00D728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7C30">
            <w:pPr>
              <w:pStyle w:val="BodyText"/>
              <w:rPr>
                <w:lang w:val="en-NZ"/>
              </w:rPr>
            </w:pPr>
            <w:r w:rsidRPr="00DF7C30">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DF7C30" w:rsidP="00DF7C30">
            <w:pPr>
              <w:pStyle w:val="BodyText"/>
            </w:pPr>
            <w:r w:rsidRPr="00DF7C30">
              <w:t xml:space="preserve">The latest version of all legislation, regulations, industry codes of practice and Australian/international standards, or the version specified </w:t>
            </w:r>
            <w:r w:rsidRPr="00DF7C30">
              <w:t>by the local regulatory authority, must be used, and include one or more of the following:</w:t>
            </w:r>
          </w:p>
          <w:p w:rsidR="00000000" w:rsidRPr="00DF7C30" w:rsidP="00DF7C30">
            <w:pPr>
              <w:pStyle w:val="ListBullet"/>
            </w:pPr>
            <w:r w:rsidRPr="00DF7C30">
              <w:t>legislative requirements, including work health and safety (WHS)</w:t>
            </w:r>
          </w:p>
          <w:p w:rsidR="00000000" w:rsidRPr="00DF7C30" w:rsidP="00DF7C30">
            <w:pPr>
              <w:pStyle w:val="ListBullet"/>
            </w:pPr>
            <w:r w:rsidRPr="00DF7C30">
              <w:t>industry codes of practice and guidelines</w:t>
            </w:r>
          </w:p>
          <w:p w:rsidR="00000000" w:rsidRPr="00DF7C30" w:rsidP="00DF7C30">
            <w:pPr>
              <w:pStyle w:val="ListBullet"/>
            </w:pPr>
            <w:r w:rsidRPr="00DF7C30">
              <w:t xml:space="preserve">environmental regulations and guidelines </w:t>
            </w:r>
          </w:p>
          <w:p w:rsidR="00000000" w:rsidRPr="00DF7C30" w:rsidP="00DF7C30">
            <w:pPr>
              <w:pStyle w:val="ListBullet"/>
            </w:pPr>
            <w:r w:rsidRPr="00DF7C30">
              <w:t xml:space="preserve">Australian and </w:t>
            </w:r>
            <w:r w:rsidRPr="00DF7C30">
              <w:t>other standards</w:t>
            </w:r>
          </w:p>
          <w:p w:rsidR="00000000" w:rsidRPr="00DF7C30" w:rsidP="00DF7C30">
            <w:pPr>
              <w:pStyle w:val="ListBullet"/>
            </w:pPr>
            <w:r w:rsidRPr="00DF7C30">
              <w:t xml:space="preserve">licence and certification requirements </w:t>
            </w:r>
          </w:p>
          <w:p w:rsidR="00000000" w:rsidP="00DF7C30">
            <w:pPr>
              <w:pStyle w:val="BodyText"/>
              <w:rPr>
                <w:lang w:val="en-NZ"/>
              </w:rPr>
            </w:pPr>
          </w:p>
        </w:tc>
      </w:tr>
      <w:tr w:rsidTr="00D728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7C30">
            <w:pPr>
              <w:pStyle w:val="BodyText"/>
              <w:rPr>
                <w:lang w:val="en-NZ"/>
              </w:rPr>
            </w:pPr>
            <w:r w:rsidRPr="00DF7C30">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DF7C30" w:rsidP="00DF7C30">
            <w:pPr>
              <w:pStyle w:val="BodyText"/>
            </w:pPr>
            <w:r w:rsidRPr="00DF7C30">
              <w:t>All operations must be performed in accordance with relevant procedures.</w:t>
            </w:r>
          </w:p>
          <w:p w:rsidR="00000000" w:rsidRPr="00DF7C30" w:rsidP="00DF7C30">
            <w:pPr>
              <w:pStyle w:val="BodyText"/>
            </w:pPr>
          </w:p>
          <w:p w:rsidR="00000000" w:rsidRPr="00DF7C30" w:rsidP="00DF7C30">
            <w:pPr>
              <w:pStyle w:val="BodyText"/>
            </w:pPr>
            <w:r w:rsidRPr="00DF7C30">
              <w:t>Procedures are written, verbal, visual, computer-based or in some other form, and include one or more of the following</w:t>
            </w:r>
          </w:p>
          <w:p w:rsidR="00000000" w:rsidRPr="00DF7C30" w:rsidP="00DF7C30">
            <w:pPr>
              <w:pStyle w:val="ListBullet"/>
            </w:pPr>
            <w:r w:rsidRPr="00DF7C30">
              <w:t>emergency procedures</w:t>
            </w:r>
          </w:p>
          <w:p w:rsidR="00000000" w:rsidRPr="00DF7C30" w:rsidP="00DF7C30">
            <w:pPr>
              <w:pStyle w:val="ListBullet"/>
            </w:pPr>
            <w:r w:rsidRPr="00DF7C30">
              <w:t>work instructions</w:t>
            </w:r>
          </w:p>
          <w:p w:rsidR="00000000" w:rsidRPr="00DF7C30" w:rsidP="00DF7C30">
            <w:pPr>
              <w:pStyle w:val="ListBullet"/>
            </w:pPr>
            <w:r w:rsidRPr="00DF7C30">
              <w:t>standard operating procedures (SOPs)</w:t>
            </w:r>
          </w:p>
          <w:p w:rsidR="00000000" w:rsidRPr="00DF7C30" w:rsidP="00DF7C30">
            <w:pPr>
              <w:pStyle w:val="ListBullet"/>
            </w:pPr>
            <w:r w:rsidRPr="00DF7C30">
              <w:t>safe work method statements (SWMS)</w:t>
            </w:r>
          </w:p>
          <w:p w:rsidR="00000000" w:rsidRPr="00DF7C30" w:rsidP="00DF7C30">
            <w:pPr>
              <w:pStyle w:val="ListBullet"/>
            </w:pPr>
            <w:r w:rsidRPr="00DF7C30">
              <w:t>formulas/recipes</w:t>
            </w:r>
          </w:p>
          <w:p w:rsidR="00000000" w:rsidRPr="00DF7C30" w:rsidP="00DF7C30">
            <w:pPr>
              <w:pStyle w:val="ListBullet"/>
            </w:pPr>
            <w:r w:rsidRPr="00DF7C30">
              <w:t>batch sh</w:t>
            </w:r>
            <w:r w:rsidRPr="00DF7C30">
              <w:t>eets</w:t>
            </w:r>
          </w:p>
          <w:p w:rsidR="00000000" w:rsidRPr="00DF7C30" w:rsidP="00DF7C30">
            <w:pPr>
              <w:pStyle w:val="ListBullet"/>
            </w:pPr>
            <w:r w:rsidRPr="00DF7C30">
              <w:t>temporary instructions</w:t>
            </w:r>
          </w:p>
          <w:p w:rsidR="00000000" w:rsidRPr="00DF7C30" w:rsidP="00DF7C30">
            <w:pPr>
              <w:pStyle w:val="ListBullet"/>
            </w:pPr>
            <w:r w:rsidRPr="00DF7C30">
              <w:t>any similar instructions provided for the smooth running of the plant</w:t>
            </w:r>
          </w:p>
          <w:p w:rsidR="00000000" w:rsidP="00DF7C30">
            <w:pPr>
              <w:pStyle w:val="BodyText"/>
              <w:rPr>
                <w:lang w:val="en-NZ"/>
              </w:rPr>
            </w:pPr>
          </w:p>
        </w:tc>
      </w:tr>
      <w:tr w:rsidTr="00D728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7C30">
            <w:pPr>
              <w:pStyle w:val="BodyText"/>
              <w:rPr>
                <w:lang w:val="en-NZ"/>
              </w:rPr>
            </w:pPr>
            <w:r w:rsidRPr="00DF7C30">
              <w:rPr>
                <w:rStyle w:val="SpecialBold"/>
              </w:rPr>
              <w:t>Documentation, labels and records</w:t>
            </w:r>
          </w:p>
        </w:tc>
        <w:tc>
          <w:tcPr>
            <w:tcW w:w="0" w:type="auto"/>
            <w:tcBorders>
              <w:top w:val="nil"/>
              <w:left w:val="nil"/>
              <w:bottom w:val="nil"/>
              <w:right w:val="nil"/>
            </w:tcBorders>
            <w:tcMar>
              <w:top w:w="0" w:type="dxa"/>
              <w:left w:w="62" w:type="dxa"/>
              <w:bottom w:w="0" w:type="dxa"/>
              <w:right w:w="62" w:type="dxa"/>
            </w:tcMar>
          </w:tcPr>
          <w:p w:rsidR="00000000" w:rsidRPr="00DF7C30" w:rsidP="00DF7C30">
            <w:pPr>
              <w:pStyle w:val="BodyText"/>
            </w:pPr>
            <w:r w:rsidRPr="00DF7C30">
              <w:t xml:space="preserve">Documentation, labels and records include: </w:t>
            </w:r>
          </w:p>
          <w:p w:rsidR="00000000" w:rsidRPr="00DF7C30" w:rsidP="00DF7C30">
            <w:pPr>
              <w:pStyle w:val="ListBullet"/>
            </w:pPr>
            <w:r w:rsidRPr="00DF7C30">
              <w:t>any information and data in relation to despatch, receipt, movement and stora</w:t>
            </w:r>
            <w:r w:rsidRPr="00DF7C30">
              <w:t>ge of goods whether it is manual, paper-based, electronic or verbal, either in person or by phone/radio, and includes one or more of the following:</w:t>
            </w:r>
          </w:p>
          <w:p w:rsidR="00000000" w:rsidRPr="00DF7C30" w:rsidP="00DF7C30">
            <w:pPr>
              <w:pStyle w:val="ListBullet2"/>
            </w:pPr>
            <w:r w:rsidRPr="00DF7C30">
              <w:t>order requests</w:t>
            </w:r>
          </w:p>
          <w:p w:rsidR="00000000" w:rsidRPr="00DF7C30" w:rsidP="00DF7C30">
            <w:pPr>
              <w:pStyle w:val="ListBullet2"/>
            </w:pPr>
            <w:r w:rsidRPr="00DF7C30">
              <w:t>invoices</w:t>
            </w:r>
          </w:p>
          <w:p w:rsidR="00000000" w:rsidRPr="00DF7C30" w:rsidP="00DF7C30">
            <w:pPr>
              <w:pStyle w:val="ListBullet2"/>
            </w:pPr>
            <w:r w:rsidRPr="00DF7C30">
              <w:t>picking slips</w:t>
            </w:r>
          </w:p>
          <w:p w:rsidR="00000000" w:rsidRPr="00DF7C30" w:rsidP="00DF7C30">
            <w:pPr>
              <w:pStyle w:val="ListBullet2"/>
            </w:pPr>
            <w:r w:rsidRPr="00DF7C30">
              <w:t>labels</w:t>
            </w:r>
          </w:p>
          <w:p w:rsidR="00000000" w:rsidRPr="00DF7C30" w:rsidP="00DF7C30">
            <w:pPr>
              <w:pStyle w:val="ListBullet2"/>
            </w:pPr>
            <w:r w:rsidRPr="00DF7C30">
              <w:t>transportation requirements</w:t>
            </w:r>
          </w:p>
          <w:p w:rsidR="00000000" w:rsidRPr="00DF7C30" w:rsidP="00DF7C30">
            <w:pPr>
              <w:pStyle w:val="ListBullet2"/>
            </w:pPr>
            <w:r w:rsidRPr="00DF7C30">
              <w:t>bills of materials</w:t>
            </w:r>
          </w:p>
          <w:p w:rsidR="00000000" w:rsidRPr="00DF7C30" w:rsidP="00DF7C30">
            <w:pPr>
              <w:pStyle w:val="ListBullet2"/>
            </w:pPr>
            <w:r w:rsidRPr="00DF7C30">
              <w:t xml:space="preserve">inventory lists </w:t>
            </w:r>
          </w:p>
          <w:p w:rsidR="00000000" w:rsidRPr="00DF7C30" w:rsidP="00DF7C30">
            <w:pPr>
              <w:pStyle w:val="ListBullet2"/>
            </w:pPr>
            <w:r w:rsidRPr="00DF7C30">
              <w:t>databases</w:t>
            </w:r>
          </w:p>
          <w:p w:rsidR="00000000" w:rsidP="00DF7C30">
            <w:pPr>
              <w:pStyle w:val="BodyText"/>
              <w:rPr>
                <w:lang w:val="en-NZ"/>
              </w:rPr>
            </w:pPr>
          </w:p>
        </w:tc>
      </w:tr>
      <w:tr w:rsidTr="00D728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7C30">
            <w:pPr>
              <w:pStyle w:val="BodyText"/>
              <w:rPr>
                <w:lang w:val="en-NZ"/>
              </w:rPr>
            </w:pPr>
            <w:r w:rsidRPr="00DF7C30">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DF7C30" w:rsidP="00DF7C30">
            <w:pPr>
              <w:pStyle w:val="BodyText"/>
            </w:pPr>
            <w:r w:rsidRPr="00DF7C30">
              <w:t>Tools and equipment include one or more of the following:</w:t>
            </w:r>
          </w:p>
          <w:p w:rsidR="00000000" w:rsidRPr="00DF7C30" w:rsidP="00DF7C30">
            <w:pPr>
              <w:pStyle w:val="ListBullet"/>
            </w:pPr>
            <w:r w:rsidRPr="00DF7C30">
              <w:t xml:space="preserve">mobile plant/fork lifts </w:t>
            </w:r>
          </w:p>
          <w:p w:rsidR="00000000" w:rsidRPr="00DF7C30" w:rsidP="00DF7C30">
            <w:pPr>
              <w:pStyle w:val="ListBullet"/>
            </w:pPr>
            <w:r w:rsidRPr="00DF7C30">
              <w:t xml:space="preserve">manual handling equipment </w:t>
            </w:r>
          </w:p>
          <w:p w:rsidR="00000000" w:rsidRPr="00DF7C30" w:rsidP="00DF7C30">
            <w:pPr>
              <w:pStyle w:val="ListBullet"/>
            </w:pPr>
            <w:r w:rsidRPr="00DF7C30">
              <w:t xml:space="preserve">hand tools </w:t>
            </w:r>
          </w:p>
          <w:p w:rsidR="00000000" w:rsidRPr="00DF7C30" w:rsidP="00DF7C30">
            <w:pPr>
              <w:pStyle w:val="ListBullet"/>
            </w:pPr>
            <w:r w:rsidRPr="00DF7C30">
              <w:t>shrink wrappers</w:t>
            </w:r>
          </w:p>
          <w:p w:rsidR="00000000" w:rsidRPr="00DF7C30" w:rsidP="00DF7C30">
            <w:pPr>
              <w:pStyle w:val="ListBullet"/>
            </w:pPr>
            <w:r w:rsidRPr="00DF7C30">
              <w:t>tape machine labellers</w:t>
            </w:r>
          </w:p>
          <w:p w:rsidR="00000000" w:rsidRPr="00DF7C30" w:rsidP="00DF7C30">
            <w:pPr>
              <w:pStyle w:val="ListBullet"/>
            </w:pPr>
            <w:r w:rsidRPr="00DF7C30">
              <w:t>loose bulk packing equipment</w:t>
            </w:r>
          </w:p>
          <w:p w:rsidR="00000000" w:rsidRPr="00DF7C30" w:rsidP="00DF7C30">
            <w:pPr>
              <w:pStyle w:val="ListBullet"/>
            </w:pPr>
            <w:r w:rsidRPr="00DF7C30">
              <w:t xml:space="preserve">computers, bar code readers </w:t>
            </w:r>
          </w:p>
          <w:p w:rsidR="00000000" w:rsidRPr="00DF7C30" w:rsidP="00DF7C30">
            <w:pPr>
              <w:pStyle w:val="ListBullet"/>
            </w:pPr>
            <w:r w:rsidRPr="00DF7C30">
              <w:t xml:space="preserve">bag filling equipment </w:t>
            </w:r>
          </w:p>
          <w:p w:rsidR="00000000" w:rsidRPr="00DF7C30" w:rsidP="00DF7C30">
            <w:pPr>
              <w:pStyle w:val="ListBullet"/>
            </w:pPr>
            <w:r w:rsidRPr="00DF7C30">
              <w:t xml:space="preserve">pallets </w:t>
            </w:r>
          </w:p>
          <w:p w:rsidR="00000000" w:rsidRPr="00DF7C30" w:rsidP="00DF7C30">
            <w:pPr>
              <w:pStyle w:val="ListBullet"/>
            </w:pPr>
            <w:r w:rsidRPr="00DF7C30">
              <w:t xml:space="preserve">wrapping machines </w:t>
            </w:r>
          </w:p>
          <w:p w:rsidR="00000000" w:rsidRPr="00DF7C30" w:rsidP="00DF7C30">
            <w:pPr>
              <w:pStyle w:val="ListBullet"/>
            </w:pPr>
            <w:r w:rsidRPr="00DF7C30">
              <w:t>personal protective equipment (PPE)</w:t>
            </w:r>
          </w:p>
          <w:p w:rsidR="00000000" w:rsidRPr="00DF7C30" w:rsidP="00DF7C30">
            <w:pPr>
              <w:pStyle w:val="ListBullet"/>
            </w:pPr>
            <w:r w:rsidRPr="00DF7C30">
              <w:t>distribution equipment, such as A-frames, stillages, containers, elevated platforms and communication equipment</w:t>
            </w:r>
          </w:p>
          <w:p w:rsidR="00000000" w:rsidP="00DF7C30">
            <w:pPr>
              <w:pStyle w:val="BodyText"/>
              <w:rPr>
                <w:lang w:val="en-NZ"/>
              </w:rPr>
            </w:pPr>
          </w:p>
        </w:tc>
      </w:tr>
      <w:tr w:rsidTr="00D728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7C30">
            <w:pPr>
              <w:pStyle w:val="BodyText"/>
              <w:rPr>
                <w:lang w:val="en-NZ"/>
              </w:rPr>
            </w:pPr>
            <w:r w:rsidRPr="00DF7C30">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DF7C30" w:rsidP="00DF7C30">
            <w:pPr>
              <w:pStyle w:val="BodyText"/>
            </w:pPr>
            <w:r w:rsidRPr="00DF7C30">
              <w:t>Hazards include one or more of the following:</w:t>
            </w:r>
          </w:p>
          <w:p w:rsidR="00000000" w:rsidRPr="00DF7C30" w:rsidP="00DF7C30">
            <w:pPr>
              <w:pStyle w:val="ListBullet"/>
            </w:pPr>
            <w:r w:rsidRPr="00DF7C30">
              <w:t>inappropriate movements and postures</w:t>
            </w:r>
          </w:p>
          <w:p w:rsidR="00000000" w:rsidRPr="00DF7C30" w:rsidP="00DF7C30">
            <w:pPr>
              <w:pStyle w:val="ListBullet"/>
            </w:pPr>
            <w:r w:rsidRPr="00DF7C30">
              <w:t>humidity, air temperature and radiant heat</w:t>
            </w:r>
          </w:p>
          <w:p w:rsidR="00000000" w:rsidRPr="00DF7C30" w:rsidP="00DF7C30">
            <w:pPr>
              <w:pStyle w:val="ListBullet"/>
            </w:pPr>
            <w:r w:rsidRPr="00DF7C30">
              <w:t>manual handling hazards</w:t>
            </w:r>
          </w:p>
          <w:p w:rsidR="00000000" w:rsidRPr="00DF7C30" w:rsidP="00DF7C30">
            <w:pPr>
              <w:pStyle w:val="ListBullet"/>
            </w:pPr>
            <w:r w:rsidRPr="00DF7C30">
              <w:t>smoke, darkness and heat</w:t>
            </w:r>
          </w:p>
          <w:p w:rsidR="00000000" w:rsidRPr="00DF7C30" w:rsidP="00DF7C30">
            <w:pPr>
              <w:pStyle w:val="ListBullet"/>
            </w:pPr>
            <w:r w:rsidRPr="00DF7C30">
              <w:t>heat, smoke, dust or other atmospheric hazards</w:t>
            </w:r>
          </w:p>
          <w:p w:rsidR="00000000" w:rsidRPr="00DF7C30" w:rsidP="00DF7C30">
            <w:pPr>
              <w:pStyle w:val="ListBullet"/>
            </w:pPr>
            <w:r w:rsidRPr="00DF7C30">
              <w:t>electricity</w:t>
            </w:r>
          </w:p>
          <w:p w:rsidR="00000000" w:rsidRPr="00DF7C30" w:rsidP="00DF7C30">
            <w:pPr>
              <w:pStyle w:val="ListBullet"/>
            </w:pPr>
            <w:r w:rsidRPr="00DF7C30">
              <w:t>gas</w:t>
            </w:r>
          </w:p>
          <w:p w:rsidR="00000000" w:rsidRPr="00DF7C30" w:rsidP="00DF7C30">
            <w:pPr>
              <w:pStyle w:val="ListBullet"/>
            </w:pPr>
            <w:r w:rsidRPr="00DF7C30">
              <w:t>gases and liquids</w:t>
            </w:r>
            <w:r w:rsidRPr="00DF7C30">
              <w:t xml:space="preserve"> under pressure </w:t>
            </w:r>
          </w:p>
          <w:p w:rsidR="00000000" w:rsidRPr="00DF7C30" w:rsidP="00DF7C30">
            <w:pPr>
              <w:pStyle w:val="ListBullet"/>
            </w:pPr>
            <w:r w:rsidRPr="00DF7C30">
              <w:t>structural hazards</w:t>
            </w:r>
          </w:p>
          <w:p w:rsidR="00000000" w:rsidRPr="00DF7C30" w:rsidP="00DF7C30">
            <w:pPr>
              <w:pStyle w:val="ListBullet"/>
            </w:pPr>
            <w:r w:rsidRPr="00DF7C30">
              <w:t>structural collapse</w:t>
            </w:r>
          </w:p>
          <w:p w:rsidR="00000000" w:rsidRPr="00DF7C30" w:rsidP="00DF7C30">
            <w:pPr>
              <w:pStyle w:val="ListBullet"/>
            </w:pPr>
            <w:r w:rsidRPr="00DF7C30">
              <w:t>equipment failures</w:t>
            </w:r>
          </w:p>
          <w:p w:rsidR="00000000" w:rsidRPr="00DF7C30" w:rsidP="00DF7C30">
            <w:pPr>
              <w:pStyle w:val="ListBullet"/>
            </w:pPr>
            <w:r w:rsidRPr="00DF7C30">
              <w:t>industrial (machinery, equipment and product)</w:t>
            </w:r>
          </w:p>
          <w:p w:rsidR="00000000" w:rsidRPr="00DF7C30" w:rsidP="00DF7C30">
            <w:pPr>
              <w:pStyle w:val="ListBullet"/>
            </w:pPr>
            <w:r w:rsidRPr="00DF7C30">
              <w:t>equipment or product mass</w:t>
            </w:r>
          </w:p>
          <w:p w:rsidR="00000000" w:rsidRPr="00DF7C30" w:rsidP="00DF7C30">
            <w:pPr>
              <w:pStyle w:val="ListBullet"/>
            </w:pPr>
            <w:r w:rsidRPr="00DF7C30">
              <w:t>noise, rotational equipment or vibration</w:t>
            </w:r>
          </w:p>
          <w:p w:rsidR="00000000" w:rsidRPr="00DF7C30" w:rsidP="00DF7C30">
            <w:pPr>
              <w:pStyle w:val="ListBullet"/>
            </w:pPr>
            <w:r w:rsidRPr="00DF7C30">
              <w:t xml:space="preserve">limited head spaces or overhangs </w:t>
            </w:r>
          </w:p>
          <w:p w:rsidR="00000000" w:rsidRPr="00DF7C30" w:rsidP="00DF7C30">
            <w:pPr>
              <w:pStyle w:val="ListBullet"/>
            </w:pPr>
            <w:r w:rsidRPr="00DF7C30">
              <w:t>working at heights, in restricted or confined spaces, or in environments subjected to heat, noise, dusts or vapours</w:t>
            </w:r>
          </w:p>
          <w:p w:rsidR="00000000" w:rsidRPr="00DF7C30" w:rsidP="00DF7C30">
            <w:pPr>
              <w:pStyle w:val="ListBullet"/>
            </w:pPr>
            <w:r w:rsidRPr="00DF7C30">
              <w:t xml:space="preserve">fire and explosion </w:t>
            </w:r>
          </w:p>
          <w:p w:rsidR="00000000" w:rsidRPr="00DF7C30" w:rsidP="00DF7C30">
            <w:pPr>
              <w:pStyle w:val="ListBullet"/>
            </w:pPr>
            <w:r w:rsidRPr="00DF7C30">
              <w:t>flammability and explosivity</w:t>
            </w:r>
          </w:p>
          <w:p w:rsidR="00000000" w:rsidRPr="00DF7C30" w:rsidP="00DF7C30">
            <w:pPr>
              <w:pStyle w:val="ListBullet"/>
            </w:pPr>
            <w:r w:rsidRPr="00DF7C30">
              <w:t>hazardous products and materials</w:t>
            </w:r>
          </w:p>
          <w:p w:rsidR="00000000" w:rsidRPr="00DF7C30" w:rsidP="00DF7C30">
            <w:pPr>
              <w:pStyle w:val="ListBullet"/>
            </w:pPr>
            <w:r w:rsidRPr="00DF7C30">
              <w:t>unauthorised personnel</w:t>
            </w:r>
          </w:p>
          <w:p w:rsidR="00000000" w:rsidRPr="00DF7C30" w:rsidP="00DF7C30">
            <w:pPr>
              <w:pStyle w:val="ListBullet"/>
            </w:pPr>
            <w:r w:rsidRPr="00DF7C30">
              <w:t>sharp edges, protrusions or obstruc</w:t>
            </w:r>
            <w:r w:rsidRPr="00DF7C30">
              <w:t>tions</w:t>
            </w:r>
          </w:p>
          <w:p w:rsidR="00000000" w:rsidRPr="00DF7C30" w:rsidP="00DF7C30">
            <w:pPr>
              <w:pStyle w:val="ListBullet"/>
            </w:pPr>
            <w:r w:rsidRPr="00DF7C30">
              <w:t>slippery surfaces, spills or leaks</w:t>
            </w:r>
          </w:p>
          <w:p w:rsidR="00000000" w:rsidRPr="00DF7C30" w:rsidP="00DF7C30">
            <w:pPr>
              <w:pStyle w:val="ListBullet"/>
            </w:pPr>
            <w:r w:rsidRPr="00DF7C30">
              <w:t>extreme weather</w:t>
            </w:r>
          </w:p>
          <w:p w:rsidR="00000000" w:rsidRPr="00DF7C30" w:rsidP="00DF7C30">
            <w:pPr>
              <w:pStyle w:val="ListBullet"/>
            </w:pPr>
            <w:r w:rsidRPr="00DF7C30">
              <w:t>other hazards that might arise</w:t>
            </w:r>
          </w:p>
          <w:p w:rsidR="00000000" w:rsidP="00DF7C30">
            <w:pPr>
              <w:pStyle w:val="BodyText"/>
              <w:rPr>
                <w:lang w:val="en-NZ"/>
              </w:rPr>
            </w:pPr>
          </w:p>
        </w:tc>
      </w:tr>
      <w:tr w:rsidTr="00D728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F7C30">
            <w:pPr>
              <w:pStyle w:val="BodyText"/>
              <w:rPr>
                <w:lang w:val="en-NZ"/>
              </w:rPr>
            </w:pPr>
            <w:r w:rsidRPr="00DF7C30">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DF7C30" w:rsidP="00DF7C30">
            <w:pPr>
              <w:pStyle w:val="BodyText"/>
            </w:pPr>
            <w:r w:rsidRPr="00DF7C30">
              <w:t xml:space="preserve">Routine problems must be resolved by applying known solutions. </w:t>
            </w:r>
          </w:p>
          <w:p w:rsidR="00000000" w:rsidRPr="00DF7C30" w:rsidP="00DF7C30">
            <w:pPr>
              <w:pStyle w:val="BodyText"/>
            </w:pPr>
          </w:p>
          <w:p w:rsidR="00000000" w:rsidRPr="00DF7C30" w:rsidP="00DF7C30">
            <w:pPr>
              <w:pStyle w:val="BodyText"/>
            </w:pPr>
            <w:r w:rsidRPr="00DF7C30">
              <w:t>Routine problems are predictable and include one or more of the following:</w:t>
            </w:r>
          </w:p>
          <w:p w:rsidR="00000000" w:rsidRPr="00DF7C30" w:rsidP="00DF7C30">
            <w:pPr>
              <w:pStyle w:val="ListBullet"/>
            </w:pPr>
            <w:r w:rsidRPr="00DF7C30">
              <w:t>equipment malfunctions</w:t>
            </w:r>
          </w:p>
          <w:p w:rsidR="00000000" w:rsidRPr="00DF7C30" w:rsidP="00DF7C30">
            <w:pPr>
              <w:pStyle w:val="ListBullet"/>
            </w:pPr>
            <w:r w:rsidRPr="00DF7C30">
              <w:t>product specifications</w:t>
            </w:r>
          </w:p>
          <w:p w:rsidR="00000000" w:rsidRPr="00DF7C30" w:rsidP="00DF7C30">
            <w:pPr>
              <w:pStyle w:val="ListBullet"/>
            </w:pPr>
            <w:r w:rsidRPr="00DF7C30">
              <w:t>handling specifications</w:t>
            </w:r>
          </w:p>
          <w:p w:rsidR="00000000" w:rsidRPr="00DF7C30" w:rsidP="00DF7C30">
            <w:pPr>
              <w:pStyle w:val="ListBullet"/>
            </w:pPr>
            <w:r w:rsidRPr="00DF7C30">
              <w:t>insufficient space</w:t>
            </w:r>
          </w:p>
          <w:p w:rsidR="00000000" w:rsidRPr="00DF7C30" w:rsidP="00DF7C30">
            <w:pPr>
              <w:pStyle w:val="ListBullet"/>
            </w:pPr>
            <w:r w:rsidRPr="00DF7C30">
              <w:t>unusual size, shape or mass of products or materials</w:t>
            </w:r>
          </w:p>
          <w:p w:rsidR="00000000" w:rsidRPr="00DF7C30" w:rsidP="00DF7C30">
            <w:pPr>
              <w:pStyle w:val="ListBullet"/>
            </w:pPr>
            <w:r w:rsidRPr="00DF7C30">
              <w:t>insufficient goods to complete order</w:t>
            </w:r>
          </w:p>
          <w:p w:rsidR="00000000" w:rsidRPr="00DF7C30" w:rsidP="00DF7C30">
            <w:pPr>
              <w:pStyle w:val="ListBullet"/>
            </w:pPr>
            <w:r w:rsidRPr="00DF7C30">
              <w:t>conflicting priorities</w:t>
            </w:r>
          </w:p>
          <w:p w:rsidR="00000000" w:rsidRPr="00DF7C30" w:rsidP="00DF7C30">
            <w:pPr>
              <w:pStyle w:val="ListBullet"/>
            </w:pPr>
            <w:r w:rsidRPr="00DF7C30">
              <w:t>incomplete or incorrect paperwork</w:t>
            </w:r>
          </w:p>
          <w:p w:rsidR="00000000" w:rsidRPr="00DF7C30" w:rsidP="00DF7C30">
            <w:pPr>
              <w:pStyle w:val="BodyText"/>
            </w:pPr>
          </w:p>
          <w:p w:rsidR="00000000" w:rsidRPr="00DF7C30" w:rsidP="00DF7C30">
            <w:pPr>
              <w:pStyle w:val="BodyText"/>
            </w:pPr>
            <w:r w:rsidRPr="00DF7C30">
              <w:t>Known solutions are</w:t>
            </w:r>
            <w:r w:rsidRPr="00DF7C30">
              <w:t xml:space="preserve"> drawn from one or more of the following:</w:t>
            </w:r>
          </w:p>
          <w:p w:rsidR="00000000" w:rsidRPr="00DF7C30" w:rsidP="00DF7C30">
            <w:pPr>
              <w:pStyle w:val="ListBullet"/>
            </w:pPr>
            <w:r w:rsidRPr="00DF7C30">
              <w:t>procedures</w:t>
            </w:r>
          </w:p>
          <w:p w:rsidR="00000000" w:rsidRPr="00DF7C30" w:rsidP="00DF7C30">
            <w:pPr>
              <w:pStyle w:val="ListBullet"/>
            </w:pPr>
            <w:r w:rsidRPr="00DF7C30">
              <w:t>training</w:t>
            </w:r>
          </w:p>
          <w:p w:rsidR="00000000" w:rsidRPr="00DF7C30" w:rsidP="00DF7C30">
            <w:pPr>
              <w:pStyle w:val="ListBullet"/>
            </w:pPr>
            <w:r w:rsidRPr="00DF7C30">
              <w:t>remembered experience</w:t>
            </w:r>
          </w:p>
          <w:p w:rsidR="00000000" w:rsidRPr="00DF7C30" w:rsidP="00DF7C30">
            <w:pPr>
              <w:pStyle w:val="BodyText"/>
            </w:pPr>
          </w:p>
          <w:p w:rsidR="00000000" w:rsidRPr="00DF7C30" w:rsidP="00DF7C30">
            <w:pPr>
              <w:pStyle w:val="BodyText"/>
            </w:pPr>
            <w:r w:rsidRPr="00DF7C30">
              <w:t>Non-routine problems must be reported according to according to relevant procedures.</w:t>
            </w:r>
          </w:p>
        </w:tc>
      </w:tr>
    </w:tbl>
    <w:p w:rsidR="00000000" w:rsidRPr="00DF7C30" w:rsidP="00DF7C30">
      <w:pPr>
        <w:pStyle w:val="BodyText"/>
      </w:pPr>
    </w:p>
    <w:p w:rsidR="00000000" w:rsidRPr="00DF7C30" w:rsidP="00DF7C30">
      <w:pPr>
        <w:pStyle w:val="AllowPageBreak"/>
      </w:pPr>
    </w:p>
    <w:p w:rsidR="00000000" w:rsidRPr="00DF7C30" w:rsidP="00DF7C30">
      <w:pPr>
        <w:pStyle w:val="Heading1"/>
      </w:pPr>
      <w:bookmarkStart w:id="9" w:name="O_871599"/>
      <w:bookmarkEnd w:id="9"/>
      <w:r w:rsidRPr="00DF7C30">
        <w:t>Unit Mapping Information</w:t>
      </w:r>
    </w:p>
    <w:p w:rsidR="00000000" w:rsidRPr="00DF7C30" w:rsidP="00D72825">
      <w:pPr>
        <w:pStyle w:val="BodyText"/>
      </w:pPr>
      <w:r w:rsidRPr="00DF7C30">
        <w:t>Release 1. Supersedes and is equivalent to MSAPMSUP204A Pack products or materials</w:t>
      </w:r>
    </w:p>
    <w:p w:rsidR="00000000" w:rsidRPr="00DF7C30" w:rsidP="00DF7C30">
      <w:pPr>
        <w:pStyle w:val="Heading1"/>
      </w:pPr>
      <w:bookmarkStart w:id="10" w:name="O_871592"/>
      <w:bookmarkEnd w:id="10"/>
      <w:r w:rsidRPr="00DF7C30">
        <w:t>Links</w:t>
      </w:r>
    </w:p>
    <w:p w:rsidR="00000000" w:rsidRPr="00DF7C30" w:rsidP="00D72825">
      <w:pPr>
        <w:pStyle w:val="BodyText"/>
      </w:pPr>
      <w:r w:rsidRPr="00DF7C30">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557408">
        <w:rPr>
          <w:rStyle w:val="Hyperlink"/>
        </w:rPr>
        <w:t>https://vetnet.gov.au/Pages/TrainingDocs.aspx?q=d1287d36-dff4-4e9f-ad2c-9d6270054027</w:t>
      </w:r>
      <w:r>
        <w:fldChar w:fldCharType="end"/>
      </w:r>
    </w:p>
    <w:p w:rsidR="00000000" w:rsidRPr="00DF7C30" w:rsidP="00DF7C30"/>
    <w:sectPr w:rsidSect="00DF7C3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C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C30" w:rsidRPr="00D72825" w:rsidP="00D728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C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825" w:rsidP="00DF7C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72825" w:rsidP="00DF7C3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72825" w:rsidP="00DF7C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C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8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7C30" w:rsidRPr="00D72825" w:rsidP="00D728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C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825" w:rsidRPr="002D2AF8" w:rsidP="00DF7C30">
    <w:pPr>
      <w:pStyle w:val="Header"/>
      <w:framePr w:wrap="around"/>
    </w:pPr>
    <w:r>
      <w:fldChar w:fldCharType="begin"/>
    </w:r>
    <w:r>
      <w:instrText xml:space="preserve"> TITLE   \* MERGEFORMAT </w:instrText>
    </w:r>
    <w:r>
      <w:fldChar w:fldCharType="separate"/>
    </w:r>
    <w:r>
      <w:t>MSMSUP204 Pack products or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D72825" w:rsidP="00DF7C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1E48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861F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C016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7C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7C30"/>
    <w:pPr>
      <w:spacing w:before="360" w:after="60"/>
      <w:outlineLvl w:val="0"/>
    </w:pPr>
    <w:rPr>
      <w:sz w:val="32"/>
    </w:rPr>
  </w:style>
  <w:style w:type="paragraph" w:styleId="Heading2">
    <w:name w:val="heading 2"/>
    <w:basedOn w:val="HeadingBase"/>
    <w:next w:val="BodyText"/>
    <w:link w:val="Heading2Char"/>
    <w:qFormat/>
    <w:rsid w:val="00DF7C30"/>
    <w:pPr>
      <w:keepLines/>
      <w:spacing w:before="240" w:after="120"/>
      <w:outlineLvl w:val="1"/>
    </w:pPr>
    <w:rPr>
      <w:sz w:val="28"/>
      <w:szCs w:val="40"/>
    </w:rPr>
  </w:style>
  <w:style w:type="paragraph" w:styleId="Heading3">
    <w:name w:val="heading 3"/>
    <w:basedOn w:val="HeadingBase"/>
    <w:next w:val="BodyText"/>
    <w:link w:val="Heading3Char"/>
    <w:qFormat/>
    <w:rsid w:val="00DF7C30"/>
    <w:pPr>
      <w:spacing w:before="180" w:after="120"/>
      <w:outlineLvl w:val="2"/>
    </w:pPr>
    <w:rPr>
      <w:spacing w:val="-10"/>
      <w:kern w:val="32"/>
    </w:rPr>
  </w:style>
  <w:style w:type="paragraph" w:styleId="Heading4">
    <w:name w:val="heading 4"/>
    <w:basedOn w:val="HeadingBase"/>
    <w:next w:val="BodyText"/>
    <w:link w:val="Heading4Char"/>
    <w:qFormat/>
    <w:rsid w:val="00DF7C30"/>
    <w:pPr>
      <w:spacing w:before="160" w:after="120"/>
      <w:outlineLvl w:val="3"/>
    </w:pPr>
    <w:rPr>
      <w:sz w:val="22"/>
    </w:rPr>
  </w:style>
  <w:style w:type="paragraph" w:styleId="Heading5">
    <w:name w:val="heading 5"/>
    <w:basedOn w:val="HeadingBase"/>
    <w:next w:val="Normal"/>
    <w:link w:val="Heading5Char"/>
    <w:qFormat/>
    <w:rsid w:val="00DF7C30"/>
    <w:pPr>
      <w:spacing w:before="80"/>
      <w:outlineLvl w:val="4"/>
    </w:pPr>
    <w:rPr>
      <w:color w:val="918585"/>
      <w:sz w:val="20"/>
    </w:rPr>
  </w:style>
  <w:style w:type="paragraph" w:styleId="Heading6">
    <w:name w:val="heading 6"/>
    <w:basedOn w:val="HeadingBase"/>
    <w:next w:val="Normal"/>
    <w:link w:val="Heading6Char"/>
    <w:qFormat/>
    <w:rsid w:val="00DF7C30"/>
    <w:pPr>
      <w:spacing w:before="60"/>
      <w:outlineLvl w:val="5"/>
    </w:pPr>
    <w:rPr>
      <w:color w:val="918585"/>
      <w:sz w:val="20"/>
    </w:rPr>
  </w:style>
  <w:style w:type="paragraph" w:styleId="Heading7">
    <w:name w:val="heading 7"/>
    <w:basedOn w:val="Normal"/>
    <w:next w:val="Normal"/>
    <w:link w:val="Heading7Char"/>
    <w:qFormat/>
    <w:rsid w:val="00DF7C30"/>
    <w:pPr>
      <w:ind w:left="720"/>
      <w:outlineLvl w:val="6"/>
    </w:pPr>
    <w:rPr>
      <w:i/>
    </w:rPr>
  </w:style>
  <w:style w:type="paragraph" w:styleId="Heading8">
    <w:name w:val="heading 8"/>
    <w:basedOn w:val="Normal"/>
    <w:next w:val="Normal"/>
    <w:link w:val="Heading8Char"/>
    <w:qFormat/>
    <w:rsid w:val="00DF7C30"/>
    <w:pPr>
      <w:ind w:left="720"/>
      <w:outlineLvl w:val="7"/>
    </w:pPr>
    <w:rPr>
      <w:i/>
    </w:rPr>
  </w:style>
  <w:style w:type="paragraph" w:styleId="Heading9">
    <w:name w:val="heading 9"/>
    <w:basedOn w:val="Normal"/>
    <w:next w:val="Normal"/>
    <w:link w:val="Heading9Char"/>
    <w:qFormat/>
    <w:rsid w:val="00DF7C30"/>
    <w:pPr>
      <w:ind w:left="720"/>
      <w:outlineLvl w:val="8"/>
    </w:pPr>
    <w:rPr>
      <w:i/>
    </w:rPr>
  </w:style>
  <w:style w:type="character" w:default="1" w:styleId="DefaultParagraphFont">
    <w:name w:val="Default Paragraph Font"/>
    <w:uiPriority w:val="1"/>
    <w:unhideWhenUsed/>
    <w:rsid w:val="00DF7C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7C30"/>
  </w:style>
  <w:style w:type="character" w:customStyle="1" w:styleId="Heading1Char">
    <w:name w:val="Heading 1 Char"/>
    <w:basedOn w:val="DefaultParagraphFont"/>
    <w:link w:val="Heading1"/>
    <w:rsid w:val="00DF7C30"/>
    <w:rPr>
      <w:rFonts w:ascii="Times New Roman" w:eastAsia="Times New Roman" w:hAnsi="Times New Roman" w:cs="Times New Roman"/>
      <w:b/>
      <w:sz w:val="32"/>
      <w:szCs w:val="20"/>
      <w:lang w:eastAsia="en-US"/>
    </w:rPr>
  </w:style>
  <w:style w:type="paragraph" w:styleId="BodyText">
    <w:name w:val="Body Text"/>
    <w:basedOn w:val="Normal"/>
    <w:link w:val="BodyTextChar"/>
    <w:rsid w:val="00DF7C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7C30"/>
    <w:rPr>
      <w:rFonts w:ascii="Times New Roman" w:eastAsia="Times New Roman" w:hAnsi="Times New Roman" w:cs="Times New Roman"/>
      <w:sz w:val="24"/>
      <w:lang w:eastAsia="en-US"/>
    </w:rPr>
  </w:style>
  <w:style w:type="paragraph" w:styleId="ListBullet">
    <w:name w:val="List Bullet"/>
    <w:basedOn w:val="List"/>
    <w:rsid w:val="00DF7C30"/>
    <w:pPr>
      <w:numPr>
        <w:numId w:val="12"/>
      </w:numPr>
      <w:tabs>
        <w:tab w:val="clear" w:pos="340"/>
      </w:tabs>
      <w:spacing w:before="40" w:after="40"/>
    </w:pPr>
  </w:style>
  <w:style w:type="character" w:customStyle="1" w:styleId="SpecialBold">
    <w:name w:val="Special Bold"/>
    <w:basedOn w:val="DefaultParagraphFont"/>
    <w:rsid w:val="00DF7C30"/>
    <w:rPr>
      <w:b/>
      <w:spacing w:val="0"/>
    </w:rPr>
  </w:style>
  <w:style w:type="paragraph" w:styleId="ListBullet2">
    <w:name w:val="List Bullet 2"/>
    <w:basedOn w:val="List2"/>
    <w:rsid w:val="00DF7C30"/>
    <w:pPr>
      <w:numPr>
        <w:numId w:val="13"/>
      </w:numPr>
      <w:tabs>
        <w:tab w:val="clear" w:pos="680"/>
      </w:tabs>
    </w:pPr>
  </w:style>
  <w:style w:type="paragraph" w:customStyle="1" w:styleId="SuperHeading">
    <w:name w:val="SuperHeading"/>
    <w:basedOn w:val="Normal"/>
    <w:rsid w:val="00DF7C30"/>
    <w:pPr>
      <w:spacing w:before="240" w:after="120"/>
      <w:outlineLvl w:val="0"/>
    </w:pPr>
    <w:rPr>
      <w:rFonts w:ascii="Times New Roman" w:hAnsi="Times New Roman"/>
      <w:b/>
      <w:sz w:val="32"/>
    </w:rPr>
  </w:style>
  <w:style w:type="paragraph" w:customStyle="1" w:styleId="AllowPageBreak">
    <w:name w:val="AllowPageBreak"/>
    <w:rsid w:val="00DF7C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7C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7C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7C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7C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7C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7C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7C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7C30"/>
    <w:rPr>
      <w:rFonts w:ascii="Courier New" w:eastAsia="Times New Roman" w:hAnsi="Courier New" w:cs="Times New Roman"/>
      <w:i/>
      <w:szCs w:val="20"/>
      <w:lang w:eastAsia="en-US"/>
    </w:rPr>
  </w:style>
  <w:style w:type="paragraph" w:customStyle="1" w:styleId="HeadingBase">
    <w:name w:val="Heading Base"/>
    <w:rsid w:val="00DF7C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7C30"/>
    <w:pPr>
      <w:tabs>
        <w:tab w:val="right" w:leader="dot" w:pos="9072"/>
      </w:tabs>
      <w:ind w:left="567"/>
    </w:pPr>
    <w:rPr>
      <w:szCs w:val="22"/>
    </w:rPr>
  </w:style>
  <w:style w:type="paragraph" w:customStyle="1" w:styleId="TOCBase">
    <w:name w:val="TOC Base"/>
    <w:rsid w:val="00DF7C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7C30"/>
    <w:pPr>
      <w:tabs>
        <w:tab w:val="right" w:leader="dot" w:pos="9072"/>
      </w:tabs>
      <w:spacing w:before="40" w:after="40"/>
      <w:ind w:left="284"/>
    </w:pPr>
    <w:rPr>
      <w:rFonts w:ascii="Times New Roman" w:hAnsi="Times New Roman"/>
    </w:rPr>
  </w:style>
  <w:style w:type="paragraph" w:styleId="TOC1">
    <w:name w:val="toc 1"/>
    <w:basedOn w:val="TOCBase"/>
    <w:next w:val="Normal"/>
    <w:rsid w:val="00DF7C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7C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7C30"/>
    <w:rPr>
      <w:rFonts w:ascii="Times New Roman" w:eastAsia="Times New Roman" w:hAnsi="Times New Roman" w:cs="Times New Roman"/>
      <w:sz w:val="16"/>
      <w:lang w:eastAsia="en-US"/>
    </w:rPr>
  </w:style>
  <w:style w:type="paragraph" w:styleId="Title">
    <w:name w:val="Title"/>
    <w:basedOn w:val="HeadingBase"/>
    <w:link w:val="TitleChar"/>
    <w:qFormat/>
    <w:rsid w:val="00DF7C30"/>
    <w:pPr>
      <w:spacing w:before="5040"/>
      <w:jc w:val="center"/>
    </w:pPr>
    <w:rPr>
      <w:sz w:val="48"/>
      <w:szCs w:val="72"/>
      <w:lang w:val="en-US"/>
    </w:rPr>
  </w:style>
  <w:style w:type="character" w:customStyle="1" w:styleId="TitleChar">
    <w:name w:val="Title Char"/>
    <w:basedOn w:val="DefaultParagraphFont"/>
    <w:link w:val="Title"/>
    <w:rsid w:val="00DF7C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7C30"/>
    <w:pPr>
      <w:tabs>
        <w:tab w:val="left" w:pos="3600"/>
        <w:tab w:val="left" w:pos="3958"/>
      </w:tabs>
    </w:pPr>
  </w:style>
  <w:style w:type="paragraph" w:styleId="List">
    <w:name w:val="List"/>
    <w:basedOn w:val="BodyText"/>
    <w:next w:val="BodyText"/>
    <w:rsid w:val="00DF7C30"/>
    <w:pPr>
      <w:tabs>
        <w:tab w:val="left" w:pos="340"/>
      </w:tabs>
      <w:spacing w:before="60" w:after="60"/>
      <w:ind w:left="340" w:hanging="340"/>
    </w:pPr>
  </w:style>
  <w:style w:type="paragraph" w:customStyle="1" w:styleId="Note">
    <w:name w:val="Note"/>
    <w:basedOn w:val="BodyText"/>
    <w:rsid w:val="00DF7C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7C30"/>
    <w:pPr>
      <w:framePr w:wrap="auto" w:hAnchor="text" w:y="6049"/>
    </w:pPr>
    <w:rPr>
      <w:color w:val="000000"/>
      <w:sz w:val="40"/>
    </w:rPr>
  </w:style>
  <w:style w:type="paragraph" w:customStyle="1" w:styleId="TOCTitle">
    <w:name w:val="TOCTitle"/>
    <w:basedOn w:val="Heading1"/>
    <w:rsid w:val="00DF7C30"/>
    <w:pPr>
      <w:spacing w:after="240"/>
      <w:jc w:val="center"/>
      <w:outlineLvl w:val="9"/>
    </w:pPr>
    <w:rPr>
      <w:caps/>
    </w:rPr>
  </w:style>
  <w:style w:type="paragraph" w:customStyle="1" w:styleId="Version">
    <w:name w:val="Version"/>
    <w:rsid w:val="00DF7C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7C30"/>
    <w:pPr>
      <w:keepNext w:val="0"/>
      <w:tabs>
        <w:tab w:val="right" w:pos="4176"/>
      </w:tabs>
      <w:ind w:left="198" w:hanging="198"/>
    </w:pPr>
    <w:rPr>
      <w:rFonts w:ascii="Garamond" w:hAnsi="Garamond"/>
    </w:rPr>
  </w:style>
  <w:style w:type="paragraph" w:styleId="IndexHeading">
    <w:name w:val="index heading"/>
    <w:basedOn w:val="Normal"/>
    <w:next w:val="Index1"/>
    <w:semiHidden/>
    <w:rsid w:val="00DF7C30"/>
    <w:pPr>
      <w:spacing w:before="120" w:after="120"/>
    </w:pPr>
    <w:rPr>
      <w:rFonts w:ascii="Arial" w:hAnsi="Arial"/>
      <w:b/>
      <w:color w:val="918585"/>
      <w:sz w:val="24"/>
    </w:rPr>
  </w:style>
  <w:style w:type="paragraph" w:styleId="Header">
    <w:name w:val="header"/>
    <w:basedOn w:val="Normal"/>
    <w:link w:val="HeaderChar"/>
    <w:rsid w:val="00DF7C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7C30"/>
    <w:rPr>
      <w:rFonts w:ascii="Times New Roman" w:eastAsia="Times New Roman" w:hAnsi="Times New Roman" w:cs="Times New Roman"/>
      <w:sz w:val="16"/>
      <w:szCs w:val="20"/>
      <w:lang w:val="en-GB" w:eastAsia="en-US"/>
    </w:rPr>
  </w:style>
  <w:style w:type="paragraph" w:customStyle="1" w:styleId="Chapter">
    <w:name w:val="Chapter"/>
    <w:basedOn w:val="Normal"/>
    <w:rsid w:val="00DF7C30"/>
    <w:pPr>
      <w:spacing w:before="240"/>
    </w:pPr>
    <w:rPr>
      <w:rFonts w:ascii="Times New Roman" w:hAnsi="Times New Roman"/>
      <w:smallCaps/>
      <w:spacing w:val="80"/>
      <w:sz w:val="28"/>
    </w:rPr>
  </w:style>
  <w:style w:type="paragraph" w:customStyle="1" w:styleId="InChapter">
    <w:name w:val="InChapter"/>
    <w:basedOn w:val="Heading3"/>
    <w:rsid w:val="00DF7C30"/>
    <w:pPr>
      <w:spacing w:after="240"/>
      <w:outlineLvl w:val="9"/>
    </w:pPr>
    <w:rPr>
      <w:noProof/>
    </w:rPr>
  </w:style>
  <w:style w:type="paragraph" w:styleId="Index2">
    <w:name w:val="index 2"/>
    <w:basedOn w:val="Normal"/>
    <w:next w:val="Normal"/>
    <w:semiHidden/>
    <w:rsid w:val="00DF7C30"/>
    <w:pPr>
      <w:tabs>
        <w:tab w:val="right" w:pos="4176"/>
      </w:tabs>
      <w:ind w:left="568" w:hanging="284"/>
    </w:pPr>
    <w:rPr>
      <w:rFonts w:ascii="Garamond" w:hAnsi="Garamond"/>
    </w:rPr>
  </w:style>
  <w:style w:type="paragraph" w:customStyle="1" w:styleId="Byline">
    <w:name w:val="Byline"/>
    <w:rsid w:val="00DF7C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7C30"/>
    <w:pPr>
      <w:tabs>
        <w:tab w:val="clear" w:pos="3600"/>
        <w:tab w:val="clear" w:pos="3958"/>
      </w:tabs>
      <w:jc w:val="right"/>
    </w:pPr>
  </w:style>
  <w:style w:type="character" w:styleId="Emphasis">
    <w:name w:val="Emphasis"/>
    <w:basedOn w:val="DefaultParagraphFont"/>
    <w:qFormat/>
    <w:rsid w:val="00DF7C30"/>
    <w:rPr>
      <w:i/>
    </w:rPr>
  </w:style>
  <w:style w:type="paragraph" w:styleId="Caption">
    <w:name w:val="caption"/>
    <w:basedOn w:val="BodyText"/>
    <w:next w:val="Normal"/>
    <w:qFormat/>
    <w:rsid w:val="00DF7C30"/>
    <w:pPr>
      <w:framePr w:w="2268" w:hSpace="181" w:vSpace="181" w:wrap="around" w:vAnchor="text" w:hAnchor="page" w:x="1135" w:y="285" w:anchorLock="1"/>
    </w:pPr>
    <w:rPr>
      <w:i/>
    </w:rPr>
  </w:style>
  <w:style w:type="paragraph" w:customStyle="1" w:styleId="MiniTOCTitle">
    <w:name w:val="MiniTOCTitle"/>
    <w:basedOn w:val="Heading4"/>
    <w:rsid w:val="00DF7C30"/>
    <w:pPr>
      <w:spacing w:before="240"/>
      <w:outlineLvl w:val="9"/>
    </w:pPr>
    <w:rPr>
      <w:noProof/>
      <w:sz w:val="24"/>
    </w:rPr>
  </w:style>
  <w:style w:type="paragraph" w:customStyle="1" w:styleId="MiniTOCItem">
    <w:name w:val="MiniTOCItem"/>
    <w:basedOn w:val="ListBullet"/>
    <w:rsid w:val="00DF7C30"/>
    <w:pPr>
      <w:numPr>
        <w:numId w:val="0"/>
      </w:numPr>
      <w:tabs>
        <w:tab w:val="right" w:leader="dot" w:pos="6521"/>
      </w:tabs>
      <w:spacing w:before="0" w:after="0"/>
    </w:pPr>
  </w:style>
  <w:style w:type="paragraph" w:customStyle="1" w:styleId="TOFTitle">
    <w:name w:val="TOFTitle"/>
    <w:basedOn w:val="TOCTitle"/>
    <w:rsid w:val="00DF7C30"/>
  </w:style>
  <w:style w:type="paragraph" w:styleId="TableofFigures">
    <w:name w:val="table of figures"/>
    <w:basedOn w:val="Normal"/>
    <w:next w:val="Normal"/>
    <w:semiHidden/>
    <w:rsid w:val="00DF7C30"/>
    <w:pPr>
      <w:tabs>
        <w:tab w:val="right" w:leader="dot" w:pos="9072"/>
      </w:tabs>
      <w:ind w:left="970" w:hanging="403"/>
    </w:pPr>
    <w:rPr>
      <w:rFonts w:ascii="Times New Roman" w:hAnsi="Times New Roman"/>
      <w:b/>
    </w:rPr>
  </w:style>
  <w:style w:type="paragraph" w:styleId="ListNumber">
    <w:name w:val="List Number"/>
    <w:basedOn w:val="List"/>
    <w:rsid w:val="00DF7C30"/>
    <w:pPr>
      <w:numPr>
        <w:numId w:val="15"/>
      </w:numPr>
      <w:tabs>
        <w:tab w:val="clear" w:pos="340"/>
      </w:tabs>
    </w:pPr>
  </w:style>
  <w:style w:type="character" w:customStyle="1" w:styleId="WingdingSymbols">
    <w:name w:val="Wingding Symbols"/>
    <w:rsid w:val="00DF7C30"/>
    <w:rPr>
      <w:rFonts w:ascii="Wingdings" w:hAnsi="Wingdings"/>
    </w:rPr>
  </w:style>
  <w:style w:type="paragraph" w:customStyle="1" w:styleId="TableHeading">
    <w:name w:val="Table Heading"/>
    <w:basedOn w:val="HeadingBase"/>
    <w:rsid w:val="00DF7C30"/>
    <w:pPr>
      <w:keepLines/>
      <w:pBdr>
        <w:bottom w:val="single" w:sz="6" w:space="1" w:color="918585"/>
      </w:pBdr>
      <w:spacing w:before="240"/>
    </w:pPr>
  </w:style>
  <w:style w:type="character" w:customStyle="1" w:styleId="HotSpot">
    <w:name w:val="HotSpot"/>
    <w:rsid w:val="00DF7C30"/>
    <w:rPr>
      <w:color w:val="0033CC"/>
      <w:u w:val="none"/>
    </w:rPr>
  </w:style>
  <w:style w:type="paragraph" w:customStyle="1" w:styleId="BodyTextRight">
    <w:name w:val="Body Text Right"/>
    <w:basedOn w:val="BodyText"/>
    <w:rsid w:val="00DF7C30"/>
    <w:pPr>
      <w:spacing w:before="0" w:after="0"/>
      <w:jc w:val="right"/>
    </w:pPr>
  </w:style>
  <w:style w:type="paragraph" w:styleId="Index3">
    <w:name w:val="index 3"/>
    <w:basedOn w:val="ListNumber2"/>
    <w:next w:val="Normal"/>
    <w:semiHidden/>
    <w:rsid w:val="00DF7C30"/>
    <w:pPr>
      <w:numPr>
        <w:numId w:val="0"/>
      </w:numPr>
      <w:tabs>
        <w:tab w:val="right" w:leader="dot" w:pos="4176"/>
      </w:tabs>
    </w:pPr>
  </w:style>
  <w:style w:type="paragraph" w:styleId="ListNumber2">
    <w:name w:val="List Number 2"/>
    <w:basedOn w:val="List2"/>
    <w:rsid w:val="00DF7C30"/>
    <w:pPr>
      <w:numPr>
        <w:numId w:val="10"/>
      </w:numPr>
      <w:tabs>
        <w:tab w:val="clear" w:pos="1060"/>
      </w:tabs>
    </w:pPr>
  </w:style>
  <w:style w:type="paragraph" w:customStyle="1" w:styleId="MarginNote">
    <w:name w:val="Margin Note"/>
    <w:basedOn w:val="BodyText"/>
    <w:rsid w:val="00DF7C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7C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7C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7C30"/>
    <w:rPr>
      <w:sz w:val="32"/>
    </w:rPr>
  </w:style>
  <w:style w:type="paragraph" w:customStyle="1" w:styleId="HeadingProcedure">
    <w:name w:val="Heading Procedure"/>
    <w:basedOn w:val="HeadingBase"/>
    <w:next w:val="Normal"/>
    <w:rsid w:val="00DF7C30"/>
    <w:pPr>
      <w:tabs>
        <w:tab w:val="left" w:pos="0"/>
      </w:tabs>
      <w:spacing w:before="120" w:after="60"/>
    </w:pPr>
    <w:rPr>
      <w:i/>
      <w:color w:val="918585"/>
      <w:sz w:val="22"/>
    </w:rPr>
  </w:style>
  <w:style w:type="paragraph" w:customStyle="1" w:styleId="TableBodyText">
    <w:name w:val="Table Body Text"/>
    <w:basedOn w:val="BodyText"/>
    <w:rsid w:val="00DF7C30"/>
    <w:pPr>
      <w:spacing w:before="60" w:after="60"/>
    </w:pPr>
  </w:style>
  <w:style w:type="paragraph" w:styleId="ListContinue">
    <w:name w:val="List Continue"/>
    <w:basedOn w:val="List"/>
    <w:rsid w:val="00DF7C30"/>
    <w:pPr>
      <w:ind w:firstLine="0"/>
    </w:pPr>
  </w:style>
  <w:style w:type="paragraph" w:customStyle="1" w:styleId="ListNote">
    <w:name w:val="List Note"/>
    <w:basedOn w:val="List"/>
    <w:rsid w:val="00DF7C30"/>
    <w:pPr>
      <w:pBdr>
        <w:top w:val="single" w:sz="6" w:space="2" w:color="918585"/>
        <w:bottom w:val="single" w:sz="6" w:space="2" w:color="918585"/>
      </w:pBdr>
      <w:tabs>
        <w:tab w:val="left" w:pos="1021"/>
      </w:tabs>
      <w:ind w:firstLine="0"/>
    </w:pPr>
  </w:style>
  <w:style w:type="paragraph" w:customStyle="1" w:styleId="Warning">
    <w:name w:val="Warning"/>
    <w:basedOn w:val="BodyText"/>
    <w:rsid w:val="00DF7C30"/>
    <w:pPr>
      <w:shd w:val="clear" w:color="auto" w:fill="D9D9D9"/>
      <w:tabs>
        <w:tab w:val="left" w:pos="992"/>
      </w:tabs>
      <w:ind w:left="119" w:right="119"/>
    </w:pPr>
    <w:rPr>
      <w:sz w:val="20"/>
    </w:rPr>
  </w:style>
  <w:style w:type="paragraph" w:customStyle="1" w:styleId="MarginIcons">
    <w:name w:val="Margin Icons"/>
    <w:basedOn w:val="BodyText"/>
    <w:rsid w:val="00DF7C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7C30"/>
    <w:rPr>
      <w:rFonts w:ascii="Courier New" w:hAnsi="Courier New"/>
    </w:rPr>
  </w:style>
  <w:style w:type="paragraph" w:customStyle="1" w:styleId="NoteBullet">
    <w:name w:val="Note Bullet"/>
    <w:basedOn w:val="Note"/>
    <w:rsid w:val="00DF7C30"/>
    <w:pPr>
      <w:tabs>
        <w:tab w:val="clear" w:pos="680"/>
      </w:tabs>
      <w:spacing w:before="60" w:after="60"/>
    </w:pPr>
  </w:style>
  <w:style w:type="paragraph" w:customStyle="1" w:styleId="SubHeading2">
    <w:name w:val="SubHeading2"/>
    <w:basedOn w:val="HeadingBase"/>
    <w:rsid w:val="00DF7C30"/>
    <w:pPr>
      <w:spacing w:before="240" w:after="60"/>
    </w:pPr>
    <w:rPr>
      <w:sz w:val="20"/>
    </w:rPr>
  </w:style>
  <w:style w:type="paragraph" w:customStyle="1" w:styleId="SubHeading1">
    <w:name w:val="SubHeading1"/>
    <w:basedOn w:val="HeadingBase"/>
    <w:rsid w:val="00DF7C30"/>
    <w:pPr>
      <w:spacing w:before="240" w:after="60"/>
    </w:pPr>
    <w:rPr>
      <w:color w:val="918585"/>
      <w:sz w:val="22"/>
    </w:rPr>
  </w:style>
  <w:style w:type="paragraph" w:customStyle="1" w:styleId="SideHeading">
    <w:name w:val="Side Heading"/>
    <w:basedOn w:val="HeadingBase"/>
    <w:rsid w:val="00DF7C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7C30"/>
    <w:pPr>
      <w:tabs>
        <w:tab w:val="num" w:pos="360"/>
      </w:tabs>
    </w:pPr>
  </w:style>
  <w:style w:type="paragraph" w:styleId="PlainText">
    <w:name w:val="Plain Text"/>
    <w:basedOn w:val="Normal"/>
    <w:link w:val="PlainTextChar"/>
    <w:rsid w:val="00DF7C30"/>
    <w:rPr>
      <w:sz w:val="20"/>
    </w:rPr>
  </w:style>
  <w:style w:type="character" w:customStyle="1" w:styleId="PlainTextChar">
    <w:name w:val="Plain Text Char"/>
    <w:basedOn w:val="DefaultParagraphFont"/>
    <w:link w:val="PlainText"/>
    <w:rsid w:val="00DF7C30"/>
    <w:rPr>
      <w:rFonts w:ascii="Courier New" w:eastAsia="Times New Roman" w:hAnsi="Courier New" w:cs="Times New Roman"/>
      <w:sz w:val="20"/>
      <w:szCs w:val="20"/>
      <w:lang w:eastAsia="en-US"/>
    </w:rPr>
  </w:style>
  <w:style w:type="character" w:customStyle="1" w:styleId="MenuOption">
    <w:name w:val="Menu Option"/>
    <w:basedOn w:val="DefaultParagraphFont"/>
    <w:rsid w:val="00DF7C30"/>
    <w:rPr>
      <w:b/>
      <w:smallCaps/>
    </w:rPr>
  </w:style>
  <w:style w:type="paragraph" w:customStyle="1" w:styleId="TableListNumber">
    <w:name w:val="Table List Number"/>
    <w:basedOn w:val="ListNumber"/>
    <w:rsid w:val="00DF7C30"/>
    <w:pPr>
      <w:numPr>
        <w:numId w:val="0"/>
      </w:numPr>
    </w:pPr>
  </w:style>
  <w:style w:type="paragraph" w:styleId="TOC4">
    <w:name w:val="toc 4"/>
    <w:basedOn w:val="TOCBase"/>
    <w:next w:val="Normal"/>
    <w:semiHidden/>
    <w:rsid w:val="00DF7C30"/>
    <w:pPr>
      <w:tabs>
        <w:tab w:val="right" w:leader="dot" w:pos="9071"/>
      </w:tabs>
      <w:ind w:left="1701"/>
    </w:pPr>
  </w:style>
  <w:style w:type="paragraph" w:customStyle="1" w:styleId="ListAlpha">
    <w:name w:val="List Alpha"/>
    <w:basedOn w:val="List"/>
    <w:rsid w:val="00DF7C30"/>
    <w:pPr>
      <w:numPr>
        <w:numId w:val="9"/>
      </w:numPr>
    </w:pPr>
  </w:style>
  <w:style w:type="paragraph" w:customStyle="1" w:styleId="ListAlpha2">
    <w:name w:val="List Alpha 2"/>
    <w:basedOn w:val="List2"/>
    <w:rsid w:val="00DF7C30"/>
    <w:pPr>
      <w:numPr>
        <w:numId w:val="8"/>
      </w:numPr>
    </w:pPr>
  </w:style>
  <w:style w:type="paragraph" w:styleId="List2">
    <w:name w:val="List 2"/>
    <w:basedOn w:val="BodyText"/>
    <w:rsid w:val="00DF7C30"/>
    <w:pPr>
      <w:tabs>
        <w:tab w:val="left" w:pos="680"/>
      </w:tabs>
      <w:spacing w:before="60" w:after="60"/>
      <w:ind w:left="680" w:hanging="340"/>
    </w:pPr>
  </w:style>
  <w:style w:type="paragraph" w:styleId="List3">
    <w:name w:val="List 3"/>
    <w:basedOn w:val="BodyText"/>
    <w:rsid w:val="00DF7C30"/>
    <w:pPr>
      <w:tabs>
        <w:tab w:val="left" w:pos="1021"/>
      </w:tabs>
      <w:spacing w:before="60" w:after="60"/>
      <w:ind w:left="1020" w:hanging="340"/>
    </w:pPr>
  </w:style>
  <w:style w:type="paragraph" w:styleId="List4">
    <w:name w:val="List 4"/>
    <w:basedOn w:val="BodyText"/>
    <w:rsid w:val="00DF7C30"/>
    <w:pPr>
      <w:tabs>
        <w:tab w:val="left" w:pos="1361"/>
      </w:tabs>
      <w:spacing w:before="60" w:after="60"/>
      <w:ind w:left="1361" w:hanging="340"/>
    </w:pPr>
  </w:style>
  <w:style w:type="paragraph" w:styleId="List5">
    <w:name w:val="List 5"/>
    <w:basedOn w:val="BodyText"/>
    <w:rsid w:val="00DF7C30"/>
    <w:pPr>
      <w:tabs>
        <w:tab w:val="left" w:pos="1701"/>
      </w:tabs>
      <w:spacing w:before="60" w:after="60"/>
      <w:ind w:left="1701" w:hanging="340"/>
    </w:pPr>
  </w:style>
  <w:style w:type="paragraph" w:styleId="ListBullet3">
    <w:name w:val="List Bullet 3"/>
    <w:basedOn w:val="List3"/>
    <w:rsid w:val="00DF7C30"/>
    <w:pPr>
      <w:numPr>
        <w:numId w:val="14"/>
      </w:numPr>
      <w:tabs>
        <w:tab w:val="clear" w:pos="1021"/>
      </w:tabs>
      <w:ind w:left="1037" w:hanging="357"/>
    </w:pPr>
  </w:style>
  <w:style w:type="paragraph" w:styleId="ListBullet4">
    <w:name w:val="List Bullet 4"/>
    <w:basedOn w:val="List4"/>
    <w:rsid w:val="00DF7C30"/>
    <w:pPr>
      <w:numPr>
        <w:numId w:val="3"/>
      </w:numPr>
      <w:tabs>
        <w:tab w:val="clear" w:pos="1361"/>
      </w:tabs>
    </w:pPr>
  </w:style>
  <w:style w:type="paragraph" w:styleId="ListBullet5">
    <w:name w:val="List Bullet 5"/>
    <w:basedOn w:val="List5"/>
    <w:rsid w:val="00DF7C30"/>
    <w:pPr>
      <w:numPr>
        <w:numId w:val="4"/>
      </w:numPr>
    </w:pPr>
  </w:style>
  <w:style w:type="paragraph" w:styleId="ListContinue2">
    <w:name w:val="List Continue 2"/>
    <w:basedOn w:val="List2"/>
    <w:rsid w:val="00DF7C30"/>
    <w:pPr>
      <w:ind w:firstLine="0"/>
    </w:pPr>
  </w:style>
  <w:style w:type="paragraph" w:styleId="ListContinue3">
    <w:name w:val="List Continue 3"/>
    <w:basedOn w:val="List3"/>
    <w:rsid w:val="00DF7C30"/>
    <w:pPr>
      <w:ind w:left="1021" w:firstLine="0"/>
    </w:pPr>
  </w:style>
  <w:style w:type="paragraph" w:styleId="ListContinue4">
    <w:name w:val="List Continue 4"/>
    <w:basedOn w:val="List4"/>
    <w:rsid w:val="00DF7C30"/>
    <w:pPr>
      <w:ind w:firstLine="0"/>
    </w:pPr>
  </w:style>
  <w:style w:type="paragraph" w:styleId="ListContinue5">
    <w:name w:val="List Continue 5"/>
    <w:basedOn w:val="List5"/>
    <w:rsid w:val="00DF7C30"/>
    <w:pPr>
      <w:ind w:firstLine="0"/>
    </w:pPr>
  </w:style>
  <w:style w:type="paragraph" w:styleId="ListNumber3">
    <w:name w:val="List Number 3"/>
    <w:basedOn w:val="List3"/>
    <w:rsid w:val="00DF7C30"/>
    <w:pPr>
      <w:numPr>
        <w:numId w:val="5"/>
      </w:numPr>
    </w:pPr>
  </w:style>
  <w:style w:type="paragraph" w:styleId="ListNumber4">
    <w:name w:val="List Number 4"/>
    <w:basedOn w:val="List4"/>
    <w:rsid w:val="00DF7C30"/>
    <w:pPr>
      <w:numPr>
        <w:numId w:val="6"/>
      </w:numPr>
    </w:pPr>
  </w:style>
  <w:style w:type="paragraph" w:styleId="ListNumber5">
    <w:name w:val="List Number 5"/>
    <w:basedOn w:val="List5"/>
    <w:rsid w:val="00DF7C30"/>
    <w:pPr>
      <w:numPr>
        <w:numId w:val="7"/>
      </w:numPr>
    </w:pPr>
  </w:style>
  <w:style w:type="paragraph" w:styleId="BlockText">
    <w:name w:val="Block Text"/>
    <w:basedOn w:val="Normal"/>
    <w:rsid w:val="00DF7C30"/>
    <w:pPr>
      <w:spacing w:after="120"/>
      <w:ind w:left="1440" w:right="1440"/>
    </w:pPr>
  </w:style>
  <w:style w:type="character" w:customStyle="1" w:styleId="Subscript">
    <w:name w:val="Subscript"/>
    <w:basedOn w:val="DefaultParagraphFont"/>
    <w:rsid w:val="00DF7C30"/>
    <w:rPr>
      <w:sz w:val="16"/>
      <w:vertAlign w:val="subscript"/>
    </w:rPr>
  </w:style>
  <w:style w:type="character" w:customStyle="1" w:styleId="Superscript">
    <w:name w:val="Superscript"/>
    <w:basedOn w:val="DefaultParagraphFont"/>
    <w:rsid w:val="00DF7C30"/>
    <w:rPr>
      <w:sz w:val="16"/>
      <w:vertAlign w:val="superscript"/>
    </w:rPr>
  </w:style>
  <w:style w:type="character" w:customStyle="1" w:styleId="Symbols">
    <w:name w:val="Symbols"/>
    <w:basedOn w:val="DefaultParagraphFont"/>
    <w:rsid w:val="00DF7C30"/>
    <w:rPr>
      <w:rFonts w:ascii="Symbol" w:hAnsi="Symbol"/>
    </w:rPr>
  </w:style>
  <w:style w:type="character" w:customStyle="1" w:styleId="MenuOptions">
    <w:name w:val="Menu Options"/>
    <w:basedOn w:val="DefaultParagraphFont"/>
    <w:rsid w:val="00DF7C30"/>
    <w:rPr>
      <w:rFonts w:ascii="Arial Narrow" w:hAnsi="Arial Narrow"/>
      <w:smallCaps/>
    </w:rPr>
  </w:style>
  <w:style w:type="character" w:customStyle="1" w:styleId="Buttons">
    <w:name w:val="Buttons"/>
    <w:basedOn w:val="DefaultParagraphFont"/>
    <w:rsid w:val="00DF7C30"/>
    <w:rPr>
      <w:b/>
    </w:rPr>
  </w:style>
  <w:style w:type="character" w:customStyle="1" w:styleId="Underlined">
    <w:name w:val="Underlined"/>
    <w:basedOn w:val="DefaultParagraphFont"/>
    <w:rsid w:val="00DF7C30"/>
    <w:rPr>
      <w:u w:val="single"/>
    </w:rPr>
  </w:style>
  <w:style w:type="paragraph" w:customStyle="1" w:styleId="TableBodyTextRight">
    <w:name w:val="Table Body Text Right"/>
    <w:basedOn w:val="TableBodyText"/>
    <w:rsid w:val="00DF7C30"/>
    <w:pPr>
      <w:widowControl w:val="0"/>
      <w:autoSpaceDE w:val="0"/>
      <w:autoSpaceDN w:val="0"/>
      <w:adjustRightInd w:val="0"/>
      <w:jc w:val="right"/>
    </w:pPr>
    <w:rPr>
      <w:rFonts w:cs="Arial"/>
      <w:szCs w:val="18"/>
    </w:rPr>
  </w:style>
  <w:style w:type="paragraph" w:customStyle="1" w:styleId="CopyrightText">
    <w:name w:val="Copyright Text"/>
    <w:basedOn w:val="BodyText"/>
    <w:rsid w:val="00DF7C30"/>
    <w:rPr>
      <w:sz w:val="18"/>
    </w:rPr>
  </w:style>
  <w:style w:type="paragraph" w:customStyle="1" w:styleId="BodySmallRight">
    <w:name w:val="Body Small Right"/>
    <w:basedOn w:val="BodyTextRight"/>
    <w:rsid w:val="00DF7C30"/>
    <w:rPr>
      <w:sz w:val="18"/>
      <w:szCs w:val="18"/>
    </w:rPr>
  </w:style>
  <w:style w:type="paragraph" w:customStyle="1" w:styleId="MarginEdition">
    <w:name w:val="Margin Edition"/>
    <w:basedOn w:val="MarginNote"/>
    <w:rsid w:val="00DF7C30"/>
    <w:pPr>
      <w:spacing w:before="0" w:after="0"/>
    </w:pPr>
    <w:rPr>
      <w:rFonts w:ascii="Times New Roman" w:hAnsi="Times New Roman"/>
      <w:color w:val="999999"/>
    </w:rPr>
  </w:style>
  <w:style w:type="paragraph" w:customStyle="1" w:styleId="Spacer">
    <w:name w:val="Spacer"/>
    <w:basedOn w:val="Normal"/>
    <w:rsid w:val="00DF7C30"/>
    <w:rPr>
      <w:sz w:val="2"/>
      <w:szCs w:val="2"/>
    </w:rPr>
  </w:style>
  <w:style w:type="character" w:customStyle="1" w:styleId="Small">
    <w:name w:val="Small"/>
    <w:basedOn w:val="DefaultParagraphFont"/>
    <w:rsid w:val="00DF7C30"/>
    <w:rPr>
      <w:sz w:val="16"/>
    </w:rPr>
  </w:style>
  <w:style w:type="paragraph" w:customStyle="1" w:styleId="WideTable">
    <w:name w:val="Wide Table"/>
    <w:basedOn w:val="Normal"/>
    <w:rsid w:val="00DF7C30"/>
    <w:pPr>
      <w:ind w:left="-1418"/>
    </w:pPr>
    <w:rPr>
      <w:sz w:val="2"/>
      <w:szCs w:val="2"/>
    </w:rPr>
  </w:style>
  <w:style w:type="character" w:styleId="PageNumber">
    <w:name w:val="page number"/>
    <w:basedOn w:val="DefaultParagraphFont"/>
    <w:rsid w:val="00DF7C30"/>
  </w:style>
  <w:style w:type="paragraph" w:styleId="Quote">
    <w:name w:val="Quote"/>
    <w:basedOn w:val="Heading1"/>
    <w:link w:val="QuoteChar"/>
    <w:qFormat/>
    <w:rsid w:val="00DF7C30"/>
    <w:rPr>
      <w:b w:val="0"/>
      <w:sz w:val="72"/>
      <w:szCs w:val="72"/>
      <w:lang w:val="en-NZ"/>
    </w:rPr>
  </w:style>
  <w:style w:type="character" w:customStyle="1" w:styleId="QuoteChar">
    <w:name w:val="Quote Char"/>
    <w:basedOn w:val="DefaultParagraphFont"/>
    <w:link w:val="Quote"/>
    <w:rsid w:val="00DF7C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7C30"/>
    <w:pPr>
      <w:pageBreakBefore/>
    </w:pPr>
  </w:style>
  <w:style w:type="paragraph" w:customStyle="1" w:styleId="Border">
    <w:name w:val="Border"/>
    <w:basedOn w:val="Normal"/>
    <w:qFormat/>
    <w:rsid w:val="00DF7C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7C30"/>
    <w:rPr>
      <w:b/>
      <w:bCs/>
      <w:i/>
      <w:iCs/>
      <w:color w:val="auto"/>
    </w:rPr>
  </w:style>
  <w:style w:type="paragraph" w:styleId="IntenseQuote">
    <w:name w:val="Intense Quote"/>
    <w:basedOn w:val="Normal"/>
    <w:next w:val="Normal"/>
    <w:link w:val="IntenseQuoteChar"/>
    <w:uiPriority w:val="30"/>
    <w:qFormat/>
    <w:rsid w:val="00DF7C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7C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7C30"/>
    <w:rPr>
      <w:smallCaps/>
      <w:color w:val="auto"/>
      <w:u w:val="single"/>
    </w:rPr>
  </w:style>
  <w:style w:type="character" w:styleId="IntenseReference">
    <w:name w:val="Intense Reference"/>
    <w:basedOn w:val="DefaultParagraphFont"/>
    <w:uiPriority w:val="32"/>
    <w:qFormat/>
    <w:rsid w:val="00DF7C30"/>
    <w:rPr>
      <w:b/>
      <w:bCs/>
      <w:smallCaps/>
      <w:color w:val="auto"/>
      <w:spacing w:val="5"/>
      <w:u w:val="single"/>
    </w:rPr>
  </w:style>
  <w:style w:type="paragraph" w:customStyle="1" w:styleId="2ColumnHeading">
    <w:name w:val="2Column Heading"/>
    <w:basedOn w:val="BodyText"/>
    <w:qFormat/>
    <w:rsid w:val="00DF7C30"/>
    <w:pPr>
      <w:spacing w:after="60"/>
      <w:ind w:left="-2268"/>
    </w:pPr>
    <w:rPr>
      <w:b/>
    </w:rPr>
  </w:style>
  <w:style w:type="paragraph" w:customStyle="1" w:styleId="Heading1TOC">
    <w:name w:val="Heading1 TOC"/>
    <w:basedOn w:val="Normal"/>
    <w:qFormat/>
    <w:rsid w:val="00DF7C30"/>
    <w:pPr>
      <w:spacing w:before="240" w:after="120"/>
    </w:pPr>
    <w:rPr>
      <w:rFonts w:ascii="Times New Roman" w:hAnsi="Times New Roman"/>
      <w:b/>
      <w:sz w:val="32"/>
    </w:rPr>
  </w:style>
  <w:style w:type="paragraph" w:customStyle="1" w:styleId="Heading2TOC">
    <w:name w:val="Heading2 TOC"/>
    <w:basedOn w:val="Normal"/>
    <w:qFormat/>
    <w:rsid w:val="00DF7C30"/>
    <w:pPr>
      <w:spacing w:before="240" w:after="60"/>
    </w:pPr>
    <w:rPr>
      <w:rFonts w:ascii="Times New Roman" w:hAnsi="Times New Roman"/>
      <w:b/>
      <w:sz w:val="28"/>
    </w:rPr>
  </w:style>
  <w:style w:type="character" w:customStyle="1" w:styleId="Underline">
    <w:name w:val="Underline"/>
    <w:basedOn w:val="DefaultParagraphFont"/>
    <w:qFormat/>
    <w:rsid w:val="00DF7C30"/>
    <w:rPr>
      <w:u w:val="single"/>
    </w:rPr>
  </w:style>
  <w:style w:type="character" w:customStyle="1" w:styleId="BoldandItalics">
    <w:name w:val="Bold and Italics"/>
    <w:qFormat/>
    <w:rsid w:val="00DF7C30"/>
    <w:rPr>
      <w:b/>
      <w:i/>
      <w:u w:val="none"/>
    </w:rPr>
  </w:style>
  <w:style w:type="paragraph" w:styleId="BalloonText">
    <w:name w:val="Balloon Text"/>
    <w:basedOn w:val="Normal"/>
    <w:link w:val="BalloonTextChar"/>
    <w:rsid w:val="00DF7C30"/>
    <w:rPr>
      <w:rFonts w:ascii="Tahoma" w:hAnsi="Tahoma" w:cs="Tahoma"/>
      <w:sz w:val="16"/>
      <w:szCs w:val="16"/>
    </w:rPr>
  </w:style>
  <w:style w:type="character" w:customStyle="1" w:styleId="BalloonTextChar">
    <w:name w:val="Balloon Text Char"/>
    <w:basedOn w:val="DefaultParagraphFont"/>
    <w:link w:val="BalloonText"/>
    <w:rsid w:val="00DF7C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7C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7C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7C30"/>
    <w:rPr>
      <w:b/>
      <w:color w:val="660033"/>
      <w:spacing w:val="0"/>
    </w:rPr>
  </w:style>
  <w:style w:type="paragraph" w:customStyle="1" w:styleId="Nameditemlist">
    <w:name w:val="Named item list"/>
    <w:basedOn w:val="BodyText"/>
    <w:qFormat/>
    <w:rsid w:val="00DF7C30"/>
    <w:pPr>
      <w:tabs>
        <w:tab w:val="left" w:pos="2835"/>
      </w:tabs>
      <w:ind w:left="2835" w:hanging="2835"/>
    </w:pPr>
  </w:style>
  <w:style w:type="paragraph" w:customStyle="1" w:styleId="BodyTextnopadding">
    <w:name w:val="Body Text no padding"/>
    <w:basedOn w:val="BodyText"/>
    <w:qFormat/>
    <w:rsid w:val="00DF7C30"/>
    <w:pPr>
      <w:spacing w:before="0" w:after="0"/>
    </w:pPr>
  </w:style>
  <w:style w:type="paragraph" w:customStyle="1" w:styleId="BodyTextBold">
    <w:name w:val="Body Text Bold"/>
    <w:basedOn w:val="BodyText"/>
    <w:qFormat/>
    <w:rsid w:val="00DF7C30"/>
    <w:rPr>
      <w:b/>
    </w:rPr>
  </w:style>
  <w:style w:type="character" w:styleId="Hyperlink">
    <w:name w:val="Hyperlink"/>
    <w:basedOn w:val="DefaultParagraphFont"/>
    <w:uiPriority w:val="99"/>
    <w:unhideWhenUsed/>
    <w:rsid w:val="00D728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988</Words>
  <Characters>6265</Characters>
  <Application>Microsoft Office Word</Application>
  <DocSecurity>0</DocSecurity>
  <Lines>284</Lines>
  <Paragraphs>190</Paragraphs>
  <ScaleCrop>false</ScaleCrop>
  <Company>Author-it Software Corporation Ltd.</Company>
  <LinksUpToDate>false</LinksUpToDate>
  <CharactersWithSpaces>7063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MSMSUP204 Pack products or materials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2023-02-03T05:40:00Z</dcterms:created>
  <dcterms:modified xsi:type="dcterms:W3CDTF">2023-02-03T05:40:00Z</dcterms:modified>
</cp:coreProperties>
</file>