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337" w:rsidP="007A0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MSMSUP101 Clean workplace or equipment</w:t>
      </w:r>
      <w:r>
        <w:fldChar w:fldCharType="end"/>
      </w:r>
    </w:p>
    <w:p w:rsidR="007A0337" w:rsidP="007A0337">
      <w:pPr>
        <w:pStyle w:val="Version"/>
        <w:sectPr w:rsidSect="00041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16F1" w:rsidP="000416F1">
      <w:pPr>
        <w:pStyle w:val="SuperHeading"/>
      </w:pPr>
      <w:r w:rsidRPr="000416F1">
        <w:t>MSMSUP101 Clean workplace or equipment</w:t>
      </w:r>
    </w:p>
    <w:p w:rsidR="00000000" w:rsidRPr="000416F1" w:rsidP="000416F1">
      <w:pPr>
        <w:pStyle w:val="Heading1"/>
      </w:pPr>
      <w:bookmarkStart w:id="1" w:name="O_1017432"/>
      <w:bookmarkEnd w:id="1"/>
      <w:r w:rsidRPr="000416F1">
        <w:t>Modification History</w:t>
      </w:r>
    </w:p>
    <w:p w:rsidR="00000000" w:rsidRPr="000416F1" w:rsidP="007A0337">
      <w:pPr>
        <w:pStyle w:val="BodyText"/>
      </w:pPr>
      <w:r w:rsidRPr="000416F1">
        <w:t xml:space="preserve">Release 2. Equivalent. Minor edits for improved clarity. Range of conditions removed.  Duplication between Performance Evidence and Performance Criteria removed. Assessment conditions updated.  </w:t>
      </w:r>
    </w:p>
    <w:p w:rsidR="007A0337" w:rsidP="007A0337">
      <w:pPr>
        <w:pStyle w:val="BodyText"/>
      </w:pPr>
      <w:r w:rsidRPr="000416F1">
        <w:t xml:space="preserve">Release 1. Supersedes and is equivalent </w:t>
      </w:r>
      <w:r w:rsidRPr="000416F1">
        <w:t>to MSAPMSUP101A Clean workplace or equipment.</w:t>
      </w:r>
    </w:p>
    <w:p w:rsidR="00000000" w:rsidRPr="000416F1" w:rsidP="000416F1">
      <w:pPr>
        <w:pStyle w:val="Heading1"/>
      </w:pPr>
      <w:bookmarkStart w:id="2" w:name="O_1017431"/>
      <w:bookmarkEnd w:id="2"/>
      <w:r w:rsidRPr="000416F1">
        <w:t>Application</w:t>
      </w:r>
    </w:p>
    <w:p w:rsidR="00000000" w:rsidRPr="000416F1" w:rsidP="007A0337">
      <w:pPr>
        <w:pStyle w:val="BodyText"/>
      </w:pPr>
      <w:r w:rsidRPr="000416F1">
        <w:t>This unit describes the skills and knowledge required for general housekeeping duties as well as the cleaning of plant and equipment. It covers identifying and maintaining housek</w:t>
      </w:r>
      <w:r w:rsidRPr="000416F1">
        <w:t xml:space="preserve">eeping requirements and standards.  </w:t>
      </w:r>
    </w:p>
    <w:p w:rsidR="00000000" w:rsidRPr="000416F1" w:rsidP="007A0337">
      <w:pPr>
        <w:pStyle w:val="BodyText"/>
      </w:pPr>
      <w:r w:rsidRPr="000416F1">
        <w:t>This unit applies to personnel who are required to keep the work area, plant and equipment clean and tidy whether as a small or significant part of their role.</w:t>
      </w:r>
    </w:p>
    <w:p w:rsidR="00000000" w:rsidRPr="000416F1" w:rsidP="007A0337">
      <w:pPr>
        <w:pStyle w:val="BodyText"/>
      </w:pPr>
      <w:r w:rsidRPr="000416F1">
        <w:t>This unit applies to an individual working alone or as part</w:t>
      </w:r>
      <w:r w:rsidRPr="000416F1">
        <w:t xml:space="preserve"> of a team or work group and working in liaison with other team members and supervisors.</w:t>
      </w:r>
    </w:p>
    <w:p w:rsidR="00000000" w:rsidRPr="000416F1" w:rsidP="007A0337">
      <w:pPr>
        <w:pStyle w:val="BodyText"/>
      </w:pPr>
      <w:r w:rsidRPr="000416F1">
        <w:t xml:space="preserve">This unit applies to all work environments. </w:t>
      </w:r>
    </w:p>
    <w:p w:rsidR="00000000" w:rsidRPr="000416F1" w:rsidP="007A0337">
      <w:pPr>
        <w:pStyle w:val="BodyText"/>
      </w:pPr>
      <w:r w:rsidRPr="000416F1">
        <w:t>This unit focuses on working safely to meet requirements. It does not cover the operation of specific equipment or cleanin</w:t>
      </w:r>
      <w:r w:rsidRPr="000416F1">
        <w:t>g procedures. Specific housekeeping and cleaning activities and equipment to be used will vary between organisations in response to differences in plant configuration, process, practices and procedures.</w:t>
      </w:r>
    </w:p>
    <w:p w:rsidR="007A0337" w:rsidP="007A0337">
      <w:pPr>
        <w:pStyle w:val="BodyText"/>
      </w:pPr>
      <w:r w:rsidRPr="000416F1">
        <w:t>No licensing or certification requirements exist at t</w:t>
      </w:r>
      <w:r w:rsidRPr="000416F1">
        <w:t>he time of publication. Relevant legislation, industry standards and codes of practice within Australia must also be applied.</w:t>
      </w:r>
    </w:p>
    <w:p w:rsidR="00000000" w:rsidRPr="000416F1" w:rsidP="000416F1">
      <w:pPr>
        <w:pStyle w:val="Heading1"/>
      </w:pPr>
      <w:bookmarkStart w:id="3" w:name="O_1017430"/>
      <w:bookmarkEnd w:id="3"/>
      <w:r w:rsidRPr="000416F1">
        <w:t>Pre-requisite Unit</w:t>
      </w:r>
    </w:p>
    <w:p w:rsidR="00000000" w:rsidRPr="000416F1" w:rsidP="007A0337">
      <w:pPr>
        <w:pStyle w:val="BodyText"/>
      </w:pPr>
      <w:r w:rsidRPr="000416F1">
        <w:t>Nil</w:t>
      </w:r>
    </w:p>
    <w:p w:rsidR="00000000" w:rsidRPr="000416F1" w:rsidP="000416F1">
      <w:pPr>
        <w:pStyle w:val="Heading1"/>
      </w:pPr>
      <w:bookmarkStart w:id="4" w:name="O_1017428"/>
      <w:bookmarkEnd w:id="4"/>
      <w:r w:rsidRPr="000416F1">
        <w:t>Unit Sector</w:t>
      </w:r>
    </w:p>
    <w:p w:rsidR="00000000" w:rsidRPr="000416F1" w:rsidP="007A0337">
      <w:pPr>
        <w:pStyle w:val="BodyText"/>
      </w:pPr>
      <w:r w:rsidRPr="000416F1">
        <w:t>Support</w:t>
      </w:r>
    </w:p>
    <w:p w:rsidR="00000000" w:rsidRPr="000416F1" w:rsidP="000416F1">
      <w:pPr>
        <w:pStyle w:val="Heading1"/>
      </w:pPr>
      <w:bookmarkStart w:id="5" w:name="O_1017427"/>
      <w:bookmarkEnd w:id="5"/>
      <w:r w:rsidRPr="000416F1">
        <w:t>Elements and Performance Crit</w:t>
      </w:r>
      <w:r w:rsidRPr="000416F1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rPr>
                <w:rStyle w:val="SpecialBold"/>
              </w:rPr>
              <w:t>Performance Criteria</w:t>
            </w:r>
          </w:p>
        </w:tc>
      </w:tr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rPr>
                <w:rStyle w:val="Emphasis"/>
              </w:rPr>
              <w:t xml:space="preserve">Elements describe the </w:t>
            </w:r>
            <w:r w:rsidRPr="000416F1">
              <w:t xml:space="preserve">essential </w:t>
            </w:r>
            <w:r w:rsidRPr="000416F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1. Identify housekeeping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t>1.1 Identify site safety and housekeeping standards for the role and work environment</w:t>
            </w:r>
          </w:p>
          <w:p w:rsidR="00000000" w:rsidRPr="000416F1" w:rsidP="000416F1">
            <w:pPr>
              <w:pStyle w:val="BodyText"/>
            </w:pPr>
            <w:r w:rsidRPr="000416F1">
              <w:t>1.2 Identify hazards and follow specified hazard controls</w:t>
            </w:r>
          </w:p>
          <w:p w:rsidR="00000000" w:rsidRPr="000416F1" w:rsidP="000416F1">
            <w:pPr>
              <w:pStyle w:val="BodyText"/>
            </w:pPr>
            <w:r w:rsidRPr="000416F1">
              <w:t>1.3 Undertake housekeeping inspection in accordance with procedures</w:t>
            </w:r>
          </w:p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1.4 Identify and schedule housekeeping requi</w:t>
            </w:r>
            <w:r w:rsidRPr="000416F1">
              <w:t>rements</w:t>
            </w:r>
          </w:p>
        </w:tc>
      </w:tr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2. Perform general housekeeping duties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t>2.1 Keep designated work areas clean to organisation standards</w:t>
            </w:r>
          </w:p>
          <w:p w:rsidR="00000000" w:rsidRPr="000416F1" w:rsidP="000416F1">
            <w:pPr>
              <w:pStyle w:val="BodyText"/>
            </w:pPr>
            <w:r w:rsidRPr="000416F1">
              <w:t>2.2 Keep designated work areas clear of obstructions</w:t>
            </w:r>
          </w:p>
          <w:p w:rsidR="00000000" w:rsidRPr="000416F1" w:rsidP="000416F1">
            <w:pPr>
              <w:pStyle w:val="BodyText"/>
            </w:pPr>
            <w:r w:rsidRPr="000416F1">
              <w:t>2.3 Handle and use chemicals and solvents in accordance with procedures</w:t>
            </w:r>
          </w:p>
          <w:p w:rsidR="00000000" w:rsidRPr="000416F1" w:rsidP="000416F1">
            <w:pPr>
              <w:pStyle w:val="BodyText"/>
            </w:pPr>
            <w:r w:rsidRPr="000416F1">
              <w:t>2.4 Ensure work area is ready for next user</w:t>
            </w:r>
          </w:p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2.5 Remove work materials, tools and equipment to designated locations</w:t>
            </w:r>
            <w:r w:rsidRPr="000416F1">
              <w:tab/>
            </w:r>
          </w:p>
        </w:tc>
      </w:tr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3. Clean plant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t>3.1 Identify organisation procedures for routine and specialised cleaning for the role and work environment</w:t>
            </w:r>
          </w:p>
          <w:p w:rsidR="00000000" w:rsidRPr="000416F1" w:rsidP="000416F1">
            <w:pPr>
              <w:pStyle w:val="BodyText"/>
            </w:pPr>
            <w:r w:rsidRPr="000416F1">
              <w:t>3.</w:t>
            </w:r>
            <w:r w:rsidRPr="000416F1">
              <w:t xml:space="preserve">2 Use appropriate personal protective equipment (PPE) </w:t>
            </w:r>
          </w:p>
          <w:p w:rsidR="00000000" w:rsidRPr="000416F1" w:rsidP="000416F1">
            <w:pPr>
              <w:pStyle w:val="BodyText"/>
            </w:pPr>
            <w:r w:rsidRPr="000416F1">
              <w:t>3.3 Apply procedures to keep assigned plant and equipment clean</w:t>
            </w:r>
          </w:p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3.4 Perform specialised cleaning procedures as required</w:t>
            </w:r>
          </w:p>
        </w:tc>
      </w:tr>
      <w:tr w:rsidTr="007A03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6F1">
            <w:pPr>
              <w:pStyle w:val="BodyText"/>
              <w:rPr>
                <w:lang w:val="en-NZ"/>
              </w:rPr>
            </w:pPr>
            <w:r w:rsidRPr="000416F1">
              <w:t>4. Dispose of waste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6F1" w:rsidP="000416F1">
            <w:pPr>
              <w:pStyle w:val="BodyText"/>
            </w:pPr>
            <w:r w:rsidRPr="000416F1">
              <w:t>4.1 Correctly identify waste materials</w:t>
            </w:r>
          </w:p>
          <w:p w:rsidR="00000000" w:rsidRPr="000416F1" w:rsidP="000416F1">
            <w:pPr>
              <w:pStyle w:val="BodyText"/>
            </w:pPr>
            <w:r w:rsidRPr="000416F1">
              <w:t xml:space="preserve">4.2 Remove </w:t>
            </w:r>
            <w:r w:rsidRPr="000416F1">
              <w:t>waste materials to a designated location</w:t>
            </w:r>
          </w:p>
        </w:tc>
      </w:tr>
    </w:tbl>
    <w:p w:rsidR="007A0337" w:rsidP="000416F1">
      <w:pPr>
        <w:pStyle w:val="BodyText"/>
      </w:pPr>
    </w:p>
    <w:p w:rsidR="007A0337" w:rsidP="000416F1">
      <w:pPr>
        <w:pStyle w:val="BodyText"/>
      </w:pPr>
    </w:p>
    <w:p w:rsidR="00000000" w:rsidRPr="000416F1" w:rsidP="000416F1">
      <w:pPr>
        <w:pStyle w:val="Heading1"/>
      </w:pPr>
      <w:bookmarkStart w:id="6" w:name="O_1017426"/>
      <w:bookmarkEnd w:id="6"/>
      <w:r w:rsidRPr="000416F1">
        <w:t>Foundation Skills</w:t>
      </w:r>
    </w:p>
    <w:p w:rsidR="00000000" w:rsidRPr="000416F1" w:rsidP="007A0337">
      <w:pPr>
        <w:pStyle w:val="BodyText"/>
      </w:pPr>
      <w:r w:rsidRPr="000416F1">
        <w:t>This section describes those language, literacy, numeracy and employment skills that are essential to performance.</w:t>
      </w:r>
    </w:p>
    <w:p w:rsidR="007A0337" w:rsidP="007A0337">
      <w:pPr>
        <w:pStyle w:val="BodyText"/>
      </w:pPr>
      <w:r w:rsidRPr="000416F1">
        <w:t>Foundation skills essential to performance are explicit in the performance criteria of this unit of competency.</w:t>
      </w:r>
    </w:p>
    <w:p w:rsidR="00000000" w:rsidRPr="000416F1" w:rsidP="000416F1">
      <w:pPr>
        <w:pStyle w:val="Heading1"/>
      </w:pPr>
      <w:bookmarkStart w:id="7" w:name="O_1017424"/>
      <w:bookmarkEnd w:id="7"/>
      <w:r w:rsidRPr="000416F1">
        <w:t>Unit Mapping Information</w:t>
      </w:r>
    </w:p>
    <w:p w:rsidR="00000000" w:rsidRPr="000416F1" w:rsidP="007A0337">
      <w:pPr>
        <w:pStyle w:val="BodyText"/>
      </w:pPr>
      <w:r w:rsidRPr="000416F1">
        <w:t>Release 2. Supersedes and is equivalent to MSAPMSUP101A Clean workplace or equipment.</w:t>
      </w:r>
    </w:p>
    <w:p w:rsidR="00000000" w:rsidRPr="000416F1" w:rsidP="000416F1">
      <w:pPr>
        <w:pStyle w:val="Heading1"/>
      </w:pPr>
      <w:bookmarkStart w:id="8" w:name="O_1017433"/>
      <w:bookmarkEnd w:id="8"/>
      <w:r w:rsidRPr="000416F1">
        <w:t>Links</w:t>
      </w:r>
    </w:p>
    <w:p w:rsidR="00000000" w:rsidRPr="000416F1" w:rsidP="007A0337">
      <w:pPr>
        <w:pStyle w:val="BodyText"/>
      </w:pPr>
      <w:r w:rsidRPr="00041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440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416F1" w:rsidP="007A0337">
      <w:pPr>
        <w:pStyle w:val="BodyText"/>
        <w:sectPr w:rsidSect="000416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16F1" w:rsidP="000416F1">
      <w:pPr>
        <w:pStyle w:val="SuperHeading"/>
      </w:pPr>
      <w:r w:rsidRPr="000416F1">
        <w:t>Assessment Requirements for MSMSUP101 Clean workpla</w:t>
      </w:r>
      <w:r w:rsidRPr="000416F1">
        <w:t>ce or equipment</w:t>
      </w:r>
    </w:p>
    <w:p w:rsidR="00000000" w:rsidRPr="000416F1" w:rsidP="000416F1">
      <w:pPr>
        <w:pStyle w:val="Heading1"/>
      </w:pPr>
      <w:bookmarkStart w:id="9" w:name="O_1017422"/>
      <w:bookmarkEnd w:id="9"/>
      <w:r w:rsidRPr="000416F1">
        <w:t>Modification History</w:t>
      </w:r>
    </w:p>
    <w:p w:rsidR="00000000" w:rsidRPr="000416F1" w:rsidP="007A0337">
      <w:pPr>
        <w:pStyle w:val="BodyText"/>
      </w:pPr>
      <w:r w:rsidRPr="000416F1">
        <w:t xml:space="preserve">Release 2. Equivalent. Minor edits for improved clarity. Range of conditions removed.  Duplication between Performance Evidence and Performance Criteria removed. Assessment conditions updated.  </w:t>
      </w:r>
    </w:p>
    <w:p w:rsidR="007A0337" w:rsidP="007A0337">
      <w:pPr>
        <w:pStyle w:val="BodyText"/>
      </w:pPr>
      <w:r w:rsidRPr="000416F1">
        <w:t>Releas</w:t>
      </w:r>
      <w:r w:rsidRPr="000416F1">
        <w:t>e 1. Supersedes and is equivalent to MSAPMSUP101A Clean workplace or equipment.</w:t>
      </w:r>
    </w:p>
    <w:p w:rsidR="00000000" w:rsidRPr="000416F1" w:rsidP="000416F1">
      <w:pPr>
        <w:pStyle w:val="Heading1"/>
      </w:pPr>
      <w:bookmarkStart w:id="10" w:name="O_1017421"/>
      <w:bookmarkEnd w:id="10"/>
      <w:r w:rsidRPr="000416F1">
        <w:t>Performance Evidence</w:t>
      </w:r>
    </w:p>
    <w:p w:rsidR="00000000" w:rsidRPr="000416F1" w:rsidP="007A0337">
      <w:pPr>
        <w:pStyle w:val="BodyText"/>
      </w:pPr>
      <w:r w:rsidRPr="000416F1">
        <w:t>There must be evidence the candidate has completed the tasks outlined in the elements and performance criteria of this unit, and:</w:t>
      </w:r>
    </w:p>
    <w:p w:rsidR="007A0337" w:rsidP="000416F1">
      <w:pPr>
        <w:pStyle w:val="ListBullet"/>
      </w:pPr>
      <w:r w:rsidRPr="000416F1">
        <w:t>iden</w:t>
      </w:r>
      <w:r w:rsidRPr="000416F1">
        <w:t xml:space="preserve">tified, scheduled and performed housekeeping, cleaning and waste disposal duties in accordance with required standards and procedures </w:t>
      </w:r>
    </w:p>
    <w:p w:rsidR="007A0337" w:rsidP="000416F1">
      <w:pPr>
        <w:pStyle w:val="ListBullet"/>
      </w:pPr>
    </w:p>
    <w:p w:rsidR="00000000" w:rsidRPr="000416F1" w:rsidP="000416F1">
      <w:pPr>
        <w:pStyle w:val="Heading1"/>
      </w:pPr>
      <w:bookmarkStart w:id="11" w:name="O_1017420"/>
      <w:bookmarkEnd w:id="11"/>
      <w:r w:rsidRPr="000416F1">
        <w:t>Knowledge Evidence</w:t>
      </w:r>
    </w:p>
    <w:p w:rsidR="00000000" w:rsidRPr="000416F1" w:rsidP="007A0337">
      <w:pPr>
        <w:pStyle w:val="BodyText"/>
      </w:pPr>
      <w:r w:rsidRPr="000416F1">
        <w:t>There must be evidence the candidate has knowledge of:</w:t>
      </w:r>
    </w:p>
    <w:p w:rsidR="00000000" w:rsidRPr="000416F1" w:rsidP="000416F1">
      <w:pPr>
        <w:pStyle w:val="ListBullet"/>
      </w:pPr>
      <w:r w:rsidRPr="000416F1">
        <w:t>organisation procedures, including:</w:t>
      </w:r>
    </w:p>
    <w:p w:rsidR="00000000" w:rsidRPr="000416F1" w:rsidP="000416F1">
      <w:pPr>
        <w:pStyle w:val="ListBullet2"/>
      </w:pPr>
      <w:r w:rsidRPr="000416F1">
        <w:t>housekeeping</w:t>
      </w:r>
    </w:p>
    <w:p w:rsidR="00000000" w:rsidRPr="000416F1" w:rsidP="000416F1">
      <w:pPr>
        <w:pStyle w:val="ListBullet2"/>
      </w:pPr>
      <w:r w:rsidRPr="000416F1">
        <w:t>cleaning and waste disposal for the role and work area</w:t>
      </w:r>
    </w:p>
    <w:p w:rsidR="00000000" w:rsidRPr="000416F1" w:rsidP="000416F1">
      <w:pPr>
        <w:pStyle w:val="ListBullet2"/>
      </w:pPr>
      <w:r w:rsidRPr="000416F1">
        <w:t>safety, emergency and hazard control</w:t>
      </w:r>
    </w:p>
    <w:p w:rsidR="00000000" w:rsidRPr="000416F1" w:rsidP="000416F1">
      <w:pPr>
        <w:pStyle w:val="ListBullet"/>
      </w:pPr>
      <w:r w:rsidRPr="000416F1">
        <w:t>relevant safety data sheets (SDS) for cleaning and process materials</w:t>
      </w:r>
    </w:p>
    <w:p w:rsidR="00000000" w:rsidRPr="000416F1" w:rsidP="000416F1">
      <w:pPr>
        <w:pStyle w:val="ListBullet"/>
      </w:pPr>
      <w:r w:rsidRPr="000416F1">
        <w:t>types and applications of personal protectiv</w:t>
      </w:r>
      <w:r w:rsidRPr="000416F1">
        <w:t>e equipment (PPE)</w:t>
      </w:r>
    </w:p>
    <w:p w:rsidR="007A0337" w:rsidP="000416F1">
      <w:pPr>
        <w:pStyle w:val="ListBullet"/>
      </w:pPr>
      <w:r w:rsidRPr="000416F1">
        <w:t>hazards that may arise in the role and work area and appropriate action.</w:t>
      </w:r>
    </w:p>
    <w:p w:rsidR="007A0337" w:rsidP="000416F1">
      <w:pPr>
        <w:pStyle w:val="ListBullet"/>
      </w:pPr>
    </w:p>
    <w:p w:rsidR="00000000" w:rsidRPr="000416F1" w:rsidP="000416F1">
      <w:pPr>
        <w:pStyle w:val="Heading1"/>
      </w:pPr>
      <w:bookmarkStart w:id="12" w:name="O_1017419"/>
      <w:bookmarkEnd w:id="12"/>
      <w:r w:rsidRPr="000416F1">
        <w:t>Assessment Conditions</w:t>
      </w:r>
    </w:p>
    <w:p w:rsidR="00000000" w:rsidRPr="000416F1" w:rsidP="007A0337">
      <w:pPr>
        <w:pStyle w:val="BodyText"/>
      </w:pPr>
      <w:r w:rsidRPr="000416F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416F1" w:rsidP="000416F1">
      <w:pPr>
        <w:pStyle w:val="ListBullet"/>
      </w:pPr>
      <w:r w:rsidRPr="000416F1">
        <w:t xml:space="preserve">use of suitable facilities, equipment and resources, including: </w:t>
      </w:r>
    </w:p>
    <w:p w:rsidR="00000000" w:rsidRPr="000416F1" w:rsidP="000416F1">
      <w:pPr>
        <w:pStyle w:val="ListBullet2"/>
      </w:pPr>
      <w:r w:rsidRPr="000416F1">
        <w:t>cleaning tools and equipment, including personal protective equipment (PPE)</w:t>
      </w:r>
    </w:p>
    <w:p w:rsidR="00000000" w:rsidRPr="000416F1" w:rsidP="000416F1">
      <w:pPr>
        <w:pStyle w:val="ListBullet2"/>
      </w:pPr>
      <w:r w:rsidRPr="000416F1">
        <w:t>cleaning and workplace hazard reporting procedures and forms.</w:t>
      </w:r>
    </w:p>
    <w:p w:rsidR="007A0337" w:rsidP="007A0337">
      <w:pPr>
        <w:pStyle w:val="BodyText"/>
      </w:pPr>
      <w:r w:rsidRPr="000416F1">
        <w:t>Assessors must satisfy the NVR/AQTF mandatory competency requirements for assessors.</w:t>
      </w:r>
    </w:p>
    <w:p w:rsidR="00000000" w:rsidRPr="000416F1" w:rsidP="000416F1">
      <w:pPr>
        <w:pStyle w:val="Heading1"/>
      </w:pPr>
      <w:bookmarkStart w:id="13" w:name="O_1017434"/>
      <w:bookmarkEnd w:id="13"/>
      <w:r w:rsidRPr="000416F1">
        <w:t>Links</w:t>
      </w:r>
    </w:p>
    <w:p w:rsidR="00000000" w:rsidRPr="000416F1" w:rsidP="007A0337">
      <w:pPr>
        <w:pStyle w:val="BodyText"/>
      </w:pPr>
      <w:r w:rsidRPr="000416F1">
        <w:t>Compani</w:t>
      </w:r>
      <w:r w:rsidRPr="000416F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440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416F1" w:rsidP="000416F1"/>
    <w:sectPr w:rsidSect="000416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 w:rsidRPr="007A0337" w:rsidP="007A0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37" w:rsidP="00041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337" w:rsidP="00041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A0337" w:rsidP="000416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 w:rsidP="00041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0337">
      <w:t>Approved</w:t>
    </w:r>
    <w:r w:rsidR="007A03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03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0337">
      <w:rPr>
        <w:noProof/>
      </w:rPr>
      <w:t>4</w:t>
    </w:r>
    <w:r>
      <w:rPr>
        <w:noProof/>
      </w:rPr>
      <w:fldChar w:fldCharType="end"/>
    </w:r>
  </w:p>
  <w:p w:rsidR="000416F1" w:rsidP="00041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03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0337">
      <w:t>Manufacturing Industry Skills Alliance</w:t>
    </w:r>
    <w:r w:rsidR="007A0337">
      <w:fldChar w:fldCharType="end"/>
    </w:r>
  </w:p>
  <w:p w:rsidR="000416F1" w:rsidP="00041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6F1" w:rsidRPr="007A0337" w:rsidP="007A0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37" w:rsidRPr="002D2AF8" w:rsidP="00041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MSMSUP101 Clean workplace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0337" w:rsidP="000416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6F1" w:rsidRPr="002D2AF8" w:rsidP="00041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0337">
      <w:t>MSMSUP101 Clean workplace or equipment</w:t>
    </w:r>
    <w:r w:rsidR="007A03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0337">
      <w:rPr>
        <w:noProof/>
      </w:rPr>
      <w:t>2 March 2025</w:t>
    </w:r>
    <w:r>
      <w:fldChar w:fldCharType="end"/>
    </w:r>
  </w:p>
  <w:p w:rsidR="000416F1" w:rsidP="00041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82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62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8D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6F1"/>
  </w:style>
  <w:style w:type="character" w:customStyle="1" w:styleId="Heading1Char">
    <w:name w:val="Heading 1 Char"/>
    <w:basedOn w:val="DefaultParagraphFont"/>
    <w:link w:val="Heading1"/>
    <w:rsid w:val="00041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6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6F1"/>
    <w:rPr>
      <w:b/>
      <w:spacing w:val="0"/>
    </w:rPr>
  </w:style>
  <w:style w:type="paragraph" w:styleId="ListBullet2">
    <w:name w:val="List Bullet 2"/>
    <w:basedOn w:val="List2"/>
    <w:rsid w:val="000416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16F1"/>
    <w:rPr>
      <w:i/>
    </w:rPr>
  </w:style>
  <w:style w:type="paragraph" w:customStyle="1" w:styleId="SuperHeading">
    <w:name w:val="SuperHeading"/>
    <w:basedOn w:val="Normal"/>
    <w:rsid w:val="00041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6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6F1"/>
  </w:style>
  <w:style w:type="paragraph" w:styleId="TableofFigures">
    <w:name w:val="table of figures"/>
    <w:basedOn w:val="Normal"/>
    <w:next w:val="Normal"/>
    <w:semiHidden/>
    <w:rsid w:val="00041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6F1"/>
    <w:rPr>
      <w:rFonts w:ascii="Wingdings" w:hAnsi="Wingdings"/>
    </w:rPr>
  </w:style>
  <w:style w:type="paragraph" w:customStyle="1" w:styleId="TableHeading">
    <w:name w:val="Table Heading"/>
    <w:basedOn w:val="HeadingBase"/>
    <w:rsid w:val="00041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6F1"/>
    <w:rPr>
      <w:color w:val="0033CC"/>
      <w:u w:val="none"/>
    </w:rPr>
  </w:style>
  <w:style w:type="paragraph" w:customStyle="1" w:styleId="BodyTextRight">
    <w:name w:val="Body Text Right"/>
    <w:basedOn w:val="BodyText"/>
    <w:rsid w:val="00041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6F1"/>
    <w:rPr>
      <w:sz w:val="32"/>
    </w:rPr>
  </w:style>
  <w:style w:type="paragraph" w:customStyle="1" w:styleId="HeadingProcedure">
    <w:name w:val="Heading Procedure"/>
    <w:basedOn w:val="HeadingBase"/>
    <w:next w:val="Normal"/>
    <w:rsid w:val="00041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6F1"/>
    <w:pPr>
      <w:spacing w:before="60" w:after="60"/>
    </w:pPr>
  </w:style>
  <w:style w:type="paragraph" w:styleId="ListContinue">
    <w:name w:val="List Continue"/>
    <w:basedOn w:val="List"/>
    <w:rsid w:val="000416F1"/>
    <w:pPr>
      <w:ind w:firstLine="0"/>
    </w:pPr>
  </w:style>
  <w:style w:type="paragraph" w:customStyle="1" w:styleId="ListNote">
    <w:name w:val="List Note"/>
    <w:basedOn w:val="List"/>
    <w:rsid w:val="00041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6F1"/>
    <w:rPr>
      <w:rFonts w:ascii="Courier New" w:hAnsi="Courier New"/>
    </w:rPr>
  </w:style>
  <w:style w:type="paragraph" w:customStyle="1" w:styleId="NoteBullet">
    <w:name w:val="Note Bullet"/>
    <w:basedOn w:val="Note"/>
    <w:rsid w:val="00041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6F1"/>
    <w:rPr>
      <w:b/>
      <w:smallCaps/>
    </w:rPr>
  </w:style>
  <w:style w:type="paragraph" w:customStyle="1" w:styleId="TableListNumber">
    <w:name w:val="Table List Number"/>
    <w:basedOn w:val="ListNumber"/>
    <w:rsid w:val="00041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6F1"/>
    <w:pPr>
      <w:numPr>
        <w:numId w:val="9"/>
      </w:numPr>
    </w:pPr>
  </w:style>
  <w:style w:type="paragraph" w:customStyle="1" w:styleId="ListAlpha2">
    <w:name w:val="List Alpha 2"/>
    <w:basedOn w:val="List2"/>
    <w:rsid w:val="000416F1"/>
    <w:pPr>
      <w:numPr>
        <w:numId w:val="8"/>
      </w:numPr>
    </w:pPr>
  </w:style>
  <w:style w:type="paragraph" w:styleId="List2">
    <w:name w:val="List 2"/>
    <w:basedOn w:val="BodyText"/>
    <w:rsid w:val="00041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6F1"/>
    <w:pPr>
      <w:numPr>
        <w:numId w:val="4"/>
      </w:numPr>
    </w:pPr>
  </w:style>
  <w:style w:type="paragraph" w:styleId="ListContinue2">
    <w:name w:val="List Continue 2"/>
    <w:basedOn w:val="List2"/>
    <w:rsid w:val="000416F1"/>
    <w:pPr>
      <w:ind w:firstLine="0"/>
    </w:pPr>
  </w:style>
  <w:style w:type="paragraph" w:styleId="ListContinue3">
    <w:name w:val="List Continue 3"/>
    <w:basedOn w:val="List3"/>
    <w:rsid w:val="000416F1"/>
    <w:pPr>
      <w:ind w:left="1021" w:firstLine="0"/>
    </w:pPr>
  </w:style>
  <w:style w:type="paragraph" w:styleId="ListContinue4">
    <w:name w:val="List Continue 4"/>
    <w:basedOn w:val="List4"/>
    <w:rsid w:val="000416F1"/>
    <w:pPr>
      <w:ind w:firstLine="0"/>
    </w:pPr>
  </w:style>
  <w:style w:type="paragraph" w:styleId="ListContinue5">
    <w:name w:val="List Continue 5"/>
    <w:basedOn w:val="List5"/>
    <w:rsid w:val="000416F1"/>
    <w:pPr>
      <w:ind w:firstLine="0"/>
    </w:pPr>
  </w:style>
  <w:style w:type="paragraph" w:styleId="ListNumber3">
    <w:name w:val="List Number 3"/>
    <w:basedOn w:val="List3"/>
    <w:rsid w:val="000416F1"/>
    <w:pPr>
      <w:numPr>
        <w:numId w:val="5"/>
      </w:numPr>
    </w:pPr>
  </w:style>
  <w:style w:type="paragraph" w:styleId="ListNumber4">
    <w:name w:val="List Number 4"/>
    <w:basedOn w:val="List4"/>
    <w:rsid w:val="000416F1"/>
    <w:pPr>
      <w:numPr>
        <w:numId w:val="6"/>
      </w:numPr>
    </w:pPr>
  </w:style>
  <w:style w:type="paragraph" w:styleId="ListNumber5">
    <w:name w:val="List Number 5"/>
    <w:basedOn w:val="List5"/>
    <w:rsid w:val="000416F1"/>
    <w:pPr>
      <w:numPr>
        <w:numId w:val="7"/>
      </w:numPr>
    </w:pPr>
  </w:style>
  <w:style w:type="paragraph" w:styleId="BlockText">
    <w:name w:val="Block Text"/>
    <w:basedOn w:val="Normal"/>
    <w:rsid w:val="00041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6F1"/>
    <w:rPr>
      <w:sz w:val="16"/>
      <w:vertAlign w:val="superscript"/>
    </w:rPr>
  </w:style>
  <w:style w:type="character" w:customStyle="1" w:styleId="Symbols">
    <w:name w:val="Symbols"/>
    <w:basedOn w:val="DefaultParagraphFont"/>
    <w:rsid w:val="000416F1"/>
    <w:rPr>
      <w:rFonts w:ascii="Symbol" w:hAnsi="Symbol"/>
    </w:rPr>
  </w:style>
  <w:style w:type="character" w:customStyle="1" w:styleId="MenuOptions">
    <w:name w:val="Menu Options"/>
    <w:basedOn w:val="DefaultParagraphFont"/>
    <w:rsid w:val="00041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6F1"/>
    <w:rPr>
      <w:b/>
    </w:rPr>
  </w:style>
  <w:style w:type="character" w:customStyle="1" w:styleId="Underlined">
    <w:name w:val="Underlined"/>
    <w:basedOn w:val="DefaultParagraphFont"/>
    <w:rsid w:val="000416F1"/>
    <w:rPr>
      <w:u w:val="single"/>
    </w:rPr>
  </w:style>
  <w:style w:type="paragraph" w:customStyle="1" w:styleId="TableBodyTextRight">
    <w:name w:val="Table Body Text Right"/>
    <w:basedOn w:val="TableBodyText"/>
    <w:rsid w:val="00041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6F1"/>
    <w:rPr>
      <w:sz w:val="18"/>
    </w:rPr>
  </w:style>
  <w:style w:type="paragraph" w:customStyle="1" w:styleId="BodySmallRight">
    <w:name w:val="Body Small Right"/>
    <w:basedOn w:val="BodyTextRight"/>
    <w:rsid w:val="000416F1"/>
    <w:rPr>
      <w:sz w:val="18"/>
      <w:szCs w:val="18"/>
    </w:rPr>
  </w:style>
  <w:style w:type="paragraph" w:customStyle="1" w:styleId="MarginEdition">
    <w:name w:val="Margin Edition"/>
    <w:basedOn w:val="MarginNote"/>
    <w:rsid w:val="00041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6F1"/>
    <w:rPr>
      <w:sz w:val="2"/>
      <w:szCs w:val="2"/>
    </w:rPr>
  </w:style>
  <w:style w:type="character" w:customStyle="1" w:styleId="Small">
    <w:name w:val="Small"/>
    <w:basedOn w:val="DefaultParagraphFont"/>
    <w:rsid w:val="000416F1"/>
    <w:rPr>
      <w:sz w:val="16"/>
    </w:rPr>
  </w:style>
  <w:style w:type="paragraph" w:customStyle="1" w:styleId="WideTable">
    <w:name w:val="Wide Table"/>
    <w:basedOn w:val="Normal"/>
    <w:rsid w:val="00041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6F1"/>
  </w:style>
  <w:style w:type="paragraph" w:styleId="Quote">
    <w:name w:val="Quote"/>
    <w:basedOn w:val="Heading1"/>
    <w:link w:val="QuoteChar"/>
    <w:qFormat/>
    <w:rsid w:val="00041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6F1"/>
    <w:pPr>
      <w:pageBreakBefore/>
    </w:pPr>
  </w:style>
  <w:style w:type="paragraph" w:customStyle="1" w:styleId="Border">
    <w:name w:val="Border"/>
    <w:basedOn w:val="Normal"/>
    <w:qFormat/>
    <w:rsid w:val="00041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6F1"/>
    <w:rPr>
      <w:u w:val="single"/>
    </w:rPr>
  </w:style>
  <w:style w:type="character" w:customStyle="1" w:styleId="BoldandItalics">
    <w:name w:val="Bold and Italics"/>
    <w:qFormat/>
    <w:rsid w:val="000416F1"/>
    <w:rPr>
      <w:b/>
      <w:i/>
      <w:u w:val="none"/>
    </w:rPr>
  </w:style>
  <w:style w:type="paragraph" w:styleId="BalloonText">
    <w:name w:val="Balloon Text"/>
    <w:basedOn w:val="Normal"/>
    <w:link w:val="BalloonTextChar"/>
    <w:rsid w:val="00041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6F1"/>
    <w:pPr>
      <w:spacing w:before="0" w:after="0"/>
    </w:pPr>
  </w:style>
  <w:style w:type="paragraph" w:customStyle="1" w:styleId="BodyTextBold">
    <w:name w:val="Body Text Bold"/>
    <w:basedOn w:val="BodyText"/>
    <w:qFormat/>
    <w:rsid w:val="000416F1"/>
    <w:rPr>
      <w:b/>
    </w:rPr>
  </w:style>
  <w:style w:type="character" w:styleId="Hyperlink">
    <w:name w:val="Hyperlink"/>
    <w:basedOn w:val="DefaultParagraphFont"/>
    <w:uiPriority w:val="99"/>
    <w:unhideWhenUsed/>
    <w:rsid w:val="007A0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4604</Characters>
  <Application>Microsoft Office Word</Application>
  <DocSecurity>0</DocSecurity>
  <Lines>127</Lines>
  <Paragraphs>87</Paragraphs>
  <ScaleCrop>false</ScaleCrop>
  <Company>Author-it Software Corporation Ltd.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MSMSUP101 Clean workplace or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