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5DC" w:rsidP="00166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MSMRVT201 Apply technical knowledge of recreational vehicle manufacturing to work activities</w:t>
      </w:r>
      <w:r>
        <w:fldChar w:fldCharType="end"/>
      </w:r>
    </w:p>
    <w:p w:rsidR="001665DC" w:rsidP="001665DC">
      <w:pPr>
        <w:pStyle w:val="Version"/>
        <w:sectPr w:rsidSect="001E7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1E4" w:rsidP="001E71E4">
      <w:pPr>
        <w:pStyle w:val="SuperHeading"/>
      </w:pPr>
      <w:r w:rsidRPr="001E71E4">
        <w:t>MSMRVT201 App</w:t>
      </w:r>
      <w:r w:rsidRPr="001E71E4">
        <w:t>ly technical knowledge of recreational vehicle manufacturing to work activities</w:t>
      </w:r>
    </w:p>
    <w:p w:rsidR="00000000" w:rsidRPr="001E71E4" w:rsidP="001E71E4">
      <w:pPr>
        <w:pStyle w:val="Heading1"/>
      </w:pPr>
      <w:bookmarkStart w:id="1" w:name="O_851548"/>
      <w:bookmarkEnd w:id="1"/>
      <w:r w:rsidRPr="001E71E4">
        <w:t>Modification History</w:t>
      </w:r>
    </w:p>
    <w:p w:rsidR="00000000" w:rsidRPr="001E71E4" w:rsidP="001665DC">
      <w:pPr>
        <w:pStyle w:val="BodyText"/>
      </w:pPr>
      <w:r w:rsidRPr="001E71E4">
        <w:t>Release 1 - Supersedes and is equivalent to MSARVT201A Apply technical knowledge of recreational vehicle manufacturing to work activities</w:t>
      </w:r>
    </w:p>
    <w:p w:rsidR="00000000" w:rsidRPr="001E71E4" w:rsidP="001E71E4">
      <w:pPr>
        <w:pStyle w:val="Heading1"/>
      </w:pPr>
      <w:bookmarkStart w:id="2" w:name="O_851556"/>
      <w:bookmarkEnd w:id="2"/>
      <w:r w:rsidRPr="001E71E4">
        <w:t>Application</w:t>
      </w:r>
    </w:p>
    <w:p w:rsidR="00000000" w:rsidRPr="001E71E4" w:rsidP="001665DC">
      <w:pPr>
        <w:pStyle w:val="BodyText"/>
      </w:pPr>
      <w:r w:rsidRPr="001E71E4">
        <w:t>This unit of competency covers the basic technical knowledge required to conduct a range of work activities in the recreational vehicle manufacturing, servicing and retail sectors of the caravan industry.</w:t>
      </w:r>
    </w:p>
    <w:p w:rsidR="00000000" w:rsidRPr="001E71E4" w:rsidP="001665DC">
      <w:pPr>
        <w:pStyle w:val="BodyText"/>
      </w:pPr>
      <w:r w:rsidRPr="001E71E4">
        <w:t>This unit of competenc</w:t>
      </w:r>
      <w:r w:rsidRPr="001E71E4">
        <w:t>y applies to those involved in the manufacturing, servicing and retail of recreational vehicles. It may be applied in different workplaces, sectors and circumstances.</w:t>
      </w:r>
    </w:p>
    <w:p w:rsidR="00000000" w:rsidRPr="001E71E4" w:rsidP="001665DC">
      <w:pPr>
        <w:pStyle w:val="BodyText"/>
      </w:pPr>
      <w:r w:rsidRPr="001E71E4">
        <w:t>This unit of competency applies to roles performed by recreational vehicle manufacturing</w:t>
      </w:r>
      <w:r w:rsidRPr="001E71E4">
        <w:t xml:space="preserve"> and service personnel, recreational vehicle and accessories sales personnel, and recreational vehicle designers and manufacturers. </w:t>
      </w:r>
    </w:p>
    <w:p w:rsidR="00000000" w:rsidRPr="001E71E4" w:rsidP="001665DC">
      <w:pPr>
        <w:pStyle w:val="BodyText"/>
      </w:pPr>
      <w:r w:rsidRPr="001E71E4">
        <w:t>The operator will be required to work to procedures, and follow plans/specifications for what is required.</w:t>
      </w:r>
    </w:p>
    <w:p w:rsidR="00000000" w:rsidRPr="001E71E4" w:rsidP="001665DC">
      <w:pPr>
        <w:pStyle w:val="BodyText"/>
      </w:pPr>
      <w:r w:rsidRPr="001E71E4">
        <w:t>This unit of c</w:t>
      </w:r>
      <w:r w:rsidRPr="001E71E4">
        <w:t>ompetency applies to an individual working alone or as part of a team/work group and working in liaison with other shift team members.</w:t>
      </w:r>
    </w:p>
    <w:p w:rsidR="00000000" w:rsidRPr="001E71E4" w:rsidP="001665DC">
      <w:pPr>
        <w:pStyle w:val="BodyText"/>
      </w:pPr>
      <w:r w:rsidRPr="001E71E4">
        <w:t>No licensing, legislative or certification requirements apply to this unit at the time of publication. Check local regul</w:t>
      </w:r>
      <w:r w:rsidRPr="001E71E4">
        <w:t>ations for details.</w:t>
      </w:r>
    </w:p>
    <w:p w:rsidR="00000000" w:rsidRPr="001E71E4" w:rsidP="001E71E4">
      <w:pPr>
        <w:pStyle w:val="Heading1"/>
      </w:pPr>
      <w:bookmarkStart w:id="3" w:name="O_851555"/>
      <w:bookmarkEnd w:id="3"/>
      <w:r w:rsidRPr="001E71E4">
        <w:t>Pre-requisite Unit</w:t>
      </w:r>
    </w:p>
    <w:p w:rsidR="00000000" w:rsidRPr="001E71E4" w:rsidP="001665DC">
      <w:pPr>
        <w:pStyle w:val="BodyText"/>
      </w:pPr>
      <w:r w:rsidRPr="001E71E4">
        <w:t>Nil</w:t>
      </w:r>
    </w:p>
    <w:p w:rsidR="00000000" w:rsidRPr="001E71E4" w:rsidP="001E71E4">
      <w:pPr>
        <w:pStyle w:val="Heading1"/>
      </w:pPr>
      <w:bookmarkStart w:id="4" w:name="O_851554"/>
      <w:bookmarkEnd w:id="4"/>
      <w:r w:rsidRPr="001E71E4">
        <w:t>Competency Field</w:t>
      </w:r>
    </w:p>
    <w:p w:rsidR="00000000" w:rsidRPr="001E71E4" w:rsidP="001665DC">
      <w:pPr>
        <w:pStyle w:val="BodyText"/>
      </w:pPr>
      <w:r w:rsidRPr="001E71E4">
        <w:t>Support</w:t>
      </w:r>
    </w:p>
    <w:p w:rsidR="00000000" w:rsidRPr="001E71E4" w:rsidP="001E71E4">
      <w:pPr>
        <w:pStyle w:val="Heading1"/>
      </w:pPr>
      <w:bookmarkStart w:id="5" w:name="O_851553"/>
      <w:bookmarkEnd w:id="5"/>
      <w:r w:rsidRPr="001E71E4">
        <w:t>Unit Sector</w:t>
      </w:r>
    </w:p>
    <w:p w:rsidR="00000000" w:rsidRPr="001E71E4" w:rsidP="001E71E4">
      <w:pPr>
        <w:pStyle w:val="Heading1"/>
      </w:pPr>
      <w:bookmarkStart w:id="6" w:name="O_851552"/>
      <w:bookmarkEnd w:id="6"/>
      <w:r w:rsidRPr="001E71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Performance criteria describe the</w:t>
            </w:r>
            <w:r w:rsidRPr="001E71E4">
              <w:t xml:space="preserve"> performance needed to demonstrate achievement of the element</w:t>
            </w:r>
          </w:p>
        </w:tc>
      </w:tr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</w:p>
        </w:tc>
      </w:tr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rPr>
                <w:rStyle w:val="SpecialBold"/>
              </w:rPr>
              <w:t>Apply technical information on recreational vehicles to work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 xml:space="preserve">Identify sources of current information on recreational vehicle manufacturing </w:t>
            </w:r>
          </w:p>
        </w:tc>
      </w:tr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Access and update information relevant to work activities</w:t>
            </w:r>
          </w:p>
        </w:tc>
      </w:tr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t>Apply technical information regarding the manufacture of recreational vehicles and accessories to work activities</w:t>
            </w:r>
          </w:p>
        </w:tc>
      </w:tr>
    </w:tbl>
    <w:p w:rsidR="00000000" w:rsidRPr="001E71E4" w:rsidP="001E71E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rPr>
                <w:rStyle w:val="SpecialBold"/>
              </w:rPr>
              <w:t>Identify relevant information on regulatory and legal requirements to wor</w:t>
            </w:r>
            <w:r w:rsidRPr="001E71E4">
              <w:rPr>
                <w:rStyle w:val="SpecialBold"/>
              </w:rPr>
              <w:t>k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Apply information on legal and regulatory obligations to assist in effective work performance</w:t>
            </w:r>
          </w:p>
        </w:tc>
      </w:tr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 xml:space="preserve">Monitor issues of current concern to the industry </w:t>
            </w:r>
          </w:p>
        </w:tc>
      </w:tr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Conduct day-to-day activities in accordance with legal and regulatory obligations, industry practices and enterprise procedures</w:t>
            </w:r>
          </w:p>
        </w:tc>
      </w:tr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t>Share knowledge with customers and colleagues, as appropriate, and incorporate into day-to-day work activities</w:t>
            </w:r>
          </w:p>
        </w:tc>
      </w:tr>
    </w:tbl>
    <w:p w:rsidR="00000000" w:rsidRPr="001E71E4" w:rsidP="001E71E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rPr>
                <w:rStyle w:val="SpecialBold"/>
              </w:rPr>
              <w:t xml:space="preserve">Apply </w:t>
            </w:r>
            <w:r w:rsidRPr="001E71E4">
              <w:rPr>
                <w:rStyle w:val="SpecialBold"/>
              </w:rPr>
              <w:t>information on products to work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Apply information on products produced both within and outside the enterprise to work activities</w:t>
            </w:r>
          </w:p>
        </w:tc>
      </w:tr>
      <w:tr w:rsidTr="001E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t>Apply information about models, parts, accessories and options to meet customer requirements/requests and enterprise needs</w:t>
            </w:r>
          </w:p>
        </w:tc>
      </w:tr>
    </w:tbl>
    <w:p w:rsidR="001665DC" w:rsidP="001E71E4">
      <w:pPr>
        <w:pStyle w:val="BodyText"/>
      </w:pPr>
    </w:p>
    <w:p w:rsidR="001665DC" w:rsidP="001E71E4">
      <w:pPr>
        <w:pStyle w:val="BodyText"/>
      </w:pPr>
    </w:p>
    <w:p w:rsidR="00000000" w:rsidRPr="001E71E4" w:rsidP="001E71E4">
      <w:pPr>
        <w:pStyle w:val="Heading1"/>
      </w:pPr>
      <w:bookmarkStart w:id="7" w:name="O_851551"/>
      <w:bookmarkEnd w:id="7"/>
      <w:r w:rsidRPr="001E71E4">
        <w:t>Foundation Skills</w:t>
      </w:r>
    </w:p>
    <w:p w:rsidR="00000000" w:rsidRPr="001E71E4" w:rsidP="001665DC">
      <w:pPr>
        <w:pStyle w:val="BodyText"/>
      </w:pPr>
      <w:r w:rsidRPr="001E71E4">
        <w:t>This section describes those language, literacy, numeracy and employment skills that are essent</w:t>
      </w:r>
      <w:r w:rsidRPr="001E71E4">
        <w:t>ial to performance.</w:t>
      </w:r>
    </w:p>
    <w:p w:rsidR="00000000" w:rsidRPr="001E71E4" w:rsidP="001665DC">
      <w:pPr>
        <w:pStyle w:val="BodyText"/>
      </w:pPr>
      <w:r w:rsidRPr="001E71E4">
        <w:t>Foundation skills essential to performance are explicit in the performance criteria of this unit of competency.</w:t>
      </w:r>
    </w:p>
    <w:p w:rsidR="00000000" w:rsidRPr="001E71E4" w:rsidP="001E71E4">
      <w:pPr>
        <w:pStyle w:val="Heading1"/>
      </w:pPr>
      <w:bookmarkStart w:id="8" w:name="O_851550"/>
      <w:bookmarkEnd w:id="8"/>
      <w:r w:rsidRPr="001E71E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1665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t>This field allows for different work environments and conditions that may affect perfo</w:t>
            </w:r>
            <w:r w:rsidRPr="001E71E4">
              <w:t>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1665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1E4">
            <w:pPr>
              <w:pStyle w:val="BodyText"/>
              <w:rPr>
                <w:lang w:val="en-NZ"/>
              </w:rPr>
            </w:pPr>
            <w:r w:rsidRPr="001E71E4">
              <w:rPr>
                <w:rStyle w:val="SpecialBold"/>
              </w:rPr>
              <w:t>Regulatory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1E71E4" w:rsidP="001E71E4">
            <w:pPr>
              <w:pStyle w:val="ListBullet"/>
            </w:pPr>
            <w:r w:rsidRPr="001E71E4">
              <w:t>legislative requirem</w:t>
            </w:r>
            <w:r w:rsidRPr="001E71E4">
              <w:t>ents, including work health and safety (WHS)</w:t>
            </w:r>
          </w:p>
          <w:p w:rsidR="00000000" w:rsidRPr="001E71E4" w:rsidP="001E71E4">
            <w:pPr>
              <w:pStyle w:val="ListBullet"/>
            </w:pPr>
            <w:r w:rsidRPr="001E71E4">
              <w:t>industry codes of practice and guidelines</w:t>
            </w:r>
          </w:p>
          <w:p w:rsidR="00000000" w:rsidRPr="001E71E4" w:rsidP="001E71E4">
            <w:pPr>
              <w:pStyle w:val="ListBullet"/>
            </w:pPr>
            <w:r w:rsidRPr="001E71E4">
              <w:t xml:space="preserve">environmental regulations and guidelines </w:t>
            </w:r>
          </w:p>
          <w:p w:rsidR="00000000" w:rsidRPr="001E71E4" w:rsidP="001E71E4">
            <w:pPr>
              <w:pStyle w:val="ListBullet"/>
            </w:pPr>
            <w:r w:rsidRPr="001E71E4">
              <w:t>Australian and other standards</w:t>
            </w:r>
          </w:p>
          <w:p w:rsidR="00000000" w:rsidRPr="001E71E4" w:rsidP="001E71E4">
            <w:pPr>
              <w:pStyle w:val="ListBullet"/>
            </w:pPr>
            <w:r w:rsidRPr="001E71E4">
              <w:t>licence and certification requirements</w:t>
            </w:r>
          </w:p>
          <w:p w:rsidR="00000000" w:rsidP="001E71E4">
            <w:pPr>
              <w:pStyle w:val="BodyText"/>
              <w:rPr>
                <w:lang w:val="en-NZ"/>
              </w:rPr>
            </w:pPr>
          </w:p>
        </w:tc>
      </w:tr>
      <w:tr w:rsidTr="001665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t>All operations must be performed in accordance with relevant procedures.</w:t>
            </w:r>
          </w:p>
          <w:p w:rsidR="00000000" w:rsidRPr="001E71E4" w:rsidP="001E71E4">
            <w:pPr>
              <w:pStyle w:val="BodyText"/>
            </w:pPr>
          </w:p>
          <w:p w:rsidR="00000000" w:rsidRPr="001E71E4" w:rsidP="001E71E4">
            <w:pPr>
              <w:pStyle w:val="BodyText"/>
            </w:pPr>
            <w:r w:rsidRPr="001E71E4">
              <w:t>Procedures are written, verbal, visual, computer-based or in some other form, and include one or more of the following:</w:t>
            </w:r>
          </w:p>
          <w:p w:rsidR="00000000" w:rsidRPr="001E71E4" w:rsidP="001E71E4">
            <w:pPr>
              <w:pStyle w:val="ListBullet"/>
            </w:pPr>
            <w:r w:rsidRPr="001E71E4">
              <w:t>work instructions</w:t>
            </w:r>
          </w:p>
          <w:p w:rsidR="00000000" w:rsidRPr="001E71E4" w:rsidP="001E71E4">
            <w:pPr>
              <w:pStyle w:val="ListBullet"/>
            </w:pPr>
            <w:r w:rsidRPr="001E71E4">
              <w:t>standard operating procedures (SOPs)</w:t>
            </w:r>
          </w:p>
          <w:p w:rsidR="00000000" w:rsidRPr="001E71E4" w:rsidP="001E71E4">
            <w:pPr>
              <w:pStyle w:val="ListBullet"/>
            </w:pPr>
            <w:r w:rsidRPr="001E71E4">
              <w:t>safe w</w:t>
            </w:r>
            <w:r w:rsidRPr="001E71E4">
              <w:t>ork method statements (SWMS)</w:t>
            </w:r>
          </w:p>
          <w:p w:rsidR="00000000" w:rsidRPr="001E71E4" w:rsidP="001E71E4">
            <w:pPr>
              <w:pStyle w:val="ListBullet"/>
            </w:pPr>
            <w:r w:rsidRPr="001E71E4">
              <w:t>temporary instructions</w:t>
            </w:r>
          </w:p>
          <w:p w:rsidR="00000000" w:rsidRPr="001E71E4" w:rsidP="001E71E4">
            <w:pPr>
              <w:pStyle w:val="ListBullet"/>
            </w:pPr>
            <w:r w:rsidRPr="001E71E4">
              <w:t>any similar instructions provided for the smooth running of the plant</w:t>
            </w:r>
          </w:p>
          <w:p w:rsidR="00000000" w:rsidP="001E71E4">
            <w:pPr>
              <w:pStyle w:val="BodyText"/>
              <w:rPr>
                <w:lang w:val="en-NZ"/>
              </w:rPr>
            </w:pPr>
          </w:p>
        </w:tc>
      </w:tr>
      <w:tr w:rsidTr="001665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1E4" w:rsidP="001E71E4">
            <w:pPr>
              <w:pStyle w:val="BodyText"/>
            </w:pPr>
            <w:r w:rsidRPr="001E71E4">
              <w:t xml:space="preserve">Routine problems must be resolved by applying known solutions. </w:t>
            </w:r>
          </w:p>
          <w:p w:rsidR="00000000" w:rsidRPr="001E71E4" w:rsidP="001E71E4">
            <w:pPr>
              <w:pStyle w:val="BodyText"/>
            </w:pPr>
          </w:p>
          <w:p w:rsidR="00000000" w:rsidRPr="001E71E4" w:rsidP="001E71E4">
            <w:pPr>
              <w:pStyle w:val="BodyText"/>
            </w:pPr>
            <w:r w:rsidRPr="001E71E4">
              <w:t>Routine problems are predictable and include one or more of the following:</w:t>
            </w:r>
          </w:p>
          <w:p w:rsidR="00000000" w:rsidRPr="001E71E4" w:rsidP="001E71E4">
            <w:pPr>
              <w:pStyle w:val="ListBullet"/>
            </w:pPr>
            <w:r w:rsidRPr="001E71E4">
              <w:t xml:space="preserve">equipment/plant/machine malfunction </w:t>
            </w:r>
          </w:p>
          <w:p w:rsidR="00000000" w:rsidRPr="001E71E4" w:rsidP="001E71E4">
            <w:pPr>
              <w:pStyle w:val="ListBullet"/>
            </w:pPr>
            <w:r w:rsidRPr="001E71E4">
              <w:t>variations in process conditions</w:t>
            </w:r>
          </w:p>
          <w:p w:rsidR="00000000" w:rsidRPr="001E71E4" w:rsidP="001E71E4">
            <w:pPr>
              <w:pStyle w:val="ListBullet"/>
            </w:pPr>
            <w:r w:rsidRPr="001E71E4">
              <w:t>variations in materials or contamination of materials</w:t>
            </w:r>
          </w:p>
          <w:p w:rsidR="00000000" w:rsidRPr="001E71E4" w:rsidP="001E71E4">
            <w:pPr>
              <w:pStyle w:val="ListBullet"/>
            </w:pPr>
            <w:r w:rsidRPr="001E71E4">
              <w:t>equipment, tool, die or mould damage</w:t>
            </w:r>
          </w:p>
          <w:p w:rsidR="00000000" w:rsidRPr="001E71E4" w:rsidP="001E71E4">
            <w:pPr>
              <w:pStyle w:val="ListBullet"/>
            </w:pPr>
            <w:r w:rsidRPr="001E71E4">
              <w:t xml:space="preserve">product faults </w:t>
            </w:r>
          </w:p>
          <w:p w:rsidR="00000000" w:rsidRPr="001E71E4" w:rsidP="001E71E4">
            <w:pPr>
              <w:pStyle w:val="ListBullet"/>
            </w:pPr>
            <w:r w:rsidRPr="001E71E4">
              <w:t>too</w:t>
            </w:r>
            <w:r w:rsidRPr="001E71E4">
              <w:t>ling problems</w:t>
            </w:r>
          </w:p>
          <w:p w:rsidR="00000000" w:rsidRPr="001E71E4" w:rsidP="001E71E4">
            <w:pPr>
              <w:pStyle w:val="BodyText"/>
            </w:pPr>
          </w:p>
          <w:p w:rsidR="00000000" w:rsidRPr="001E71E4" w:rsidP="001E71E4">
            <w:pPr>
              <w:pStyle w:val="BodyText"/>
            </w:pPr>
            <w:r w:rsidRPr="001E71E4">
              <w:t>Known solutions are drawn from one or more of the following:</w:t>
            </w:r>
          </w:p>
          <w:p w:rsidR="00000000" w:rsidRPr="001E71E4" w:rsidP="001E71E4">
            <w:pPr>
              <w:pStyle w:val="ListBullet"/>
            </w:pPr>
            <w:r w:rsidRPr="001E71E4">
              <w:t>procedures</w:t>
            </w:r>
          </w:p>
          <w:p w:rsidR="00000000" w:rsidRPr="001E71E4" w:rsidP="001E71E4">
            <w:pPr>
              <w:pStyle w:val="ListBullet"/>
            </w:pPr>
            <w:r w:rsidRPr="001E71E4">
              <w:t>training</w:t>
            </w:r>
          </w:p>
          <w:p w:rsidR="00000000" w:rsidRPr="001E71E4" w:rsidP="001E71E4">
            <w:pPr>
              <w:pStyle w:val="ListBullet"/>
            </w:pPr>
            <w:r w:rsidRPr="001E71E4">
              <w:t>remembered experience</w:t>
            </w:r>
          </w:p>
          <w:p w:rsidR="00000000" w:rsidRPr="001E71E4" w:rsidP="001E71E4">
            <w:pPr>
              <w:pStyle w:val="BodyText"/>
            </w:pPr>
          </w:p>
          <w:p w:rsidR="00000000" w:rsidRPr="001E71E4" w:rsidP="001E71E4">
            <w:pPr>
              <w:pStyle w:val="BodyText"/>
            </w:pPr>
            <w:r w:rsidRPr="001E71E4">
              <w:t>Non-routine problems must be reported according to relevant procedures.</w:t>
            </w:r>
          </w:p>
          <w:p w:rsidR="00000000" w:rsidRPr="001E71E4" w:rsidP="001E71E4">
            <w:pPr>
              <w:pStyle w:val="BodyText"/>
            </w:pPr>
          </w:p>
        </w:tc>
      </w:tr>
    </w:tbl>
    <w:p w:rsidR="00000000" w:rsidRPr="001E71E4" w:rsidP="001E71E4">
      <w:pPr>
        <w:pStyle w:val="BodyText"/>
      </w:pPr>
    </w:p>
    <w:p w:rsidR="00000000" w:rsidRPr="001E71E4" w:rsidP="001E71E4">
      <w:pPr>
        <w:pStyle w:val="AllowPageBreak"/>
      </w:pPr>
    </w:p>
    <w:p w:rsidR="00000000" w:rsidRPr="001E71E4" w:rsidP="001E71E4">
      <w:pPr>
        <w:pStyle w:val="Heading1"/>
      </w:pPr>
      <w:bookmarkStart w:id="9" w:name="O_851549"/>
      <w:bookmarkEnd w:id="9"/>
      <w:r w:rsidRPr="001E71E4">
        <w:t>Unit Mapping Information</w:t>
      </w:r>
    </w:p>
    <w:p w:rsidR="00000000" w:rsidRPr="001E71E4" w:rsidP="001665DC">
      <w:pPr>
        <w:pStyle w:val="BodyText"/>
      </w:pPr>
      <w:r w:rsidRPr="001E71E4">
        <w:t>Release 1. Supersedes and is equivalent to MSARVT201A Apply technical knowledge of recreational vehicle manufacturing to work activities</w:t>
      </w:r>
    </w:p>
    <w:p w:rsidR="00000000" w:rsidRPr="001E71E4" w:rsidP="001E71E4">
      <w:pPr>
        <w:pStyle w:val="Heading1"/>
      </w:pPr>
      <w:bookmarkStart w:id="10" w:name="O_851542"/>
      <w:bookmarkEnd w:id="10"/>
      <w:r w:rsidRPr="001E71E4">
        <w:t>Links</w:t>
      </w:r>
    </w:p>
    <w:p w:rsidR="00000000" w:rsidRPr="001E71E4" w:rsidP="001665DC">
      <w:pPr>
        <w:pStyle w:val="BodyText"/>
      </w:pPr>
      <w:r w:rsidRPr="001E71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C1B3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E71E4" w:rsidP="001E71E4"/>
    <w:sectPr w:rsidSect="001E71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1E4" w:rsidRPr="001665DC" w:rsidP="00166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DC" w:rsidP="001E7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5DC" w:rsidP="001E7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65DC" w:rsidP="001E7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1E4" w:rsidRPr="001665DC" w:rsidP="00166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DC" w:rsidRPr="002D2AF8" w:rsidP="001E7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MSMRVT201 Apply technical knowledge of recreational vehicle manufacturing to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1665DC" w:rsidP="001E7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640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BA8B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1E4"/>
  </w:style>
  <w:style w:type="character" w:customStyle="1" w:styleId="Heading1Char">
    <w:name w:val="Heading 1 Char"/>
    <w:basedOn w:val="DefaultParagraphFont"/>
    <w:link w:val="Heading1"/>
    <w:rsid w:val="001E7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1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1E4"/>
    <w:rPr>
      <w:b/>
      <w:spacing w:val="0"/>
    </w:rPr>
  </w:style>
  <w:style w:type="paragraph" w:customStyle="1" w:styleId="SuperHeading">
    <w:name w:val="SuperHeading"/>
    <w:basedOn w:val="Normal"/>
    <w:rsid w:val="001E7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1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1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1E4"/>
    <w:rPr>
      <w:i/>
    </w:rPr>
  </w:style>
  <w:style w:type="paragraph" w:styleId="Caption">
    <w:name w:val="caption"/>
    <w:basedOn w:val="BodyText"/>
    <w:next w:val="Normal"/>
    <w:qFormat/>
    <w:rsid w:val="001E7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1E4"/>
  </w:style>
  <w:style w:type="paragraph" w:styleId="TableofFigures">
    <w:name w:val="table of figures"/>
    <w:basedOn w:val="Normal"/>
    <w:next w:val="Normal"/>
    <w:semiHidden/>
    <w:rsid w:val="001E7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1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1E4"/>
    <w:rPr>
      <w:rFonts w:ascii="Wingdings" w:hAnsi="Wingdings"/>
    </w:rPr>
  </w:style>
  <w:style w:type="paragraph" w:customStyle="1" w:styleId="TableHeading">
    <w:name w:val="Table Heading"/>
    <w:basedOn w:val="HeadingBase"/>
    <w:rsid w:val="001E7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1E4"/>
    <w:rPr>
      <w:color w:val="0033CC"/>
      <w:u w:val="none"/>
    </w:rPr>
  </w:style>
  <w:style w:type="paragraph" w:customStyle="1" w:styleId="BodyTextRight">
    <w:name w:val="Body Text Right"/>
    <w:basedOn w:val="BodyText"/>
    <w:rsid w:val="001E7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1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1E4"/>
    <w:rPr>
      <w:sz w:val="32"/>
    </w:rPr>
  </w:style>
  <w:style w:type="paragraph" w:customStyle="1" w:styleId="HeadingProcedure">
    <w:name w:val="Heading Procedure"/>
    <w:basedOn w:val="HeadingBase"/>
    <w:next w:val="Normal"/>
    <w:rsid w:val="001E7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1E4"/>
    <w:pPr>
      <w:spacing w:before="60" w:after="60"/>
    </w:pPr>
  </w:style>
  <w:style w:type="paragraph" w:styleId="ListContinue">
    <w:name w:val="List Continue"/>
    <w:basedOn w:val="List"/>
    <w:rsid w:val="001E71E4"/>
    <w:pPr>
      <w:ind w:firstLine="0"/>
    </w:pPr>
  </w:style>
  <w:style w:type="paragraph" w:customStyle="1" w:styleId="ListNote">
    <w:name w:val="List Note"/>
    <w:basedOn w:val="List"/>
    <w:rsid w:val="001E7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1E4"/>
    <w:rPr>
      <w:rFonts w:ascii="Courier New" w:hAnsi="Courier New"/>
    </w:rPr>
  </w:style>
  <w:style w:type="paragraph" w:customStyle="1" w:styleId="NoteBullet">
    <w:name w:val="Note Bullet"/>
    <w:basedOn w:val="Note"/>
    <w:rsid w:val="001E7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1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1E4"/>
    <w:rPr>
      <w:b/>
      <w:smallCaps/>
    </w:rPr>
  </w:style>
  <w:style w:type="paragraph" w:customStyle="1" w:styleId="TableListNumber">
    <w:name w:val="Table List Number"/>
    <w:basedOn w:val="ListNumber"/>
    <w:rsid w:val="001E7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1E4"/>
    <w:pPr>
      <w:numPr>
        <w:numId w:val="8"/>
      </w:numPr>
    </w:pPr>
  </w:style>
  <w:style w:type="paragraph" w:customStyle="1" w:styleId="ListAlpha2">
    <w:name w:val="List Alpha 2"/>
    <w:basedOn w:val="List2"/>
    <w:rsid w:val="001E71E4"/>
    <w:pPr>
      <w:numPr>
        <w:numId w:val="7"/>
      </w:numPr>
    </w:pPr>
  </w:style>
  <w:style w:type="paragraph" w:styleId="List2">
    <w:name w:val="List 2"/>
    <w:basedOn w:val="BodyText"/>
    <w:rsid w:val="001E7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1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1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1E4"/>
    <w:pPr>
      <w:numPr>
        <w:numId w:val="3"/>
      </w:numPr>
    </w:pPr>
  </w:style>
  <w:style w:type="paragraph" w:styleId="ListContinue2">
    <w:name w:val="List Continue 2"/>
    <w:basedOn w:val="List2"/>
    <w:rsid w:val="001E71E4"/>
    <w:pPr>
      <w:ind w:firstLine="0"/>
    </w:pPr>
  </w:style>
  <w:style w:type="paragraph" w:styleId="ListContinue3">
    <w:name w:val="List Continue 3"/>
    <w:basedOn w:val="List3"/>
    <w:rsid w:val="001E71E4"/>
    <w:pPr>
      <w:ind w:left="1021" w:firstLine="0"/>
    </w:pPr>
  </w:style>
  <w:style w:type="paragraph" w:styleId="ListContinue4">
    <w:name w:val="List Continue 4"/>
    <w:basedOn w:val="List4"/>
    <w:rsid w:val="001E71E4"/>
    <w:pPr>
      <w:ind w:firstLine="0"/>
    </w:pPr>
  </w:style>
  <w:style w:type="paragraph" w:styleId="ListContinue5">
    <w:name w:val="List Continue 5"/>
    <w:basedOn w:val="List5"/>
    <w:rsid w:val="001E71E4"/>
    <w:pPr>
      <w:ind w:firstLine="0"/>
    </w:pPr>
  </w:style>
  <w:style w:type="paragraph" w:styleId="ListNumber3">
    <w:name w:val="List Number 3"/>
    <w:basedOn w:val="List3"/>
    <w:rsid w:val="001E71E4"/>
    <w:pPr>
      <w:numPr>
        <w:numId w:val="4"/>
      </w:numPr>
    </w:pPr>
  </w:style>
  <w:style w:type="paragraph" w:styleId="ListNumber4">
    <w:name w:val="List Number 4"/>
    <w:basedOn w:val="List4"/>
    <w:rsid w:val="001E71E4"/>
    <w:pPr>
      <w:numPr>
        <w:numId w:val="5"/>
      </w:numPr>
    </w:pPr>
  </w:style>
  <w:style w:type="paragraph" w:styleId="ListNumber5">
    <w:name w:val="List Number 5"/>
    <w:basedOn w:val="List5"/>
    <w:rsid w:val="001E71E4"/>
    <w:pPr>
      <w:numPr>
        <w:numId w:val="6"/>
      </w:numPr>
    </w:pPr>
  </w:style>
  <w:style w:type="paragraph" w:styleId="BlockText">
    <w:name w:val="Block Text"/>
    <w:basedOn w:val="Normal"/>
    <w:rsid w:val="001E7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1E4"/>
    <w:rPr>
      <w:sz w:val="16"/>
      <w:vertAlign w:val="superscript"/>
    </w:rPr>
  </w:style>
  <w:style w:type="character" w:customStyle="1" w:styleId="Symbols">
    <w:name w:val="Symbols"/>
    <w:basedOn w:val="DefaultParagraphFont"/>
    <w:rsid w:val="001E71E4"/>
    <w:rPr>
      <w:rFonts w:ascii="Symbol" w:hAnsi="Symbol"/>
    </w:rPr>
  </w:style>
  <w:style w:type="character" w:customStyle="1" w:styleId="MenuOptions">
    <w:name w:val="Menu Options"/>
    <w:basedOn w:val="DefaultParagraphFont"/>
    <w:rsid w:val="001E7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1E4"/>
    <w:rPr>
      <w:b/>
    </w:rPr>
  </w:style>
  <w:style w:type="character" w:customStyle="1" w:styleId="Underlined">
    <w:name w:val="Underlined"/>
    <w:basedOn w:val="DefaultParagraphFont"/>
    <w:rsid w:val="001E71E4"/>
    <w:rPr>
      <w:u w:val="single"/>
    </w:rPr>
  </w:style>
  <w:style w:type="paragraph" w:customStyle="1" w:styleId="TableBodyTextRight">
    <w:name w:val="Table Body Text Right"/>
    <w:basedOn w:val="TableBodyText"/>
    <w:rsid w:val="001E7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1E4"/>
    <w:rPr>
      <w:sz w:val="18"/>
    </w:rPr>
  </w:style>
  <w:style w:type="paragraph" w:customStyle="1" w:styleId="BodySmallRight">
    <w:name w:val="Body Small Right"/>
    <w:basedOn w:val="BodyTextRight"/>
    <w:rsid w:val="001E71E4"/>
    <w:rPr>
      <w:sz w:val="18"/>
      <w:szCs w:val="18"/>
    </w:rPr>
  </w:style>
  <w:style w:type="paragraph" w:customStyle="1" w:styleId="MarginEdition">
    <w:name w:val="Margin Edition"/>
    <w:basedOn w:val="MarginNote"/>
    <w:rsid w:val="001E7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1E4"/>
    <w:rPr>
      <w:sz w:val="2"/>
      <w:szCs w:val="2"/>
    </w:rPr>
  </w:style>
  <w:style w:type="character" w:customStyle="1" w:styleId="Small">
    <w:name w:val="Small"/>
    <w:basedOn w:val="DefaultParagraphFont"/>
    <w:rsid w:val="001E71E4"/>
    <w:rPr>
      <w:sz w:val="16"/>
    </w:rPr>
  </w:style>
  <w:style w:type="paragraph" w:customStyle="1" w:styleId="WideTable">
    <w:name w:val="Wide Table"/>
    <w:basedOn w:val="Normal"/>
    <w:rsid w:val="001E7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1E4"/>
  </w:style>
  <w:style w:type="paragraph" w:styleId="Quote">
    <w:name w:val="Quote"/>
    <w:basedOn w:val="Heading1"/>
    <w:link w:val="QuoteChar"/>
    <w:qFormat/>
    <w:rsid w:val="001E7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1E4"/>
    <w:pPr>
      <w:pageBreakBefore/>
    </w:pPr>
  </w:style>
  <w:style w:type="paragraph" w:customStyle="1" w:styleId="Border">
    <w:name w:val="Border"/>
    <w:basedOn w:val="Normal"/>
    <w:qFormat/>
    <w:rsid w:val="001E7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1E4"/>
    <w:rPr>
      <w:u w:val="single"/>
    </w:rPr>
  </w:style>
  <w:style w:type="character" w:customStyle="1" w:styleId="BoldandItalics">
    <w:name w:val="Bold and Italics"/>
    <w:qFormat/>
    <w:rsid w:val="001E71E4"/>
    <w:rPr>
      <w:b/>
      <w:i/>
      <w:u w:val="none"/>
    </w:rPr>
  </w:style>
  <w:style w:type="paragraph" w:styleId="BalloonText">
    <w:name w:val="Balloon Text"/>
    <w:basedOn w:val="Normal"/>
    <w:link w:val="BalloonTextChar"/>
    <w:rsid w:val="001E7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1E4"/>
    <w:pPr>
      <w:spacing w:before="0" w:after="0"/>
    </w:pPr>
  </w:style>
  <w:style w:type="paragraph" w:customStyle="1" w:styleId="BodyTextBold">
    <w:name w:val="Body Text Bold"/>
    <w:basedOn w:val="BodyText"/>
    <w:qFormat/>
    <w:rsid w:val="001E71E4"/>
    <w:rPr>
      <w:b/>
    </w:rPr>
  </w:style>
  <w:style w:type="character" w:styleId="Hyperlink">
    <w:name w:val="Hyperlink"/>
    <w:basedOn w:val="DefaultParagraphFont"/>
    <w:uiPriority w:val="99"/>
    <w:unhideWhenUsed/>
    <w:rsid w:val="00166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4491</Characters>
  <Application>Microsoft Office Word</Application>
  <DocSecurity>0</DocSecurity>
  <Lines>187</Lines>
  <Paragraphs>97</Paragraphs>
  <ScaleCrop>false</ScaleCrop>
  <Company>Author-it Software Corporation Ltd.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MSMRVT201 Apply technical knowledge of recreational vehicle manufacturing to work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2022-04-19T09:14:00Z</dcterms:created>
  <dcterms:modified xsi:type="dcterms:W3CDTF">2022-04-19T09:14:00Z</dcterms:modified>
</cp:coreProperties>
</file>