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B90" w:rsidP="00B21B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MSMPMC403 Set up and optimise glass forming process</w:t>
      </w:r>
      <w:r>
        <w:fldChar w:fldCharType="end"/>
      </w:r>
    </w:p>
    <w:p w:rsidR="00B21B90" w:rsidP="00B21B90">
      <w:pPr>
        <w:pStyle w:val="Version"/>
        <w:sectPr w:rsidSect="00DE7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B63" w:rsidP="00DE7B63">
      <w:pPr>
        <w:pStyle w:val="SuperHeading"/>
      </w:pPr>
      <w:r w:rsidRPr="00DE7B63">
        <w:t>MSMPMC403 Set up and optimise glass forming process</w:t>
      </w:r>
    </w:p>
    <w:p w:rsidR="00000000" w:rsidRPr="00DE7B63" w:rsidP="00DE7B63">
      <w:pPr>
        <w:pStyle w:val="Heading1"/>
      </w:pPr>
      <w:bookmarkStart w:id="1" w:name="O_1010443"/>
      <w:bookmarkEnd w:id="1"/>
      <w:r w:rsidRPr="00DE7B63">
        <w:t>Modification History</w:t>
      </w:r>
    </w:p>
    <w:p w:rsidR="00000000" w:rsidRPr="00DE7B63" w:rsidP="00B21B90">
      <w:pPr>
        <w:pStyle w:val="BodyText"/>
      </w:pPr>
      <w:r w:rsidRPr="00DE7B63">
        <w:t>Release 1. New unit. Supersedes and is equivalent to PMC553040 Set up and optimise glass forming process</w:t>
      </w:r>
    </w:p>
    <w:p w:rsidR="00000000" w:rsidRPr="00DE7B63" w:rsidP="00DE7B63">
      <w:pPr>
        <w:pStyle w:val="Heading1"/>
      </w:pPr>
      <w:bookmarkStart w:id="2" w:name="O_1010451"/>
      <w:bookmarkEnd w:id="2"/>
      <w:r w:rsidRPr="00DE7B63">
        <w:t>Application</w:t>
      </w:r>
    </w:p>
    <w:p w:rsidR="00000000" w:rsidRPr="00DE7B63" w:rsidP="00B21B90">
      <w:pPr>
        <w:pStyle w:val="BodyText"/>
      </w:pPr>
      <w:r w:rsidRPr="00DE7B63">
        <w:t>This unit describes the skills and knowledge required to set up and optimise a glass formi</w:t>
      </w:r>
      <w:r w:rsidRPr="00DE7B63">
        <w:t>ng process. It applies to forming of glass as typically used in production of flat glass, glass containers and glass fibre products.</w:t>
      </w:r>
    </w:p>
    <w:p w:rsidR="00000000" w:rsidRPr="00DE7B63" w:rsidP="00B21B90">
      <w:pPr>
        <w:pStyle w:val="BodyText"/>
      </w:pPr>
      <w:r w:rsidRPr="00DE7B63">
        <w:t>This unit applies to experienced operators, leading hands, supervisors or those in similar roles who are required to perfo</w:t>
      </w:r>
      <w:r w:rsidRPr="00DE7B63">
        <w:t xml:space="preserve">rm shutdown and isolation procedures, prepare and set up equipment, perform changeovers, make adjustments to optimise process, remedy faults or non-conformity and solve problems within area of responsibility.   </w:t>
      </w:r>
    </w:p>
    <w:p w:rsidR="00000000" w:rsidRPr="00DE7B63" w:rsidP="00B21B90">
      <w:pPr>
        <w:pStyle w:val="BodyText"/>
      </w:pPr>
      <w:r w:rsidRPr="00DE7B63">
        <w:t>This unit applies to an experienced operato</w:t>
      </w:r>
      <w:r w:rsidRPr="00DE7B63">
        <w:t>r demonstrating broad theoretical and technical knowledge and well-developed skills in situations that require some discretion and judgement. The experienced operator may work alone or as part of a team or group and in liaison with other shift team members</w:t>
      </w:r>
      <w:r w:rsidRPr="00DE7B63">
        <w:t xml:space="preserve">, team leader and supervisor. </w:t>
      </w:r>
    </w:p>
    <w:p w:rsidR="00B21B90" w:rsidP="00B21B90">
      <w:pPr>
        <w:pStyle w:val="BodyText"/>
      </w:pPr>
      <w:r w:rsidRPr="00DE7B63">
        <w:t>No licensing or certification requirements exist at the time of publication. Relevant legislation, industry standards and codes of practice within Australia must be applied.</w:t>
      </w:r>
    </w:p>
    <w:p w:rsidR="00000000" w:rsidRPr="00DE7B63" w:rsidP="00DE7B63">
      <w:pPr>
        <w:pStyle w:val="Heading1"/>
      </w:pPr>
      <w:bookmarkStart w:id="3" w:name="O_1010450"/>
      <w:bookmarkEnd w:id="3"/>
      <w:r w:rsidRPr="00DE7B63">
        <w:t>Pre-requisite Unit</w:t>
      </w:r>
    </w:p>
    <w:p w:rsidR="00000000" w:rsidRPr="00DE7B63" w:rsidP="00B21B90">
      <w:pPr>
        <w:pStyle w:val="BodyText"/>
      </w:pPr>
      <w:r w:rsidRPr="00DE7B63">
        <w:t>Nil</w:t>
      </w:r>
    </w:p>
    <w:p w:rsidR="00000000" w:rsidRPr="00DE7B63" w:rsidP="00DE7B63">
      <w:pPr>
        <w:pStyle w:val="Heading1"/>
      </w:pPr>
      <w:bookmarkStart w:id="4" w:name="O_1010449"/>
      <w:bookmarkEnd w:id="4"/>
      <w:r w:rsidRPr="00DE7B63">
        <w:t>Competency Field</w:t>
      </w:r>
    </w:p>
    <w:p w:rsidR="00000000" w:rsidRPr="00DE7B63" w:rsidP="00B21B90">
      <w:pPr>
        <w:pStyle w:val="BodyText"/>
      </w:pPr>
      <w:r w:rsidRPr="00DE7B63">
        <w:t>Operations</w:t>
      </w:r>
    </w:p>
    <w:p w:rsidR="00000000" w:rsidRPr="00DE7B63" w:rsidP="00DE7B63">
      <w:pPr>
        <w:pStyle w:val="Heading1"/>
      </w:pPr>
      <w:bookmarkStart w:id="5" w:name="O_1010447"/>
      <w:bookmarkEnd w:id="5"/>
      <w:r w:rsidRPr="00DE7B63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rPr>
                <w:rStyle w:val="SpecialBold"/>
              </w:rPr>
              <w:t>Performance Criteria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1. Prepare for equipment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>1.1 Determine the product to be manufactured</w:t>
            </w:r>
          </w:p>
          <w:p w:rsidR="00000000" w:rsidRPr="00DE7B63" w:rsidP="00DE7B63">
            <w:pPr>
              <w:pStyle w:val="BodyText"/>
            </w:pPr>
            <w:r w:rsidRPr="00DE7B63">
              <w:t>1.2 Ensure that the equipment change parts, ancillaries and fixtures are ava</w:t>
            </w:r>
            <w:r w:rsidRPr="00DE7B63">
              <w:t xml:space="preserve">ilable </w:t>
            </w:r>
          </w:p>
          <w:p w:rsidR="00000000" w:rsidRPr="00DE7B63" w:rsidP="00DE7B63">
            <w:pPr>
              <w:pStyle w:val="BodyText"/>
            </w:pPr>
            <w:r w:rsidRPr="00DE7B63">
              <w:t>1.3 Perform pre-instalment equipment preparation according to procedures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1.4 Ensure that the equipment is in a safe condition for use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 xml:space="preserve">2. Remove current equipment and/or tooling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 xml:space="preserve">2.1 Identify and implement all safety and emergency procedures 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2.2 Shut down equipment 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2.3 Isolate equipment 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2.4 Remove ancillary equipment 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2.5 Complete records and logs for removal of current equipment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 xml:space="preserve">3. Install and set up new equipment an/or tooling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>3.1 Perform required checks and tests prior to installation</w:t>
            </w:r>
          </w:p>
          <w:p w:rsidR="00000000" w:rsidRPr="00DE7B63" w:rsidP="00DE7B63">
            <w:pPr>
              <w:pStyle w:val="BodyText"/>
            </w:pPr>
            <w:r w:rsidRPr="00DE7B63">
              <w:t>3</w:t>
            </w:r>
            <w:r w:rsidRPr="00DE7B63">
              <w:t>.2 Identify any faults in equipment or tooling and take appropriate action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3.3 Install and set up appropriate ancillary equipment 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3.4 Set up equipment and tooling as required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 xml:space="preserve">4. Monitor, interpret data and adjust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 xml:space="preserve">4.1 Monitor process data 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4.2 </w:t>
            </w:r>
            <w:r w:rsidRPr="00DE7B63">
              <w:t>Ensure forming equipment start-up function complies with work instructions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4.3 Operate glass forming equipment </w:t>
            </w:r>
          </w:p>
          <w:p w:rsidR="00000000" w:rsidRPr="00DE7B63" w:rsidP="00DE7B63">
            <w:pPr>
              <w:pStyle w:val="BodyText"/>
            </w:pPr>
            <w:r w:rsidRPr="00DE7B63">
              <w:t>4.4 Monitor plant and process and deduce conditions of materials in process and products being made</w:t>
            </w:r>
          </w:p>
          <w:p w:rsidR="00000000" w:rsidRPr="00DE7B63" w:rsidP="00DE7B63">
            <w:pPr>
              <w:pStyle w:val="BodyText"/>
            </w:pPr>
            <w:r w:rsidRPr="00DE7B63">
              <w:t>4.5 Take appropriate action to improve proce</w:t>
            </w:r>
            <w:r w:rsidRPr="00DE7B63">
              <w:t>ss operation</w:t>
            </w:r>
          </w:p>
          <w:p w:rsidR="00000000" w:rsidRPr="00DE7B63" w:rsidP="00DE7B63">
            <w:pPr>
              <w:pStyle w:val="BodyText"/>
            </w:pPr>
            <w:r w:rsidRPr="00DE7B63">
              <w:t>4.6 Check that process operation has improved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4.7 Monitor and adjust until production is as required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 xml:space="preserve">5. Sample, test and record product data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>5.1 Sample product in line with enterprise requirements</w:t>
            </w:r>
          </w:p>
          <w:p w:rsidR="00000000" w:rsidRPr="00DE7B63" w:rsidP="00DE7B63">
            <w:pPr>
              <w:pStyle w:val="BodyText"/>
            </w:pPr>
            <w:r w:rsidRPr="00DE7B63">
              <w:t>5.2 Complete appropriate test to enterprise and client requirements</w:t>
            </w:r>
          </w:p>
          <w:p w:rsidR="00000000" w:rsidRPr="00DE7B63" w:rsidP="00DE7B63">
            <w:pPr>
              <w:pStyle w:val="BodyText"/>
            </w:pPr>
            <w:r w:rsidRPr="00DE7B63">
              <w:t>5.3 Identify variations from process parameters and take appropriate action</w:t>
            </w:r>
          </w:p>
          <w:p w:rsidR="00000000" w:rsidRPr="00DE7B63" w:rsidP="00DE7B63">
            <w:pPr>
              <w:pStyle w:val="BodyText"/>
            </w:pPr>
            <w:r w:rsidRPr="00DE7B63">
              <w:t>5.4 Measure, graph and record operating parameters, according to enterprise requirements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5.5 Record test results</w:t>
            </w:r>
            <w:r w:rsidRPr="00DE7B63">
              <w:t xml:space="preserve"> 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6. Shut 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 xml:space="preserve">6.1 Ensure equipment is left in a safe manner for shutdown 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6.2 Shut down equipment and complete appropriate records and logs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 xml:space="preserve">7. Prepare equipment for maintenance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 xml:space="preserve">7.1 Isolate equipment </w:t>
            </w:r>
          </w:p>
          <w:p w:rsidR="00000000" w:rsidRPr="00DE7B63" w:rsidP="00DE7B63">
            <w:pPr>
              <w:pStyle w:val="BodyText"/>
            </w:pPr>
            <w:r w:rsidRPr="00DE7B63">
              <w:t>7.2 Make sure area is clear and safe for m</w:t>
            </w:r>
            <w:r w:rsidRPr="00DE7B63">
              <w:t>aintenance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7.3 Complete all records and logs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 xml:space="preserve">8. Rectify routine problems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 xml:space="preserve">8.1 Identify and rectify routine problems 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8.2 Maintain records and log books of equipment operations </w:t>
            </w:r>
          </w:p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>8.3 Identify non-routine problems and report to designated person</w:t>
            </w:r>
          </w:p>
        </w:tc>
      </w:tr>
      <w:tr w:rsidTr="00B21B90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B63">
            <w:pPr>
              <w:pStyle w:val="BodyText"/>
              <w:rPr>
                <w:lang w:val="en-NZ"/>
              </w:rPr>
            </w:pPr>
            <w:r w:rsidRPr="00DE7B63">
              <w:t xml:space="preserve">9. Control hazards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B63" w:rsidP="00DE7B63">
            <w:pPr>
              <w:pStyle w:val="BodyText"/>
            </w:pPr>
            <w:r w:rsidRPr="00DE7B63">
              <w:t xml:space="preserve">9.1 Identify glass forming hazards </w:t>
            </w:r>
          </w:p>
          <w:p w:rsidR="00000000" w:rsidRPr="00DE7B63" w:rsidP="00DE7B63">
            <w:pPr>
              <w:pStyle w:val="BodyText"/>
            </w:pPr>
            <w:r w:rsidRPr="00DE7B63">
              <w:t>9.2 Assess the risks arising from those hazards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9.3 Implement measures to control those risks </w:t>
            </w:r>
          </w:p>
          <w:p w:rsidR="00000000" w:rsidRPr="00DE7B63" w:rsidP="00DE7B63">
            <w:pPr>
              <w:pStyle w:val="BodyText"/>
            </w:pPr>
            <w:r w:rsidRPr="00DE7B63">
              <w:t xml:space="preserve">9.4 Shut down equipment in an emergency </w:t>
            </w:r>
          </w:p>
        </w:tc>
      </w:tr>
    </w:tbl>
    <w:p w:rsidR="00000000" w:rsidRPr="00DE7B63" w:rsidP="00DE7B63">
      <w:pPr>
        <w:pStyle w:val="BodyText"/>
      </w:pPr>
    </w:p>
    <w:p w:rsidR="00000000" w:rsidRPr="00DE7B63" w:rsidP="00DE7B63">
      <w:pPr>
        <w:pStyle w:val="AllowPageBreak"/>
      </w:pPr>
    </w:p>
    <w:p w:rsidR="00000000" w:rsidRPr="00DE7B63" w:rsidP="00DE7B63">
      <w:pPr>
        <w:pStyle w:val="Heading1"/>
      </w:pPr>
      <w:bookmarkStart w:id="6" w:name="O_1010446"/>
      <w:bookmarkEnd w:id="6"/>
      <w:r w:rsidRPr="00DE7B63">
        <w:t>Foundation Skills</w:t>
      </w:r>
    </w:p>
    <w:p w:rsidR="00000000" w:rsidRPr="00DE7B63" w:rsidP="00B21B90">
      <w:pPr>
        <w:pStyle w:val="BodyText"/>
      </w:pPr>
      <w:r w:rsidRPr="00DE7B63">
        <w:t>This section describes th</w:t>
      </w:r>
      <w:r w:rsidRPr="00DE7B63">
        <w:t>ose language, literacy, numeracy and employment skills that are essential to performance.</w:t>
      </w:r>
    </w:p>
    <w:p w:rsidR="00B21B90" w:rsidP="00B21B90">
      <w:pPr>
        <w:pStyle w:val="BodyText"/>
      </w:pPr>
      <w:r w:rsidRPr="00DE7B63">
        <w:t>Foundation skills essential to performance are explicit in the performance criteria of this unit of competency.</w:t>
      </w:r>
    </w:p>
    <w:p w:rsidR="00000000" w:rsidRPr="00DE7B63" w:rsidP="00DE7B63">
      <w:pPr>
        <w:pStyle w:val="Heading1"/>
      </w:pPr>
      <w:bookmarkStart w:id="7" w:name="O_1010444"/>
      <w:bookmarkEnd w:id="7"/>
      <w:r w:rsidRPr="00DE7B63">
        <w:t>Unit Mapping Information</w:t>
      </w:r>
    </w:p>
    <w:p w:rsidR="00000000" w:rsidRPr="00DE7B63" w:rsidP="00B21B90">
      <w:pPr>
        <w:pStyle w:val="BodyText"/>
      </w:pPr>
      <w:r w:rsidRPr="00DE7B63">
        <w:t xml:space="preserve">Release </w:t>
      </w:r>
      <w:r w:rsidRPr="00DE7B63">
        <w:t>1. New unit. Supersedes and is equivalent to PMC553040 Set up and optimise glass forming process</w:t>
      </w:r>
    </w:p>
    <w:p w:rsidR="00000000" w:rsidRPr="00DE7B63" w:rsidP="00DE7B63">
      <w:pPr>
        <w:pStyle w:val="Heading1"/>
      </w:pPr>
      <w:bookmarkStart w:id="8" w:name="O_1010437"/>
      <w:bookmarkEnd w:id="8"/>
      <w:r w:rsidRPr="00DE7B63">
        <w:t>Links</w:t>
      </w:r>
    </w:p>
    <w:p w:rsidR="00000000" w:rsidRPr="00DE7B63" w:rsidP="00B21B90">
      <w:pPr>
        <w:pStyle w:val="BodyText"/>
      </w:pPr>
      <w:r w:rsidRPr="00DE7B63">
        <w:t>Companion Volume Implementati</w:t>
      </w:r>
      <w:r w:rsidRPr="00DE7B63">
        <w:t xml:space="preserve">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D4CE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E7B63" w:rsidP="00DE7B63"/>
    <w:sectPr w:rsidSect="00DE7B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B63" w:rsidRPr="00B21B90" w:rsidP="00B21B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90" w:rsidP="00DE7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B90" w:rsidP="00DE7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1B90" w:rsidP="00DE7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B63" w:rsidRPr="00B21B90" w:rsidP="00B21B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90" w:rsidRPr="002D2AF8" w:rsidP="00DE7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MSMPMC403 Set up and optimise glass forming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21B90" w:rsidP="00DE7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B63"/>
  </w:style>
  <w:style w:type="character" w:customStyle="1" w:styleId="Heading1Char">
    <w:name w:val="Heading 1 Char"/>
    <w:basedOn w:val="DefaultParagraphFont"/>
    <w:link w:val="Heading1"/>
    <w:rsid w:val="00DE7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B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7B63"/>
    <w:rPr>
      <w:b/>
      <w:spacing w:val="0"/>
    </w:rPr>
  </w:style>
  <w:style w:type="character" w:styleId="Emphasis">
    <w:name w:val="Emphasis"/>
    <w:basedOn w:val="DefaultParagraphFont"/>
    <w:qFormat/>
    <w:rsid w:val="00DE7B63"/>
    <w:rPr>
      <w:i/>
    </w:rPr>
  </w:style>
  <w:style w:type="paragraph" w:customStyle="1" w:styleId="SuperHeading">
    <w:name w:val="SuperHeading"/>
    <w:basedOn w:val="Normal"/>
    <w:rsid w:val="00DE7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B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B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7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B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B63"/>
  </w:style>
  <w:style w:type="paragraph" w:styleId="TableofFigures">
    <w:name w:val="table of figures"/>
    <w:basedOn w:val="Normal"/>
    <w:next w:val="Normal"/>
    <w:semiHidden/>
    <w:rsid w:val="00DE7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B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7B63"/>
    <w:rPr>
      <w:rFonts w:ascii="Wingdings" w:hAnsi="Wingdings"/>
    </w:rPr>
  </w:style>
  <w:style w:type="paragraph" w:customStyle="1" w:styleId="TableHeading">
    <w:name w:val="Table Heading"/>
    <w:basedOn w:val="HeadingBase"/>
    <w:rsid w:val="00DE7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B63"/>
    <w:rPr>
      <w:color w:val="0033CC"/>
      <w:u w:val="none"/>
    </w:rPr>
  </w:style>
  <w:style w:type="paragraph" w:customStyle="1" w:styleId="BodyTextRight">
    <w:name w:val="Body Text Right"/>
    <w:basedOn w:val="BodyText"/>
    <w:rsid w:val="00DE7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B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B63"/>
    <w:rPr>
      <w:sz w:val="32"/>
    </w:rPr>
  </w:style>
  <w:style w:type="paragraph" w:customStyle="1" w:styleId="HeadingProcedure">
    <w:name w:val="Heading Procedure"/>
    <w:basedOn w:val="HeadingBase"/>
    <w:next w:val="Normal"/>
    <w:rsid w:val="00DE7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B63"/>
    <w:pPr>
      <w:spacing w:before="60" w:after="60"/>
    </w:pPr>
  </w:style>
  <w:style w:type="paragraph" w:styleId="ListContinue">
    <w:name w:val="List Continue"/>
    <w:basedOn w:val="List"/>
    <w:rsid w:val="00DE7B63"/>
    <w:pPr>
      <w:ind w:firstLine="0"/>
    </w:pPr>
  </w:style>
  <w:style w:type="paragraph" w:customStyle="1" w:styleId="ListNote">
    <w:name w:val="List Note"/>
    <w:basedOn w:val="List"/>
    <w:rsid w:val="00DE7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B63"/>
    <w:rPr>
      <w:rFonts w:ascii="Courier New" w:hAnsi="Courier New"/>
    </w:rPr>
  </w:style>
  <w:style w:type="paragraph" w:customStyle="1" w:styleId="NoteBullet">
    <w:name w:val="Note Bullet"/>
    <w:basedOn w:val="Note"/>
    <w:rsid w:val="00DE7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B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7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B63"/>
    <w:rPr>
      <w:b/>
      <w:smallCaps/>
    </w:rPr>
  </w:style>
  <w:style w:type="paragraph" w:customStyle="1" w:styleId="TableListNumber">
    <w:name w:val="Table List Number"/>
    <w:basedOn w:val="ListNumber"/>
    <w:rsid w:val="00DE7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B63"/>
    <w:pPr>
      <w:numPr>
        <w:numId w:val="7"/>
      </w:numPr>
    </w:pPr>
  </w:style>
  <w:style w:type="paragraph" w:customStyle="1" w:styleId="ListAlpha2">
    <w:name w:val="List Alpha 2"/>
    <w:basedOn w:val="List2"/>
    <w:rsid w:val="00DE7B63"/>
    <w:pPr>
      <w:numPr>
        <w:numId w:val="6"/>
      </w:numPr>
    </w:pPr>
  </w:style>
  <w:style w:type="paragraph" w:styleId="List2">
    <w:name w:val="List 2"/>
    <w:basedOn w:val="BodyText"/>
    <w:rsid w:val="00DE7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B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B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7B63"/>
    <w:pPr>
      <w:numPr>
        <w:numId w:val="2"/>
      </w:numPr>
    </w:pPr>
  </w:style>
  <w:style w:type="paragraph" w:styleId="ListContinue2">
    <w:name w:val="List Continue 2"/>
    <w:basedOn w:val="List2"/>
    <w:rsid w:val="00DE7B63"/>
    <w:pPr>
      <w:ind w:firstLine="0"/>
    </w:pPr>
  </w:style>
  <w:style w:type="paragraph" w:styleId="ListContinue3">
    <w:name w:val="List Continue 3"/>
    <w:basedOn w:val="List3"/>
    <w:rsid w:val="00DE7B63"/>
    <w:pPr>
      <w:ind w:left="1021" w:firstLine="0"/>
    </w:pPr>
  </w:style>
  <w:style w:type="paragraph" w:styleId="ListContinue4">
    <w:name w:val="List Continue 4"/>
    <w:basedOn w:val="List4"/>
    <w:rsid w:val="00DE7B63"/>
    <w:pPr>
      <w:ind w:firstLine="0"/>
    </w:pPr>
  </w:style>
  <w:style w:type="paragraph" w:styleId="ListContinue5">
    <w:name w:val="List Continue 5"/>
    <w:basedOn w:val="List5"/>
    <w:rsid w:val="00DE7B63"/>
    <w:pPr>
      <w:ind w:firstLine="0"/>
    </w:pPr>
  </w:style>
  <w:style w:type="paragraph" w:styleId="ListNumber3">
    <w:name w:val="List Number 3"/>
    <w:basedOn w:val="List3"/>
    <w:rsid w:val="00DE7B63"/>
    <w:pPr>
      <w:numPr>
        <w:numId w:val="3"/>
      </w:numPr>
    </w:pPr>
  </w:style>
  <w:style w:type="paragraph" w:styleId="ListNumber4">
    <w:name w:val="List Number 4"/>
    <w:basedOn w:val="List4"/>
    <w:rsid w:val="00DE7B63"/>
    <w:pPr>
      <w:numPr>
        <w:numId w:val="4"/>
      </w:numPr>
    </w:pPr>
  </w:style>
  <w:style w:type="paragraph" w:styleId="ListNumber5">
    <w:name w:val="List Number 5"/>
    <w:basedOn w:val="List5"/>
    <w:rsid w:val="00DE7B63"/>
    <w:pPr>
      <w:numPr>
        <w:numId w:val="5"/>
      </w:numPr>
    </w:pPr>
  </w:style>
  <w:style w:type="paragraph" w:styleId="BlockText">
    <w:name w:val="Block Text"/>
    <w:basedOn w:val="Normal"/>
    <w:rsid w:val="00DE7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B63"/>
    <w:rPr>
      <w:sz w:val="16"/>
      <w:vertAlign w:val="superscript"/>
    </w:rPr>
  </w:style>
  <w:style w:type="character" w:customStyle="1" w:styleId="Symbols">
    <w:name w:val="Symbols"/>
    <w:basedOn w:val="DefaultParagraphFont"/>
    <w:rsid w:val="00DE7B63"/>
    <w:rPr>
      <w:rFonts w:ascii="Symbol" w:hAnsi="Symbol"/>
    </w:rPr>
  </w:style>
  <w:style w:type="character" w:customStyle="1" w:styleId="MenuOptions">
    <w:name w:val="Menu Options"/>
    <w:basedOn w:val="DefaultParagraphFont"/>
    <w:rsid w:val="00DE7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B63"/>
    <w:rPr>
      <w:b/>
    </w:rPr>
  </w:style>
  <w:style w:type="character" w:customStyle="1" w:styleId="Underlined">
    <w:name w:val="Underlined"/>
    <w:basedOn w:val="DefaultParagraphFont"/>
    <w:rsid w:val="00DE7B63"/>
    <w:rPr>
      <w:u w:val="single"/>
    </w:rPr>
  </w:style>
  <w:style w:type="paragraph" w:customStyle="1" w:styleId="TableBodyTextRight">
    <w:name w:val="Table Body Text Right"/>
    <w:basedOn w:val="TableBodyText"/>
    <w:rsid w:val="00DE7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B63"/>
    <w:rPr>
      <w:sz w:val="18"/>
    </w:rPr>
  </w:style>
  <w:style w:type="paragraph" w:customStyle="1" w:styleId="BodySmallRight">
    <w:name w:val="Body Small Right"/>
    <w:basedOn w:val="BodyTextRight"/>
    <w:rsid w:val="00DE7B63"/>
    <w:rPr>
      <w:sz w:val="18"/>
      <w:szCs w:val="18"/>
    </w:rPr>
  </w:style>
  <w:style w:type="paragraph" w:customStyle="1" w:styleId="MarginEdition">
    <w:name w:val="Margin Edition"/>
    <w:basedOn w:val="MarginNote"/>
    <w:rsid w:val="00DE7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B63"/>
    <w:rPr>
      <w:sz w:val="2"/>
      <w:szCs w:val="2"/>
    </w:rPr>
  </w:style>
  <w:style w:type="character" w:customStyle="1" w:styleId="Small">
    <w:name w:val="Small"/>
    <w:basedOn w:val="DefaultParagraphFont"/>
    <w:rsid w:val="00DE7B63"/>
    <w:rPr>
      <w:sz w:val="16"/>
    </w:rPr>
  </w:style>
  <w:style w:type="paragraph" w:customStyle="1" w:styleId="WideTable">
    <w:name w:val="Wide Table"/>
    <w:basedOn w:val="Normal"/>
    <w:rsid w:val="00DE7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B63"/>
  </w:style>
  <w:style w:type="paragraph" w:styleId="Quote">
    <w:name w:val="Quote"/>
    <w:basedOn w:val="Heading1"/>
    <w:link w:val="QuoteChar"/>
    <w:qFormat/>
    <w:rsid w:val="00DE7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B63"/>
    <w:pPr>
      <w:pageBreakBefore/>
    </w:pPr>
  </w:style>
  <w:style w:type="paragraph" w:customStyle="1" w:styleId="Border">
    <w:name w:val="Border"/>
    <w:basedOn w:val="Normal"/>
    <w:qFormat/>
    <w:rsid w:val="00DE7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B63"/>
    <w:rPr>
      <w:u w:val="single"/>
    </w:rPr>
  </w:style>
  <w:style w:type="character" w:customStyle="1" w:styleId="BoldandItalics">
    <w:name w:val="Bold and Italics"/>
    <w:qFormat/>
    <w:rsid w:val="00DE7B63"/>
    <w:rPr>
      <w:b/>
      <w:i/>
      <w:u w:val="none"/>
    </w:rPr>
  </w:style>
  <w:style w:type="paragraph" w:styleId="BalloonText">
    <w:name w:val="Balloon Text"/>
    <w:basedOn w:val="Normal"/>
    <w:link w:val="BalloonTextChar"/>
    <w:rsid w:val="00DE7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B63"/>
    <w:pPr>
      <w:spacing w:before="0" w:after="0"/>
    </w:pPr>
  </w:style>
  <w:style w:type="paragraph" w:customStyle="1" w:styleId="BodyTextBold">
    <w:name w:val="Body Text Bold"/>
    <w:basedOn w:val="BodyText"/>
    <w:qFormat/>
    <w:rsid w:val="00DE7B63"/>
    <w:rPr>
      <w:b/>
    </w:rPr>
  </w:style>
  <w:style w:type="character" w:styleId="Hyperlink">
    <w:name w:val="Hyperlink"/>
    <w:basedOn w:val="DefaultParagraphFont"/>
    <w:uiPriority w:val="99"/>
    <w:unhideWhenUsed/>
    <w:rsid w:val="00B21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3946</Characters>
  <Application>Microsoft Office Word</Application>
  <DocSecurity>0</DocSecurity>
  <Lines>123</Lines>
  <Paragraphs>87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MSMPMC403 Set up and optimise glass forming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