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1CB" w:rsidP="00D23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MSMPMC401 Set up and tune a process</w:t>
      </w:r>
      <w:r>
        <w:fldChar w:fldCharType="end"/>
      </w:r>
    </w:p>
    <w:p w:rsidR="00D231CB" w:rsidP="00D231CB">
      <w:pPr>
        <w:pStyle w:val="Version"/>
        <w:sectPr w:rsidSect="00A61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7AF" w:rsidP="00A617AF">
      <w:pPr>
        <w:pStyle w:val="SuperHeading"/>
      </w:pPr>
      <w:r w:rsidRPr="00A617AF">
        <w:t>MSMPMC401 Set up and tune a process</w:t>
      </w:r>
    </w:p>
    <w:p w:rsidR="00000000" w:rsidRPr="00A617AF" w:rsidP="00A617AF">
      <w:pPr>
        <w:pStyle w:val="Heading1"/>
      </w:pPr>
      <w:bookmarkStart w:id="1" w:name="O_1010405"/>
      <w:bookmarkEnd w:id="1"/>
      <w:r w:rsidRPr="00A617AF">
        <w:t>Modification History</w:t>
      </w:r>
    </w:p>
    <w:p w:rsidR="00000000" w:rsidRPr="00A617AF" w:rsidP="00D231CB">
      <w:pPr>
        <w:pStyle w:val="BodyText"/>
      </w:pPr>
      <w:r w:rsidRPr="00A617AF">
        <w:t>Release 1. New unit. Supersedes and is equivalent to PMC553000 Set up and tune a process</w:t>
      </w:r>
    </w:p>
    <w:p w:rsidR="00000000" w:rsidRPr="00A617AF" w:rsidP="00A617AF">
      <w:pPr>
        <w:pStyle w:val="Heading1"/>
      </w:pPr>
      <w:bookmarkStart w:id="2" w:name="O_1010413"/>
      <w:bookmarkEnd w:id="2"/>
      <w:r w:rsidRPr="00A617AF">
        <w:t>Application</w:t>
      </w:r>
    </w:p>
    <w:p w:rsidR="00000000" w:rsidRPr="00A617AF" w:rsidP="00D231CB">
      <w:pPr>
        <w:pStyle w:val="BodyText"/>
      </w:pPr>
      <w:r w:rsidRPr="00A617AF">
        <w:t>This unit describes the skills and knowledge required to set up and tune a process as typically required for start-</w:t>
      </w:r>
      <w:r w:rsidRPr="00A617AF">
        <w:t>up, job change and equipment changes in preparation for production.</w:t>
      </w:r>
    </w:p>
    <w:p w:rsidR="00000000" w:rsidRPr="00A617AF" w:rsidP="00D231CB">
      <w:pPr>
        <w:pStyle w:val="BodyText"/>
      </w:pPr>
      <w:r w:rsidRPr="00A617AF">
        <w:t xml:space="preserve">This unit applies to experienced operators, leading hands, supervisors or those in similar roles who are required to shut down and isolate equipment, prepare and set up equipment, adjust </w:t>
      </w:r>
      <w:r w:rsidRPr="00A617AF">
        <w:t xml:space="preserve">to remedy faults and non-conformity and solve problems within area of responsibility.   </w:t>
      </w:r>
    </w:p>
    <w:p w:rsidR="00000000" w:rsidRPr="00A617AF" w:rsidP="00D231CB">
      <w:pPr>
        <w:pStyle w:val="BodyText"/>
      </w:pPr>
      <w:r w:rsidRPr="00A617AF">
        <w:t>This unit applies to an experienced operator demonstrating broad theoretical and technical knowledge and well-developed skills in situations that require some discret</w:t>
      </w:r>
      <w:r w:rsidRPr="00A617AF">
        <w:t xml:space="preserve">ion and judgement. The experienced operator may work alone or as part of a team or group and in liaison with other shift team members, team leader and supervisor. </w:t>
      </w:r>
    </w:p>
    <w:p w:rsidR="00D231CB" w:rsidP="00D231CB">
      <w:pPr>
        <w:pStyle w:val="BodyText"/>
      </w:pPr>
      <w:r w:rsidRPr="00A617AF">
        <w:t>No licensing or certification requirements exist at the time of publication. Relevant legis</w:t>
      </w:r>
      <w:r w:rsidRPr="00A617AF">
        <w:t>lation, industry standards and codes of practice within Australia must be applied.</w:t>
      </w:r>
    </w:p>
    <w:p w:rsidR="00000000" w:rsidRPr="00A617AF" w:rsidP="00A617AF">
      <w:pPr>
        <w:pStyle w:val="Heading1"/>
      </w:pPr>
      <w:bookmarkStart w:id="3" w:name="O_1010412"/>
      <w:bookmarkEnd w:id="3"/>
      <w:r w:rsidRPr="00A617AF">
        <w:t>Pre-requisite Unit</w:t>
      </w:r>
    </w:p>
    <w:p w:rsidR="00000000" w:rsidRPr="00A617AF" w:rsidP="00D231CB">
      <w:pPr>
        <w:pStyle w:val="BodyText"/>
      </w:pPr>
      <w:r w:rsidRPr="00A617AF">
        <w:t>Nil</w:t>
      </w:r>
    </w:p>
    <w:p w:rsidR="00000000" w:rsidRPr="00A617AF" w:rsidP="00A617AF">
      <w:pPr>
        <w:pStyle w:val="Heading1"/>
      </w:pPr>
      <w:bookmarkStart w:id="4" w:name="O_1010411"/>
      <w:bookmarkEnd w:id="4"/>
      <w:r w:rsidRPr="00A617AF">
        <w:t>Competency Field</w:t>
      </w:r>
    </w:p>
    <w:p w:rsidR="00000000" w:rsidRPr="00A617AF" w:rsidP="00D231CB">
      <w:pPr>
        <w:pStyle w:val="BodyText"/>
      </w:pPr>
      <w:r w:rsidRPr="00A617AF">
        <w:t>Operations</w:t>
      </w:r>
    </w:p>
    <w:p w:rsidR="00000000" w:rsidRPr="00A617AF" w:rsidP="00A617AF">
      <w:pPr>
        <w:pStyle w:val="Heading1"/>
      </w:pPr>
      <w:bookmarkStart w:id="5" w:name="O_1010409"/>
      <w:bookmarkEnd w:id="5"/>
      <w:r w:rsidRPr="00A617AF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rPr>
                <w:rStyle w:val="SpecialBold"/>
              </w:rPr>
              <w:t>Performance Criteria</w:t>
            </w:r>
          </w:p>
        </w:tc>
      </w:tr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 xml:space="preserve">1. Prepare for equipment installation or change </w:t>
            </w:r>
            <w:r w:rsidRPr="00A617AF">
              <w:t>parts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t>1.1 Identify all safety and emergency procedures</w:t>
            </w:r>
          </w:p>
          <w:p w:rsidR="00000000" w:rsidRPr="00A617AF" w:rsidP="00A617AF">
            <w:pPr>
              <w:pStyle w:val="BodyText"/>
            </w:pPr>
            <w:r w:rsidRPr="00A617AF">
              <w:t xml:space="preserve">1.2 Shut down equipment in accordance with procedures and </w:t>
            </w:r>
            <w:r w:rsidRPr="00A617AF">
              <w:t>manufacturer specifications</w:t>
            </w:r>
          </w:p>
          <w:p w:rsidR="00000000" w:rsidRPr="00A617AF" w:rsidP="00A617AF">
            <w:pPr>
              <w:pStyle w:val="BodyText"/>
            </w:pPr>
            <w:r w:rsidRPr="00A617AF">
              <w:t xml:space="preserve">1.3 Isolate equipment </w:t>
            </w:r>
          </w:p>
          <w:p w:rsidR="00000000" w:rsidRPr="00A617AF" w:rsidP="00A617AF">
            <w:pPr>
              <w:pStyle w:val="BodyText"/>
            </w:pPr>
            <w:r w:rsidRPr="00A617AF">
              <w:t xml:space="preserve">1.4 Remove ancillary equipment </w:t>
            </w:r>
          </w:p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1.5 Complete records and logs for removal of equipment or change parts</w:t>
            </w:r>
          </w:p>
        </w:tc>
      </w:tr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 xml:space="preserve">2. Prepare the proess for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t>2.1 Consult the production schedule to determine the product to be manufactured</w:t>
            </w:r>
          </w:p>
          <w:p w:rsidR="00000000" w:rsidRPr="00A617AF" w:rsidP="00A617AF">
            <w:pPr>
              <w:pStyle w:val="BodyText"/>
            </w:pPr>
            <w:r w:rsidRPr="00A617AF">
              <w:t xml:space="preserve">2.2 Ensure that the raw materials are available </w:t>
            </w:r>
          </w:p>
          <w:p w:rsidR="00000000" w:rsidRPr="00A617AF" w:rsidP="00A617AF">
            <w:pPr>
              <w:pStyle w:val="BodyText"/>
            </w:pPr>
            <w:r w:rsidRPr="00A617AF">
              <w:t xml:space="preserve">2.3 Ensure that the equipment or change parts, ancillaries and fixtures are available </w:t>
            </w:r>
          </w:p>
          <w:p w:rsidR="00000000" w:rsidRPr="00A617AF" w:rsidP="00A617AF">
            <w:pPr>
              <w:pStyle w:val="BodyText"/>
            </w:pPr>
            <w:r w:rsidRPr="00A617AF">
              <w:t>2.4 Perform pre-instalment equipment pre</w:t>
            </w:r>
            <w:r w:rsidRPr="00A617AF">
              <w:t>paration according to procedures</w:t>
            </w:r>
          </w:p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2.5 Check that the equipment is in a safe condition for use</w:t>
            </w:r>
          </w:p>
        </w:tc>
      </w:tr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3. Set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t xml:space="preserve">3.1 Perform checks and tests to product and equipment specifications </w:t>
            </w:r>
          </w:p>
          <w:p w:rsidR="00000000" w:rsidRPr="00A617AF" w:rsidP="00A617AF">
            <w:pPr>
              <w:pStyle w:val="BodyText"/>
            </w:pPr>
            <w:r w:rsidRPr="00A617AF">
              <w:t>3.2 Check alignment of all equipment according to product specifications a</w:t>
            </w:r>
            <w:r w:rsidRPr="00A617AF">
              <w:t>nd procedures</w:t>
            </w:r>
          </w:p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3.3 Check that process or equipment is set up as required for the production schedule</w:t>
            </w:r>
          </w:p>
        </w:tc>
      </w:tr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4. Tune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t xml:space="preserve">4.1 Monitor operation and compare with standard operating procedures (SOPs) </w:t>
            </w:r>
          </w:p>
          <w:p w:rsidR="00000000" w:rsidRPr="00A617AF" w:rsidP="00A617AF">
            <w:pPr>
              <w:pStyle w:val="BodyText"/>
            </w:pPr>
            <w:r w:rsidRPr="00A617AF">
              <w:t>4.2 Identify any deviation from standard performance</w:t>
            </w:r>
          </w:p>
          <w:p w:rsidR="00000000" w:rsidRPr="00A617AF" w:rsidP="00A617AF">
            <w:pPr>
              <w:pStyle w:val="BodyText"/>
            </w:pPr>
            <w:r w:rsidRPr="00A617AF">
              <w:t>4.3 I</w:t>
            </w:r>
            <w:r w:rsidRPr="00A617AF">
              <w:t>dentify the cause of the deviation and act</w:t>
            </w:r>
          </w:p>
          <w:p w:rsidR="00000000" w:rsidRPr="00A617AF" w:rsidP="00A617AF">
            <w:pPr>
              <w:pStyle w:val="BodyText"/>
            </w:pPr>
            <w:r w:rsidRPr="00A617AF">
              <w:t>4.4 Adjust the equipment settings, process conditions or raw materials to bring production into specification</w:t>
            </w:r>
          </w:p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4.5 Continue monitoring operation and adjusting until product or equipment is within specification</w:t>
            </w:r>
          </w:p>
        </w:tc>
      </w:tr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5.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t>5.1 Identify routine and non-routine problems in the equipment or process</w:t>
            </w:r>
          </w:p>
          <w:p w:rsidR="00000000" w:rsidRPr="00A617AF" w:rsidP="00A617AF">
            <w:pPr>
              <w:pStyle w:val="BodyText"/>
            </w:pPr>
            <w:r w:rsidRPr="00A617AF">
              <w:t>5.2 Rectify problem using appropriate solution within area of responsibility</w:t>
            </w:r>
          </w:p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5.3 Report problems outside area of responsibility to designated person</w:t>
            </w:r>
          </w:p>
        </w:tc>
      </w:tr>
      <w:tr w:rsidTr="00D231C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F">
            <w:pPr>
              <w:pStyle w:val="BodyText"/>
              <w:rPr>
                <w:lang w:val="en-NZ"/>
              </w:rPr>
            </w:pPr>
            <w:r w:rsidRPr="00A617AF">
              <w:t>6. Contro</w:t>
            </w:r>
            <w:r w:rsidRPr="00A617AF">
              <w:t>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F" w:rsidP="00A617AF">
            <w:pPr>
              <w:pStyle w:val="BodyText"/>
            </w:pPr>
            <w:r w:rsidRPr="00A617AF">
              <w:t>6.1 Identify hazards associated with the equipment or process</w:t>
            </w:r>
          </w:p>
          <w:p w:rsidR="00000000" w:rsidRPr="00A617AF" w:rsidP="00A617AF">
            <w:pPr>
              <w:pStyle w:val="BodyText"/>
            </w:pPr>
            <w:r w:rsidRPr="00A617AF">
              <w:t>6.2 Assess the risks arising from those hazards</w:t>
            </w:r>
          </w:p>
          <w:p w:rsidR="00000000" w:rsidRPr="00A617AF" w:rsidP="00A617AF">
            <w:pPr>
              <w:pStyle w:val="BodyText"/>
            </w:pPr>
            <w:r w:rsidRPr="00A617AF">
              <w:t xml:space="preserve">6.3 Implement measures to control those risks </w:t>
            </w:r>
          </w:p>
        </w:tc>
      </w:tr>
    </w:tbl>
    <w:p w:rsidR="00000000" w:rsidRPr="00A617AF" w:rsidP="00A617AF">
      <w:pPr>
        <w:pStyle w:val="BodyText"/>
      </w:pPr>
    </w:p>
    <w:p w:rsidR="00000000" w:rsidRPr="00A617AF" w:rsidP="00A617AF">
      <w:pPr>
        <w:pStyle w:val="AllowPageBreak"/>
      </w:pPr>
    </w:p>
    <w:p w:rsidR="00000000" w:rsidRPr="00A617AF" w:rsidP="00A617AF">
      <w:pPr>
        <w:pStyle w:val="Heading1"/>
      </w:pPr>
      <w:bookmarkStart w:id="6" w:name="O_1010408"/>
      <w:bookmarkEnd w:id="6"/>
      <w:r w:rsidRPr="00A617AF">
        <w:t>Foundation Skills</w:t>
      </w:r>
    </w:p>
    <w:p w:rsidR="00D231CB" w:rsidP="00D231CB">
      <w:pPr>
        <w:pStyle w:val="BodyText"/>
      </w:pPr>
      <w:r w:rsidRPr="00A617AF">
        <w:t>This section describes those language, literacy, n</w:t>
      </w:r>
      <w:r w:rsidRPr="00A617AF">
        <w:t>umeracy and employment skills that are essential to performance.</w:t>
      </w:r>
    </w:p>
    <w:p w:rsidR="00D231CB" w:rsidP="00D231CB">
      <w:pPr>
        <w:pStyle w:val="BodyText"/>
      </w:pPr>
      <w:r w:rsidRPr="00A617AF">
        <w:t>Foundation skills essential to performance are explicit in the performance criteria of this unit of competency.</w:t>
      </w:r>
    </w:p>
    <w:p w:rsidR="00000000" w:rsidRPr="00A617AF" w:rsidP="00A617AF">
      <w:pPr>
        <w:pStyle w:val="Heading1"/>
      </w:pPr>
      <w:bookmarkStart w:id="7" w:name="O_1010406"/>
      <w:bookmarkEnd w:id="7"/>
      <w:r w:rsidRPr="00A617AF">
        <w:t>Unit Mapping Information</w:t>
      </w:r>
    </w:p>
    <w:p w:rsidR="00000000" w:rsidRPr="00A617AF" w:rsidP="00D231CB">
      <w:pPr>
        <w:pStyle w:val="BodyText"/>
      </w:pPr>
      <w:r w:rsidRPr="00A617AF">
        <w:t xml:space="preserve">Release 1. New unit. Supersedes </w:t>
      </w:r>
      <w:r w:rsidRPr="00A617AF">
        <w:t>and is equivalent to PMC553000 Set up and tune a process</w:t>
      </w:r>
    </w:p>
    <w:p w:rsidR="00000000" w:rsidRPr="00A617AF" w:rsidP="00A617AF">
      <w:pPr>
        <w:pStyle w:val="Heading1"/>
      </w:pPr>
      <w:bookmarkStart w:id="8" w:name="O_1010399"/>
      <w:bookmarkEnd w:id="8"/>
      <w:r w:rsidRPr="00A617AF">
        <w:t>Links</w:t>
      </w:r>
    </w:p>
    <w:p w:rsidR="00000000" w:rsidRPr="00A617AF" w:rsidP="00D231CB">
      <w:pPr>
        <w:pStyle w:val="BodyText"/>
      </w:pPr>
      <w:r w:rsidRPr="00A617AF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C483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617AF" w:rsidP="00A617AF"/>
    <w:sectPr w:rsidSect="00A617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F" w:rsidRPr="00D231CB" w:rsidP="00D23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CB" w:rsidP="00A61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1CB" w:rsidP="00A61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31CB" w:rsidP="00A61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7AF" w:rsidRPr="00D231CB" w:rsidP="00D23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CB" w:rsidRPr="002D2AF8" w:rsidP="00A61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MSMPMC401 Set up and tune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31CB" w:rsidP="00A61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7AF"/>
  </w:style>
  <w:style w:type="character" w:customStyle="1" w:styleId="Heading1Char">
    <w:name w:val="Heading 1 Char"/>
    <w:basedOn w:val="DefaultParagraphFont"/>
    <w:link w:val="Heading1"/>
    <w:rsid w:val="00A61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7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17AF"/>
    <w:rPr>
      <w:b/>
      <w:spacing w:val="0"/>
    </w:rPr>
  </w:style>
  <w:style w:type="character" w:styleId="Emphasis">
    <w:name w:val="Emphasis"/>
    <w:basedOn w:val="DefaultParagraphFont"/>
    <w:qFormat/>
    <w:rsid w:val="00A617AF"/>
    <w:rPr>
      <w:i/>
    </w:rPr>
  </w:style>
  <w:style w:type="paragraph" w:customStyle="1" w:styleId="SuperHeading">
    <w:name w:val="SuperHeading"/>
    <w:basedOn w:val="Normal"/>
    <w:rsid w:val="00A61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7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17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1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7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7AF"/>
  </w:style>
  <w:style w:type="paragraph" w:styleId="TableofFigures">
    <w:name w:val="table of figures"/>
    <w:basedOn w:val="Normal"/>
    <w:next w:val="Normal"/>
    <w:semiHidden/>
    <w:rsid w:val="00A61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7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17AF"/>
    <w:rPr>
      <w:rFonts w:ascii="Wingdings" w:hAnsi="Wingdings"/>
    </w:rPr>
  </w:style>
  <w:style w:type="paragraph" w:customStyle="1" w:styleId="TableHeading">
    <w:name w:val="Table Heading"/>
    <w:basedOn w:val="HeadingBase"/>
    <w:rsid w:val="00A61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7AF"/>
    <w:rPr>
      <w:color w:val="0033CC"/>
      <w:u w:val="none"/>
    </w:rPr>
  </w:style>
  <w:style w:type="paragraph" w:customStyle="1" w:styleId="BodyTextRight">
    <w:name w:val="Body Text Right"/>
    <w:basedOn w:val="BodyText"/>
    <w:rsid w:val="00A61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7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7AF"/>
    <w:rPr>
      <w:sz w:val="32"/>
    </w:rPr>
  </w:style>
  <w:style w:type="paragraph" w:customStyle="1" w:styleId="HeadingProcedure">
    <w:name w:val="Heading Procedure"/>
    <w:basedOn w:val="HeadingBase"/>
    <w:next w:val="Normal"/>
    <w:rsid w:val="00A61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7AF"/>
    <w:pPr>
      <w:spacing w:before="60" w:after="60"/>
    </w:pPr>
  </w:style>
  <w:style w:type="paragraph" w:styleId="ListContinue">
    <w:name w:val="List Continue"/>
    <w:basedOn w:val="List"/>
    <w:rsid w:val="00A617AF"/>
    <w:pPr>
      <w:ind w:firstLine="0"/>
    </w:pPr>
  </w:style>
  <w:style w:type="paragraph" w:customStyle="1" w:styleId="ListNote">
    <w:name w:val="List Note"/>
    <w:basedOn w:val="List"/>
    <w:rsid w:val="00A61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7AF"/>
    <w:rPr>
      <w:rFonts w:ascii="Courier New" w:hAnsi="Courier New"/>
    </w:rPr>
  </w:style>
  <w:style w:type="paragraph" w:customStyle="1" w:styleId="NoteBullet">
    <w:name w:val="Note Bullet"/>
    <w:basedOn w:val="Note"/>
    <w:rsid w:val="00A61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7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1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7AF"/>
    <w:rPr>
      <w:b/>
      <w:smallCaps/>
    </w:rPr>
  </w:style>
  <w:style w:type="paragraph" w:customStyle="1" w:styleId="TableListNumber">
    <w:name w:val="Table List Number"/>
    <w:basedOn w:val="ListNumber"/>
    <w:rsid w:val="00A61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7AF"/>
    <w:pPr>
      <w:numPr>
        <w:numId w:val="7"/>
      </w:numPr>
    </w:pPr>
  </w:style>
  <w:style w:type="paragraph" w:customStyle="1" w:styleId="ListAlpha2">
    <w:name w:val="List Alpha 2"/>
    <w:basedOn w:val="List2"/>
    <w:rsid w:val="00A617AF"/>
    <w:pPr>
      <w:numPr>
        <w:numId w:val="6"/>
      </w:numPr>
    </w:pPr>
  </w:style>
  <w:style w:type="paragraph" w:styleId="List2">
    <w:name w:val="List 2"/>
    <w:basedOn w:val="BodyText"/>
    <w:rsid w:val="00A61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7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7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17AF"/>
    <w:pPr>
      <w:numPr>
        <w:numId w:val="2"/>
      </w:numPr>
    </w:pPr>
  </w:style>
  <w:style w:type="paragraph" w:styleId="ListContinue2">
    <w:name w:val="List Continue 2"/>
    <w:basedOn w:val="List2"/>
    <w:rsid w:val="00A617AF"/>
    <w:pPr>
      <w:ind w:firstLine="0"/>
    </w:pPr>
  </w:style>
  <w:style w:type="paragraph" w:styleId="ListContinue3">
    <w:name w:val="List Continue 3"/>
    <w:basedOn w:val="List3"/>
    <w:rsid w:val="00A617AF"/>
    <w:pPr>
      <w:ind w:left="1021" w:firstLine="0"/>
    </w:pPr>
  </w:style>
  <w:style w:type="paragraph" w:styleId="ListContinue4">
    <w:name w:val="List Continue 4"/>
    <w:basedOn w:val="List4"/>
    <w:rsid w:val="00A617AF"/>
    <w:pPr>
      <w:ind w:firstLine="0"/>
    </w:pPr>
  </w:style>
  <w:style w:type="paragraph" w:styleId="ListContinue5">
    <w:name w:val="List Continue 5"/>
    <w:basedOn w:val="List5"/>
    <w:rsid w:val="00A617AF"/>
    <w:pPr>
      <w:ind w:firstLine="0"/>
    </w:pPr>
  </w:style>
  <w:style w:type="paragraph" w:styleId="ListNumber3">
    <w:name w:val="List Number 3"/>
    <w:basedOn w:val="List3"/>
    <w:rsid w:val="00A617AF"/>
    <w:pPr>
      <w:numPr>
        <w:numId w:val="3"/>
      </w:numPr>
    </w:pPr>
  </w:style>
  <w:style w:type="paragraph" w:styleId="ListNumber4">
    <w:name w:val="List Number 4"/>
    <w:basedOn w:val="List4"/>
    <w:rsid w:val="00A617AF"/>
    <w:pPr>
      <w:numPr>
        <w:numId w:val="4"/>
      </w:numPr>
    </w:pPr>
  </w:style>
  <w:style w:type="paragraph" w:styleId="ListNumber5">
    <w:name w:val="List Number 5"/>
    <w:basedOn w:val="List5"/>
    <w:rsid w:val="00A617AF"/>
    <w:pPr>
      <w:numPr>
        <w:numId w:val="5"/>
      </w:numPr>
    </w:pPr>
  </w:style>
  <w:style w:type="paragraph" w:styleId="BlockText">
    <w:name w:val="Block Text"/>
    <w:basedOn w:val="Normal"/>
    <w:rsid w:val="00A61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7AF"/>
    <w:rPr>
      <w:sz w:val="16"/>
      <w:vertAlign w:val="superscript"/>
    </w:rPr>
  </w:style>
  <w:style w:type="character" w:customStyle="1" w:styleId="Symbols">
    <w:name w:val="Symbols"/>
    <w:basedOn w:val="DefaultParagraphFont"/>
    <w:rsid w:val="00A617AF"/>
    <w:rPr>
      <w:rFonts w:ascii="Symbol" w:hAnsi="Symbol"/>
    </w:rPr>
  </w:style>
  <w:style w:type="character" w:customStyle="1" w:styleId="MenuOptions">
    <w:name w:val="Menu Options"/>
    <w:basedOn w:val="DefaultParagraphFont"/>
    <w:rsid w:val="00A61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7AF"/>
    <w:rPr>
      <w:b/>
    </w:rPr>
  </w:style>
  <w:style w:type="character" w:customStyle="1" w:styleId="Underlined">
    <w:name w:val="Underlined"/>
    <w:basedOn w:val="DefaultParagraphFont"/>
    <w:rsid w:val="00A617AF"/>
    <w:rPr>
      <w:u w:val="single"/>
    </w:rPr>
  </w:style>
  <w:style w:type="paragraph" w:customStyle="1" w:styleId="TableBodyTextRight">
    <w:name w:val="Table Body Text Right"/>
    <w:basedOn w:val="TableBodyText"/>
    <w:rsid w:val="00A61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7AF"/>
    <w:rPr>
      <w:sz w:val="18"/>
    </w:rPr>
  </w:style>
  <w:style w:type="paragraph" w:customStyle="1" w:styleId="BodySmallRight">
    <w:name w:val="Body Small Right"/>
    <w:basedOn w:val="BodyTextRight"/>
    <w:rsid w:val="00A617AF"/>
    <w:rPr>
      <w:sz w:val="18"/>
      <w:szCs w:val="18"/>
    </w:rPr>
  </w:style>
  <w:style w:type="paragraph" w:customStyle="1" w:styleId="MarginEdition">
    <w:name w:val="Margin Edition"/>
    <w:basedOn w:val="MarginNote"/>
    <w:rsid w:val="00A61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7AF"/>
    <w:rPr>
      <w:sz w:val="2"/>
      <w:szCs w:val="2"/>
    </w:rPr>
  </w:style>
  <w:style w:type="character" w:customStyle="1" w:styleId="Small">
    <w:name w:val="Small"/>
    <w:basedOn w:val="DefaultParagraphFont"/>
    <w:rsid w:val="00A617AF"/>
    <w:rPr>
      <w:sz w:val="16"/>
    </w:rPr>
  </w:style>
  <w:style w:type="paragraph" w:customStyle="1" w:styleId="WideTable">
    <w:name w:val="Wide Table"/>
    <w:basedOn w:val="Normal"/>
    <w:rsid w:val="00A61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7AF"/>
  </w:style>
  <w:style w:type="paragraph" w:styleId="Quote">
    <w:name w:val="Quote"/>
    <w:basedOn w:val="Heading1"/>
    <w:link w:val="QuoteChar"/>
    <w:qFormat/>
    <w:rsid w:val="00A61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7AF"/>
    <w:pPr>
      <w:pageBreakBefore/>
    </w:pPr>
  </w:style>
  <w:style w:type="paragraph" w:customStyle="1" w:styleId="Border">
    <w:name w:val="Border"/>
    <w:basedOn w:val="Normal"/>
    <w:qFormat/>
    <w:rsid w:val="00A61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7AF"/>
    <w:rPr>
      <w:u w:val="single"/>
    </w:rPr>
  </w:style>
  <w:style w:type="character" w:customStyle="1" w:styleId="BoldandItalics">
    <w:name w:val="Bold and Italics"/>
    <w:qFormat/>
    <w:rsid w:val="00A617AF"/>
    <w:rPr>
      <w:b/>
      <w:i/>
      <w:u w:val="none"/>
    </w:rPr>
  </w:style>
  <w:style w:type="paragraph" w:styleId="BalloonText">
    <w:name w:val="Balloon Text"/>
    <w:basedOn w:val="Normal"/>
    <w:link w:val="BalloonTextChar"/>
    <w:rsid w:val="00A61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7AF"/>
    <w:pPr>
      <w:spacing w:before="0" w:after="0"/>
    </w:pPr>
  </w:style>
  <w:style w:type="paragraph" w:customStyle="1" w:styleId="BodyTextBold">
    <w:name w:val="Body Text Bold"/>
    <w:basedOn w:val="BodyText"/>
    <w:qFormat/>
    <w:rsid w:val="00A617AF"/>
    <w:rPr>
      <w:b/>
    </w:rPr>
  </w:style>
  <w:style w:type="character" w:styleId="Hyperlink">
    <w:name w:val="Hyperlink"/>
    <w:basedOn w:val="DefaultParagraphFont"/>
    <w:uiPriority w:val="99"/>
    <w:unhideWhenUsed/>
    <w:rsid w:val="00D23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3345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MSMPMC401 Set up and tune a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