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A70F3" w:rsidP="005A70F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MSMPMC330 Produce architectural precast concrete</w:t>
      </w:r>
      <w:r>
        <w:fldChar w:fldCharType="end"/>
      </w:r>
    </w:p>
    <w:p w:rsidR="005A70F3" w:rsidP="005A70F3">
      <w:pPr>
        <w:pStyle w:val="Version"/>
        <w:sectPr w:rsidSect="00103C3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03C3E" w:rsidP="00103C3E">
      <w:pPr>
        <w:pStyle w:val="SuperHeading"/>
      </w:pPr>
      <w:r w:rsidRPr="00103C3E">
        <w:t>Assessment Requirements for MSMPMC330 Produce architectural precast concrete</w:t>
      </w:r>
    </w:p>
    <w:p w:rsidR="00000000" w:rsidRPr="00103C3E" w:rsidP="00103C3E">
      <w:pPr>
        <w:pStyle w:val="Heading1"/>
      </w:pPr>
      <w:bookmarkStart w:id="1" w:name="O_1010363"/>
      <w:bookmarkEnd w:id="1"/>
      <w:r w:rsidRPr="00103C3E">
        <w:t>Modification History</w:t>
      </w:r>
    </w:p>
    <w:p w:rsidR="00000000" w:rsidRPr="00103C3E" w:rsidP="005A70F3">
      <w:pPr>
        <w:pStyle w:val="BodyText"/>
      </w:pPr>
      <w:r w:rsidRPr="00103C3E">
        <w:t>Release 1. New unit. Supersedes and is equivalent to PMC553050 Produce architectural precast concrete</w:t>
      </w:r>
    </w:p>
    <w:p w:rsidR="00000000" w:rsidRPr="00103C3E" w:rsidP="00103C3E">
      <w:pPr>
        <w:pStyle w:val="Heading1"/>
      </w:pPr>
      <w:bookmarkStart w:id="2" w:name="O_1010366"/>
      <w:bookmarkEnd w:id="2"/>
      <w:r w:rsidRPr="00103C3E">
        <w:t>Performance Evidence</w:t>
      </w:r>
    </w:p>
    <w:p w:rsidR="00000000" w:rsidRPr="00103C3E" w:rsidP="005A70F3">
      <w:pPr>
        <w:pStyle w:val="BodyText"/>
      </w:pPr>
      <w:r w:rsidRPr="00103C3E">
        <w:t>There must be evidence the candidate has completed the tasks outlined in the elements and performance criteria of this unit, and:</w:t>
      </w:r>
    </w:p>
    <w:p w:rsidR="00000000" w:rsidRPr="00103C3E" w:rsidP="00103C3E">
      <w:pPr>
        <w:pStyle w:val="ListBullet"/>
      </w:pPr>
      <w:r w:rsidRPr="00103C3E">
        <w:t>produced at least 1 architectural precast concrete product, including:</w:t>
      </w:r>
    </w:p>
    <w:p w:rsidR="00000000" w:rsidRPr="00103C3E" w:rsidP="00103C3E">
      <w:pPr>
        <w:pStyle w:val="ListBullet2"/>
      </w:pPr>
      <w:r w:rsidRPr="00103C3E">
        <w:t>monitoring the following key var</w:t>
      </w:r>
      <w:r w:rsidRPr="00103C3E">
        <w:t>iables to ensure product integrity and conformance to specification:</w:t>
      </w:r>
    </w:p>
    <w:p w:rsidR="00000000" w:rsidRPr="00103C3E" w:rsidP="00103C3E">
      <w:pPr>
        <w:pStyle w:val="ListBullet3"/>
      </w:pPr>
      <w:r w:rsidRPr="00103C3E">
        <w:t>mould condition</w:t>
      </w:r>
    </w:p>
    <w:p w:rsidR="00000000" w:rsidRPr="00103C3E" w:rsidP="00103C3E">
      <w:pPr>
        <w:pStyle w:val="ListBullet3"/>
      </w:pPr>
      <w:r w:rsidRPr="00103C3E">
        <w:t>amount and consistency of concrete mix</w:t>
      </w:r>
    </w:p>
    <w:p w:rsidR="00000000" w:rsidRPr="00103C3E" w:rsidP="00103C3E">
      <w:pPr>
        <w:pStyle w:val="ListBullet3"/>
      </w:pPr>
      <w:r w:rsidRPr="00103C3E">
        <w:t>placement of reinforcement and fittings</w:t>
      </w:r>
    </w:p>
    <w:p w:rsidR="00000000" w:rsidRPr="00103C3E" w:rsidP="00103C3E">
      <w:pPr>
        <w:pStyle w:val="ListBullet3"/>
      </w:pPr>
      <w:r w:rsidRPr="00103C3E">
        <w:t>concrete cover</w:t>
      </w:r>
    </w:p>
    <w:p w:rsidR="00000000" w:rsidRPr="00103C3E" w:rsidP="00103C3E">
      <w:pPr>
        <w:pStyle w:val="ListBullet3"/>
      </w:pPr>
      <w:r w:rsidRPr="00103C3E">
        <w:t>compaction and vibration</w:t>
      </w:r>
    </w:p>
    <w:p w:rsidR="00000000" w:rsidRPr="00103C3E" w:rsidP="00103C3E">
      <w:pPr>
        <w:pStyle w:val="ListBullet3"/>
      </w:pPr>
      <w:r w:rsidRPr="00103C3E">
        <w:t>curing conditions</w:t>
      </w:r>
    </w:p>
    <w:p w:rsidR="00000000" w:rsidRPr="00103C3E" w:rsidP="00103C3E">
      <w:pPr>
        <w:pStyle w:val="ListBullet3"/>
      </w:pPr>
      <w:r w:rsidRPr="00103C3E">
        <w:t>curing time and rate</w:t>
      </w:r>
    </w:p>
    <w:p w:rsidR="00000000" w:rsidRPr="00103C3E" w:rsidP="00103C3E">
      <w:pPr>
        <w:pStyle w:val="ListBullet3"/>
      </w:pPr>
      <w:r w:rsidRPr="00103C3E">
        <w:t>stripping strength</w:t>
      </w:r>
    </w:p>
    <w:p w:rsidR="00000000" w:rsidRPr="00103C3E" w:rsidP="00103C3E">
      <w:pPr>
        <w:pStyle w:val="ListBullet2"/>
      </w:pPr>
      <w:r w:rsidRPr="00103C3E">
        <w:t>recognising possible causes of the following routine problems:</w:t>
      </w:r>
    </w:p>
    <w:p w:rsidR="00000000" w:rsidRPr="00103C3E" w:rsidP="00103C3E">
      <w:pPr>
        <w:pStyle w:val="ListBullet3"/>
      </w:pPr>
      <w:r w:rsidRPr="00103C3E">
        <w:t>raw material and mix variations</w:t>
      </w:r>
    </w:p>
    <w:p w:rsidR="00000000" w:rsidRPr="00103C3E" w:rsidP="00103C3E">
      <w:pPr>
        <w:pStyle w:val="ListBullet3"/>
      </w:pPr>
      <w:r w:rsidRPr="00103C3E">
        <w:t>mould anomalies</w:t>
      </w:r>
    </w:p>
    <w:p w:rsidR="00000000" w:rsidRPr="00103C3E" w:rsidP="00103C3E">
      <w:pPr>
        <w:pStyle w:val="ListBullet3"/>
      </w:pPr>
      <w:r w:rsidRPr="00103C3E">
        <w:t>casting and operating conditions</w:t>
      </w:r>
    </w:p>
    <w:p w:rsidR="005A70F3" w:rsidP="00103C3E">
      <w:pPr>
        <w:pStyle w:val="ListBullet3"/>
      </w:pPr>
      <w:r w:rsidRPr="00103C3E">
        <w:t>process errors.</w:t>
      </w:r>
    </w:p>
    <w:p w:rsidR="005A70F3" w:rsidP="00103C3E">
      <w:pPr>
        <w:pStyle w:val="ListBullet3"/>
      </w:pPr>
    </w:p>
    <w:p w:rsidR="00000000" w:rsidRPr="00103C3E" w:rsidP="00103C3E">
      <w:pPr>
        <w:pStyle w:val="Heading1"/>
      </w:pPr>
      <w:bookmarkStart w:id="3" w:name="O_1010365"/>
      <w:bookmarkEnd w:id="3"/>
      <w:r w:rsidRPr="00103C3E">
        <w:t>Knowledge Evidence</w:t>
      </w:r>
    </w:p>
    <w:p w:rsidR="00000000" w:rsidRPr="00103C3E" w:rsidP="005A70F3">
      <w:pPr>
        <w:pStyle w:val="BodyText"/>
      </w:pPr>
      <w:r w:rsidRPr="00103C3E">
        <w:t>There must be evidence the candidate has knowledge of:</w:t>
      </w:r>
    </w:p>
    <w:p w:rsidR="00000000" w:rsidRPr="00103C3E" w:rsidP="00103C3E">
      <w:pPr>
        <w:pStyle w:val="ListBullet"/>
      </w:pPr>
      <w:r w:rsidRPr="00103C3E">
        <w:t xml:space="preserve">principles of casting process </w:t>
      </w:r>
    </w:p>
    <w:p w:rsidR="00000000" w:rsidRPr="00103C3E" w:rsidP="00103C3E">
      <w:pPr>
        <w:pStyle w:val="ListBullet"/>
      </w:pPr>
      <w:r w:rsidRPr="00103C3E">
        <w:t>significance to architectural concrete products of key factors, including:</w:t>
      </w:r>
    </w:p>
    <w:p w:rsidR="00000000" w:rsidRPr="00103C3E" w:rsidP="00103C3E">
      <w:pPr>
        <w:pStyle w:val="ListBullet2"/>
      </w:pPr>
      <w:r w:rsidRPr="00103C3E">
        <w:t>veneer adhesion</w:t>
      </w:r>
    </w:p>
    <w:p w:rsidR="00000000" w:rsidRPr="00103C3E" w:rsidP="00103C3E">
      <w:pPr>
        <w:pStyle w:val="ListBullet2"/>
      </w:pPr>
      <w:r w:rsidRPr="00103C3E">
        <w:t>concrete cover</w:t>
      </w:r>
    </w:p>
    <w:p w:rsidR="00000000" w:rsidRPr="00103C3E" w:rsidP="00103C3E">
      <w:pPr>
        <w:pStyle w:val="ListBullet2"/>
      </w:pPr>
      <w:r w:rsidRPr="00103C3E">
        <w:t>role of reinforcement</w:t>
      </w:r>
    </w:p>
    <w:p w:rsidR="00000000" w:rsidRPr="00103C3E" w:rsidP="00103C3E">
      <w:pPr>
        <w:pStyle w:val="ListBullet2"/>
      </w:pPr>
      <w:r w:rsidRPr="00103C3E">
        <w:t>placement of reinforcement and fittings</w:t>
      </w:r>
    </w:p>
    <w:p w:rsidR="00000000" w:rsidRPr="00103C3E" w:rsidP="00103C3E">
      <w:pPr>
        <w:pStyle w:val="ListBullet2"/>
      </w:pPr>
      <w:r w:rsidRPr="00103C3E">
        <w:t xml:space="preserve">curing </w:t>
      </w:r>
    </w:p>
    <w:p w:rsidR="00000000" w:rsidRPr="00103C3E" w:rsidP="00103C3E">
      <w:pPr>
        <w:pStyle w:val="ListBullet2"/>
      </w:pPr>
      <w:r w:rsidRPr="00103C3E">
        <w:t>compaction and vibration</w:t>
      </w:r>
    </w:p>
    <w:p w:rsidR="00000000" w:rsidRPr="00103C3E" w:rsidP="00103C3E">
      <w:pPr>
        <w:pStyle w:val="ListBullet2"/>
      </w:pPr>
      <w:r w:rsidRPr="00103C3E">
        <w:t>mould design</w:t>
      </w:r>
    </w:p>
    <w:p w:rsidR="00000000" w:rsidRPr="00103C3E" w:rsidP="00103C3E">
      <w:pPr>
        <w:pStyle w:val="ListBullet2"/>
      </w:pPr>
      <w:r w:rsidRPr="00103C3E">
        <w:t>mould condition and wear</w:t>
      </w:r>
    </w:p>
    <w:p w:rsidR="00000000" w:rsidRPr="00103C3E" w:rsidP="00103C3E">
      <w:pPr>
        <w:pStyle w:val="ListBullet2"/>
      </w:pPr>
      <w:r w:rsidRPr="00103C3E">
        <w:t>water-cement ratio</w:t>
      </w:r>
    </w:p>
    <w:p w:rsidR="00000000" w:rsidRPr="00103C3E" w:rsidP="00103C3E">
      <w:pPr>
        <w:pStyle w:val="ListBullet2"/>
      </w:pPr>
      <w:r w:rsidRPr="00103C3E">
        <w:t>concrete finishing</w:t>
      </w:r>
    </w:p>
    <w:p w:rsidR="00000000" w:rsidRPr="00103C3E" w:rsidP="00103C3E">
      <w:pPr>
        <w:pStyle w:val="ListBullet"/>
      </w:pPr>
      <w:r w:rsidRPr="00103C3E">
        <w:t xml:space="preserve">methods of curing </w:t>
      </w:r>
    </w:p>
    <w:p w:rsidR="00000000" w:rsidRPr="00103C3E" w:rsidP="00103C3E">
      <w:pPr>
        <w:pStyle w:val="ListBullet"/>
      </w:pPr>
      <w:r w:rsidRPr="00103C3E">
        <w:t>compaction methods</w:t>
      </w:r>
    </w:p>
    <w:p w:rsidR="00000000" w:rsidRPr="00103C3E" w:rsidP="00103C3E">
      <w:pPr>
        <w:pStyle w:val="ListBullet"/>
      </w:pPr>
      <w:r w:rsidRPr="00103C3E">
        <w:t>fabrication methodologies</w:t>
      </w:r>
    </w:p>
    <w:p w:rsidR="00000000" w:rsidRPr="00103C3E" w:rsidP="00103C3E">
      <w:pPr>
        <w:pStyle w:val="ListBullet"/>
      </w:pPr>
      <w:r w:rsidRPr="00103C3E">
        <w:t>concrete sampling and testing procedures</w:t>
      </w:r>
    </w:p>
    <w:p w:rsidR="00000000" w:rsidRPr="00103C3E" w:rsidP="00103C3E">
      <w:pPr>
        <w:pStyle w:val="ListBullet"/>
      </w:pPr>
      <w:r w:rsidRPr="00103C3E">
        <w:t xml:space="preserve">the potential effects of variations in raw materials and equipment operation, processes in relation to quality of product </w:t>
      </w:r>
    </w:p>
    <w:p w:rsidR="00000000" w:rsidRPr="00103C3E" w:rsidP="00103C3E">
      <w:pPr>
        <w:pStyle w:val="ListBullet"/>
      </w:pPr>
      <w:r w:rsidRPr="00103C3E">
        <w:t xml:space="preserve">quality requirements at each stage of production </w:t>
      </w:r>
    </w:p>
    <w:p w:rsidR="00000000" w:rsidRPr="00103C3E" w:rsidP="00103C3E">
      <w:pPr>
        <w:pStyle w:val="ListBullet"/>
      </w:pPr>
      <w:r w:rsidRPr="00103C3E">
        <w:t xml:space="preserve">common adjustments in variables and their impact on product quality and production </w:t>
      </w:r>
      <w:r w:rsidRPr="00103C3E">
        <w:t xml:space="preserve">output </w:t>
      </w:r>
    </w:p>
    <w:p w:rsidR="00000000" w:rsidRPr="00103C3E" w:rsidP="00103C3E">
      <w:pPr>
        <w:pStyle w:val="ListBullet"/>
      </w:pPr>
      <w:r w:rsidRPr="00103C3E">
        <w:t xml:space="preserve">routine problems, their probable causes and relevant corrective actions </w:t>
      </w:r>
    </w:p>
    <w:p w:rsidR="00000000" w:rsidRPr="00103C3E" w:rsidP="00103C3E">
      <w:pPr>
        <w:pStyle w:val="ListBullet"/>
      </w:pPr>
      <w:r w:rsidRPr="00103C3E">
        <w:t>architectural precast concrete production hazards and:</w:t>
      </w:r>
    </w:p>
    <w:p w:rsidR="00000000" w:rsidRPr="00103C3E" w:rsidP="00103C3E">
      <w:pPr>
        <w:pStyle w:val="ListBullet2"/>
      </w:pPr>
      <w:r w:rsidRPr="00103C3E">
        <w:t xml:space="preserve">their possible causes </w:t>
      </w:r>
    </w:p>
    <w:p w:rsidR="00000000" w:rsidRPr="00103C3E" w:rsidP="00103C3E">
      <w:pPr>
        <w:pStyle w:val="ListBullet2"/>
      </w:pPr>
      <w:r w:rsidRPr="00103C3E">
        <w:t>potential consequences</w:t>
      </w:r>
    </w:p>
    <w:p w:rsidR="005A70F3" w:rsidP="00103C3E">
      <w:pPr>
        <w:pStyle w:val="ListBullet2"/>
      </w:pPr>
      <w:r w:rsidRPr="00103C3E">
        <w:t>risk control procedures.</w:t>
      </w:r>
    </w:p>
    <w:p w:rsidR="005A70F3" w:rsidP="00103C3E">
      <w:pPr>
        <w:pStyle w:val="ListBullet2"/>
      </w:pPr>
    </w:p>
    <w:p w:rsidR="00000000" w:rsidRPr="00103C3E" w:rsidP="00103C3E">
      <w:pPr>
        <w:pStyle w:val="Heading1"/>
      </w:pPr>
      <w:bookmarkStart w:id="4" w:name="O_1010364"/>
      <w:bookmarkEnd w:id="4"/>
      <w:r w:rsidRPr="00103C3E">
        <w:t>Assessment Conditions</w:t>
      </w:r>
    </w:p>
    <w:p w:rsidR="00000000" w:rsidRPr="00103C3E" w:rsidP="005A70F3">
      <w:pPr>
        <w:pStyle w:val="BodyText"/>
      </w:pPr>
      <w:r w:rsidRPr="00103C3E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103C3E" w:rsidP="00103C3E">
      <w:pPr>
        <w:pStyle w:val="ListBullet"/>
      </w:pPr>
      <w:r w:rsidRPr="00103C3E">
        <w:t xml:space="preserve">use of suitable facilities, equipment and resources, including: </w:t>
      </w:r>
    </w:p>
    <w:p w:rsidR="00000000" w:rsidRPr="00103C3E" w:rsidP="00103C3E">
      <w:pPr>
        <w:pStyle w:val="ListBullet2"/>
      </w:pPr>
      <w:r w:rsidRPr="00103C3E">
        <w:t>architectural precast concrete production equipment and ancillary equipment</w:t>
      </w:r>
    </w:p>
    <w:p w:rsidR="00000000" w:rsidRPr="00103C3E" w:rsidP="00103C3E">
      <w:pPr>
        <w:pStyle w:val="ListBullet2"/>
      </w:pPr>
      <w:r w:rsidRPr="00103C3E">
        <w:t>materials to be processed</w:t>
      </w:r>
    </w:p>
    <w:p w:rsidR="00000000" w:rsidRPr="00103C3E" w:rsidP="00103C3E">
      <w:pPr>
        <w:pStyle w:val="ListBullet2"/>
      </w:pPr>
      <w:r w:rsidRPr="00103C3E">
        <w:t>specifications, procedures and job sheets</w:t>
      </w:r>
    </w:p>
    <w:p w:rsidR="00000000" w:rsidRPr="00103C3E" w:rsidP="00103C3E">
      <w:pPr>
        <w:pStyle w:val="ListBullet"/>
      </w:pPr>
      <w:r w:rsidRPr="00103C3E">
        <w:t>modelling of industry operating conditions, including:</w:t>
      </w:r>
    </w:p>
    <w:p w:rsidR="00000000" w:rsidRPr="00103C3E" w:rsidP="00103C3E">
      <w:pPr>
        <w:pStyle w:val="ListBullet2"/>
      </w:pPr>
      <w:r w:rsidRPr="00103C3E">
        <w:t>routine and non-routine problems.</w:t>
      </w:r>
    </w:p>
    <w:p w:rsidR="00000000" w:rsidRPr="00103C3E" w:rsidP="00103C3E">
      <w:pPr>
        <w:pStyle w:val="BodyText"/>
      </w:pPr>
    </w:p>
    <w:p w:rsidR="005A70F3" w:rsidP="005A70F3">
      <w:pPr>
        <w:pStyle w:val="BodyText"/>
      </w:pPr>
      <w:r w:rsidRPr="00103C3E">
        <w:t>Assessors must sati</w:t>
      </w:r>
      <w:r w:rsidRPr="00103C3E">
        <w:t>sfy the NVR/AQTF mandatory competency requirements for assessors.</w:t>
      </w:r>
    </w:p>
    <w:p w:rsidR="00000000" w:rsidRPr="00103C3E" w:rsidP="00103C3E">
      <w:pPr>
        <w:pStyle w:val="Heading1"/>
      </w:pPr>
      <w:bookmarkStart w:id="5" w:name="O_1010362"/>
      <w:bookmarkEnd w:id="5"/>
      <w:r w:rsidRPr="00103C3E">
        <w:t>Links</w:t>
      </w:r>
    </w:p>
    <w:p w:rsidR="00000000" w:rsidRPr="00103C3E" w:rsidP="005A70F3">
      <w:pPr>
        <w:pStyle w:val="BodyText"/>
      </w:pPr>
      <w:r w:rsidRPr="00103C3E">
        <w:t xml:space="preserve">Companion Volume Implementation Guides are available at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770111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103C3E" w:rsidP="00103C3E"/>
    <w:sectPr w:rsidSect="00103C3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3C3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3C3E" w:rsidRPr="005A70F3" w:rsidP="005A70F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3C3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70F3" w:rsidP="00103C3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A70F3" w:rsidP="00103C3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5A70F3" w:rsidP="00103C3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3C3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70F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03C3E" w:rsidRPr="005A70F3" w:rsidP="005A70F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3C3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70F3" w:rsidRPr="002D2AF8" w:rsidP="00103C3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MSMPMC330 Produce architectural precast concrete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September 2020</w:t>
    </w:r>
    <w:r>
      <w:fldChar w:fldCharType="end"/>
    </w:r>
  </w:p>
  <w:p w:rsidR="005A70F3" w:rsidP="00103C3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BEC586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CE204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0AAE52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3C3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03C3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03C3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03C3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03C3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03C3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03C3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03C3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03C3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03C3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03C3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03C3E"/>
  </w:style>
  <w:style w:type="character" w:customStyle="1" w:styleId="Heading1Char">
    <w:name w:val="Heading 1 Char"/>
    <w:basedOn w:val="DefaultParagraphFont"/>
    <w:link w:val="Heading1"/>
    <w:rsid w:val="00103C3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03C3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03C3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03C3E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03C3E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03C3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03C3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103C3E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103C3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03C3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03C3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03C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03C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03C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03C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03C3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03C3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03C3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03C3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03C3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03C3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03C3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03C3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03C3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03C3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03C3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03C3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03C3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03C3E"/>
    <w:rPr>
      <w:b/>
      <w:spacing w:val="0"/>
    </w:rPr>
  </w:style>
  <w:style w:type="paragraph" w:customStyle="1" w:styleId="SuperTitle">
    <w:name w:val="SuperTitle"/>
    <w:basedOn w:val="Title"/>
    <w:rsid w:val="00103C3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03C3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03C3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03C3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03C3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03C3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03C3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03C3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03C3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03C3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03C3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03C3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03C3E"/>
    <w:rPr>
      <w:i/>
    </w:rPr>
  </w:style>
  <w:style w:type="paragraph" w:styleId="Caption">
    <w:name w:val="caption"/>
    <w:basedOn w:val="BodyText"/>
    <w:next w:val="Normal"/>
    <w:qFormat/>
    <w:rsid w:val="00103C3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03C3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03C3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03C3E"/>
  </w:style>
  <w:style w:type="paragraph" w:styleId="TableofFigures">
    <w:name w:val="table of figures"/>
    <w:basedOn w:val="Normal"/>
    <w:next w:val="Normal"/>
    <w:semiHidden/>
    <w:rsid w:val="00103C3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03C3E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103C3E"/>
    <w:rPr>
      <w:rFonts w:ascii="Wingdings" w:hAnsi="Wingdings"/>
    </w:rPr>
  </w:style>
  <w:style w:type="paragraph" w:customStyle="1" w:styleId="TableHeading">
    <w:name w:val="Table Heading"/>
    <w:basedOn w:val="HeadingBase"/>
    <w:rsid w:val="00103C3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03C3E"/>
    <w:rPr>
      <w:color w:val="0033CC"/>
      <w:u w:val="none"/>
    </w:rPr>
  </w:style>
  <w:style w:type="paragraph" w:customStyle="1" w:styleId="BodyTextRight">
    <w:name w:val="Body Text Right"/>
    <w:basedOn w:val="BodyText"/>
    <w:rsid w:val="00103C3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03C3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03C3E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03C3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03C3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03C3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03C3E"/>
    <w:rPr>
      <w:sz w:val="32"/>
    </w:rPr>
  </w:style>
  <w:style w:type="paragraph" w:customStyle="1" w:styleId="HeadingProcedure">
    <w:name w:val="Heading Procedure"/>
    <w:basedOn w:val="HeadingBase"/>
    <w:next w:val="Normal"/>
    <w:rsid w:val="00103C3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03C3E"/>
    <w:pPr>
      <w:spacing w:before="60" w:after="60"/>
    </w:pPr>
  </w:style>
  <w:style w:type="paragraph" w:styleId="ListContinue">
    <w:name w:val="List Continue"/>
    <w:basedOn w:val="List"/>
    <w:rsid w:val="00103C3E"/>
    <w:pPr>
      <w:ind w:firstLine="0"/>
    </w:pPr>
  </w:style>
  <w:style w:type="paragraph" w:customStyle="1" w:styleId="ListNote">
    <w:name w:val="List Note"/>
    <w:basedOn w:val="List"/>
    <w:rsid w:val="00103C3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03C3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03C3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03C3E"/>
    <w:rPr>
      <w:rFonts w:ascii="Courier New" w:hAnsi="Courier New"/>
    </w:rPr>
  </w:style>
  <w:style w:type="paragraph" w:customStyle="1" w:styleId="NoteBullet">
    <w:name w:val="Note Bullet"/>
    <w:basedOn w:val="Note"/>
    <w:rsid w:val="00103C3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03C3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03C3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03C3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03C3E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103C3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03C3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03C3E"/>
    <w:rPr>
      <w:b/>
      <w:smallCaps/>
    </w:rPr>
  </w:style>
  <w:style w:type="paragraph" w:customStyle="1" w:styleId="TableListNumber">
    <w:name w:val="Table List Number"/>
    <w:basedOn w:val="ListNumber"/>
    <w:rsid w:val="00103C3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03C3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03C3E"/>
    <w:pPr>
      <w:numPr>
        <w:numId w:val="10"/>
      </w:numPr>
    </w:pPr>
  </w:style>
  <w:style w:type="paragraph" w:customStyle="1" w:styleId="ListAlpha2">
    <w:name w:val="List Alpha 2"/>
    <w:basedOn w:val="List2"/>
    <w:rsid w:val="00103C3E"/>
    <w:pPr>
      <w:numPr>
        <w:numId w:val="9"/>
      </w:numPr>
    </w:pPr>
  </w:style>
  <w:style w:type="paragraph" w:styleId="List2">
    <w:name w:val="List 2"/>
    <w:basedOn w:val="BodyText"/>
    <w:rsid w:val="00103C3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03C3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03C3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03C3E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103C3E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103C3E"/>
    <w:pPr>
      <w:numPr>
        <w:numId w:val="5"/>
      </w:numPr>
    </w:pPr>
  </w:style>
  <w:style w:type="paragraph" w:styleId="ListContinue2">
    <w:name w:val="List Continue 2"/>
    <w:basedOn w:val="List2"/>
    <w:rsid w:val="00103C3E"/>
    <w:pPr>
      <w:ind w:firstLine="0"/>
    </w:pPr>
  </w:style>
  <w:style w:type="paragraph" w:styleId="ListContinue3">
    <w:name w:val="List Continue 3"/>
    <w:basedOn w:val="List3"/>
    <w:rsid w:val="00103C3E"/>
    <w:pPr>
      <w:ind w:left="1021" w:firstLine="0"/>
    </w:pPr>
  </w:style>
  <w:style w:type="paragraph" w:styleId="ListContinue4">
    <w:name w:val="List Continue 4"/>
    <w:basedOn w:val="List4"/>
    <w:rsid w:val="00103C3E"/>
    <w:pPr>
      <w:ind w:firstLine="0"/>
    </w:pPr>
  </w:style>
  <w:style w:type="paragraph" w:styleId="ListContinue5">
    <w:name w:val="List Continue 5"/>
    <w:basedOn w:val="List5"/>
    <w:rsid w:val="00103C3E"/>
    <w:pPr>
      <w:ind w:firstLine="0"/>
    </w:pPr>
  </w:style>
  <w:style w:type="paragraph" w:styleId="ListNumber3">
    <w:name w:val="List Number 3"/>
    <w:basedOn w:val="List3"/>
    <w:rsid w:val="00103C3E"/>
    <w:pPr>
      <w:numPr>
        <w:numId w:val="6"/>
      </w:numPr>
    </w:pPr>
  </w:style>
  <w:style w:type="paragraph" w:styleId="ListNumber4">
    <w:name w:val="List Number 4"/>
    <w:basedOn w:val="List4"/>
    <w:rsid w:val="00103C3E"/>
    <w:pPr>
      <w:numPr>
        <w:numId w:val="7"/>
      </w:numPr>
    </w:pPr>
  </w:style>
  <w:style w:type="paragraph" w:styleId="ListNumber5">
    <w:name w:val="List Number 5"/>
    <w:basedOn w:val="List5"/>
    <w:rsid w:val="00103C3E"/>
    <w:pPr>
      <w:numPr>
        <w:numId w:val="8"/>
      </w:numPr>
    </w:pPr>
  </w:style>
  <w:style w:type="paragraph" w:styleId="BlockText">
    <w:name w:val="Block Text"/>
    <w:basedOn w:val="Normal"/>
    <w:rsid w:val="00103C3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03C3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03C3E"/>
    <w:rPr>
      <w:sz w:val="16"/>
      <w:vertAlign w:val="superscript"/>
    </w:rPr>
  </w:style>
  <w:style w:type="character" w:customStyle="1" w:styleId="Symbols">
    <w:name w:val="Symbols"/>
    <w:basedOn w:val="DefaultParagraphFont"/>
    <w:rsid w:val="00103C3E"/>
    <w:rPr>
      <w:rFonts w:ascii="Symbol" w:hAnsi="Symbol"/>
    </w:rPr>
  </w:style>
  <w:style w:type="character" w:customStyle="1" w:styleId="MenuOptions">
    <w:name w:val="Menu Options"/>
    <w:basedOn w:val="DefaultParagraphFont"/>
    <w:rsid w:val="00103C3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03C3E"/>
    <w:rPr>
      <w:b/>
    </w:rPr>
  </w:style>
  <w:style w:type="character" w:customStyle="1" w:styleId="Underlined">
    <w:name w:val="Underlined"/>
    <w:basedOn w:val="DefaultParagraphFont"/>
    <w:rsid w:val="00103C3E"/>
    <w:rPr>
      <w:u w:val="single"/>
    </w:rPr>
  </w:style>
  <w:style w:type="paragraph" w:customStyle="1" w:styleId="TableBodyTextRight">
    <w:name w:val="Table Body Text Right"/>
    <w:basedOn w:val="TableBodyText"/>
    <w:rsid w:val="00103C3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03C3E"/>
    <w:rPr>
      <w:sz w:val="18"/>
    </w:rPr>
  </w:style>
  <w:style w:type="paragraph" w:customStyle="1" w:styleId="BodySmallRight">
    <w:name w:val="Body Small Right"/>
    <w:basedOn w:val="BodyTextRight"/>
    <w:rsid w:val="00103C3E"/>
    <w:rPr>
      <w:sz w:val="18"/>
      <w:szCs w:val="18"/>
    </w:rPr>
  </w:style>
  <w:style w:type="paragraph" w:customStyle="1" w:styleId="MarginEdition">
    <w:name w:val="Margin Edition"/>
    <w:basedOn w:val="MarginNote"/>
    <w:rsid w:val="00103C3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03C3E"/>
    <w:rPr>
      <w:sz w:val="2"/>
      <w:szCs w:val="2"/>
    </w:rPr>
  </w:style>
  <w:style w:type="character" w:customStyle="1" w:styleId="Small">
    <w:name w:val="Small"/>
    <w:basedOn w:val="DefaultParagraphFont"/>
    <w:rsid w:val="00103C3E"/>
    <w:rPr>
      <w:sz w:val="16"/>
    </w:rPr>
  </w:style>
  <w:style w:type="paragraph" w:customStyle="1" w:styleId="WideTable">
    <w:name w:val="Wide Table"/>
    <w:basedOn w:val="Normal"/>
    <w:rsid w:val="00103C3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03C3E"/>
  </w:style>
  <w:style w:type="paragraph" w:styleId="Quote">
    <w:name w:val="Quote"/>
    <w:basedOn w:val="Heading1"/>
    <w:link w:val="QuoteChar"/>
    <w:qFormat/>
    <w:rsid w:val="00103C3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03C3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03C3E"/>
    <w:pPr>
      <w:pageBreakBefore/>
    </w:pPr>
  </w:style>
  <w:style w:type="paragraph" w:customStyle="1" w:styleId="Border">
    <w:name w:val="Border"/>
    <w:basedOn w:val="Normal"/>
    <w:qFormat/>
    <w:rsid w:val="00103C3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03C3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03C3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03C3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03C3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03C3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03C3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03C3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03C3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03C3E"/>
    <w:rPr>
      <w:u w:val="single"/>
    </w:rPr>
  </w:style>
  <w:style w:type="character" w:customStyle="1" w:styleId="BoldandItalics">
    <w:name w:val="Bold and Italics"/>
    <w:qFormat/>
    <w:rsid w:val="00103C3E"/>
    <w:rPr>
      <w:b/>
      <w:i/>
      <w:u w:val="none"/>
    </w:rPr>
  </w:style>
  <w:style w:type="paragraph" w:styleId="BalloonText">
    <w:name w:val="Balloon Text"/>
    <w:basedOn w:val="Normal"/>
    <w:link w:val="BalloonTextChar"/>
    <w:rsid w:val="00103C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03C3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03C3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03C3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03C3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03C3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03C3E"/>
    <w:pPr>
      <w:spacing w:before="0" w:after="0"/>
    </w:pPr>
  </w:style>
  <w:style w:type="paragraph" w:customStyle="1" w:styleId="BodyTextBold">
    <w:name w:val="Body Text Bold"/>
    <w:basedOn w:val="BodyText"/>
    <w:qFormat/>
    <w:rsid w:val="00103C3E"/>
    <w:rPr>
      <w:b/>
    </w:rPr>
  </w:style>
  <w:style w:type="character" w:styleId="Hyperlink">
    <w:name w:val="Hyperlink"/>
    <w:basedOn w:val="DefaultParagraphFont"/>
    <w:uiPriority w:val="99"/>
    <w:unhideWhenUsed/>
    <w:rsid w:val="005A70F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352</Words>
  <Characters>2486</Characters>
  <Application>Microsoft Office Word</Application>
  <DocSecurity>0</DocSecurity>
  <Lines>82</Lines>
  <Paragraphs>69</Paragraphs>
  <ScaleCrop>false</ScaleCrop>
  <Company>Author-it Software Corporation Ltd.</Company>
  <LinksUpToDate>false</LinksUpToDate>
  <CharactersWithSpaces>2769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MSMPMC330 Produce architectural precast concrete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2020-09-04T08:28:00Z</dcterms:created>
  <dcterms:modified xsi:type="dcterms:W3CDTF">2020-09-04T08:28:00Z</dcterms:modified>
</cp:coreProperties>
</file>