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C34" w:rsidP="00FA0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MSMPMC329 Prepare moulds and dies</w:t>
      </w:r>
      <w:r>
        <w:fldChar w:fldCharType="end"/>
      </w:r>
    </w:p>
    <w:p w:rsidR="00FA0C34" w:rsidP="00FA0C34">
      <w:pPr>
        <w:pStyle w:val="Version"/>
        <w:sectPr w:rsidSect="005620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0A2" w:rsidP="005620A2">
      <w:pPr>
        <w:pStyle w:val="SuperHeading"/>
      </w:pPr>
      <w:r w:rsidRPr="005620A2">
        <w:t>Assessment Requirements for MSMPMC329 Prepare moulds and dies</w:t>
      </w:r>
    </w:p>
    <w:p w:rsidR="00000000" w:rsidRPr="005620A2" w:rsidP="005620A2">
      <w:pPr>
        <w:pStyle w:val="Heading1"/>
      </w:pPr>
      <w:bookmarkStart w:id="1" w:name="O_1010344"/>
      <w:bookmarkEnd w:id="1"/>
      <w:r w:rsidRPr="005620A2">
        <w:t>Modification History</w:t>
      </w:r>
    </w:p>
    <w:p w:rsidR="00000000" w:rsidRPr="005620A2" w:rsidP="00FA0C34">
      <w:pPr>
        <w:pStyle w:val="BodyText"/>
      </w:pPr>
      <w:r w:rsidRPr="005620A2">
        <w:t xml:space="preserve">Release 1. New unit. Supersedes and is equivalent to PMC553020 Prepare moulds and dies  </w:t>
      </w:r>
    </w:p>
    <w:p w:rsidR="00000000" w:rsidRPr="005620A2" w:rsidP="005620A2">
      <w:pPr>
        <w:pStyle w:val="Heading1"/>
      </w:pPr>
      <w:bookmarkStart w:id="2" w:name="O_1010347"/>
      <w:bookmarkEnd w:id="2"/>
      <w:r w:rsidRPr="005620A2">
        <w:t>Performance Evidence</w:t>
      </w:r>
    </w:p>
    <w:p w:rsidR="00000000" w:rsidRPr="005620A2" w:rsidP="00FA0C34">
      <w:pPr>
        <w:pStyle w:val="BodyText"/>
      </w:pPr>
      <w:r w:rsidRPr="005620A2">
        <w:t>There must be evidence the candidate has completed the tasks o</w:t>
      </w:r>
      <w:r w:rsidRPr="005620A2">
        <w:t>utlined in the elements and performance criteria of this unit, and:</w:t>
      </w:r>
    </w:p>
    <w:p w:rsidR="00000000" w:rsidRPr="005620A2" w:rsidP="005620A2">
      <w:pPr>
        <w:pStyle w:val="ListBullet"/>
      </w:pPr>
      <w:r w:rsidRPr="005620A2">
        <w:t>constructed the following moulding items to specification on at least 1 occasion:</w:t>
      </w:r>
    </w:p>
    <w:p w:rsidR="00000000" w:rsidRPr="005620A2" w:rsidP="005620A2">
      <w:pPr>
        <w:pStyle w:val="ListBullet2"/>
      </w:pPr>
      <w:r w:rsidRPr="005620A2">
        <w:t>working mould</w:t>
      </w:r>
    </w:p>
    <w:p w:rsidR="00000000" w:rsidRPr="005620A2" w:rsidP="005620A2">
      <w:pPr>
        <w:pStyle w:val="ListBullet2"/>
      </w:pPr>
      <w:r w:rsidRPr="005620A2">
        <w:t>die</w:t>
      </w:r>
    </w:p>
    <w:p w:rsidR="00000000" w:rsidRPr="005620A2" w:rsidP="005620A2">
      <w:pPr>
        <w:pStyle w:val="ListBullet2"/>
      </w:pPr>
      <w:r w:rsidRPr="005620A2">
        <w:t>frame or case</w:t>
      </w:r>
    </w:p>
    <w:p w:rsidR="00000000" w:rsidRPr="005620A2" w:rsidP="005620A2">
      <w:pPr>
        <w:pStyle w:val="ListBullet"/>
      </w:pPr>
      <w:r w:rsidRPr="005620A2">
        <w:t>monitored the following key variables to ensure product integrity and c</w:t>
      </w:r>
      <w:r w:rsidRPr="005620A2">
        <w:t>onformance to specification:</w:t>
      </w:r>
    </w:p>
    <w:p w:rsidR="00000000" w:rsidRPr="005620A2" w:rsidP="005620A2">
      <w:pPr>
        <w:pStyle w:val="ListBullet2"/>
      </w:pPr>
      <w:r w:rsidRPr="005620A2">
        <w:t xml:space="preserve">shape </w:t>
      </w:r>
    </w:p>
    <w:p w:rsidR="00000000" w:rsidRPr="005620A2" w:rsidP="005620A2">
      <w:pPr>
        <w:pStyle w:val="ListBullet2"/>
      </w:pPr>
      <w:r w:rsidRPr="005620A2">
        <w:t>dimensions</w:t>
      </w:r>
    </w:p>
    <w:p w:rsidR="00000000" w:rsidRPr="005620A2" w:rsidP="005620A2">
      <w:pPr>
        <w:pStyle w:val="ListBullet2"/>
      </w:pPr>
      <w:r w:rsidRPr="005620A2">
        <w:t>shrinkage</w:t>
      </w:r>
    </w:p>
    <w:p w:rsidR="00000000" w:rsidRPr="005620A2" w:rsidP="005620A2">
      <w:pPr>
        <w:pStyle w:val="ListBullet2"/>
      </w:pPr>
      <w:r w:rsidRPr="005620A2">
        <w:t xml:space="preserve">type of material for product </w:t>
      </w:r>
    </w:p>
    <w:p w:rsidR="00000000" w:rsidRPr="005620A2" w:rsidP="005620A2">
      <w:pPr>
        <w:pStyle w:val="ListBullet2"/>
      </w:pPr>
      <w:r w:rsidRPr="005620A2">
        <w:t>integrity and conformance to specification of the moulding item</w:t>
      </w:r>
    </w:p>
    <w:p w:rsidR="00000000" w:rsidRPr="005620A2" w:rsidP="005620A2">
      <w:pPr>
        <w:pStyle w:val="ListBullet"/>
      </w:pPr>
      <w:r w:rsidRPr="005620A2">
        <w:t>recognised possible causes of the following routine problems:</w:t>
      </w:r>
    </w:p>
    <w:p w:rsidR="00000000" w:rsidRPr="005620A2" w:rsidP="005620A2">
      <w:pPr>
        <w:pStyle w:val="ListBullet2"/>
      </w:pPr>
      <w:r w:rsidRPr="005620A2">
        <w:t>incorrect materials</w:t>
      </w:r>
    </w:p>
    <w:p w:rsidR="00000000" w:rsidRPr="005620A2" w:rsidP="005620A2">
      <w:pPr>
        <w:pStyle w:val="ListBullet2"/>
      </w:pPr>
      <w:r w:rsidRPr="005620A2">
        <w:t xml:space="preserve">variations in materials </w:t>
      </w:r>
    </w:p>
    <w:p w:rsidR="00000000" w:rsidRPr="005620A2" w:rsidP="005620A2">
      <w:pPr>
        <w:pStyle w:val="ListBullet2"/>
      </w:pPr>
      <w:r w:rsidRPr="005620A2">
        <w:t>equipment malfunction</w:t>
      </w:r>
    </w:p>
    <w:p w:rsidR="00000000" w:rsidRPr="005620A2" w:rsidP="005620A2">
      <w:pPr>
        <w:pStyle w:val="ListBullet2"/>
      </w:pPr>
      <w:r w:rsidRPr="005620A2">
        <w:t>procedure errors</w:t>
      </w:r>
    </w:p>
    <w:p w:rsidR="00FA0C34" w:rsidP="005620A2">
      <w:pPr>
        <w:pStyle w:val="ListBullet2"/>
      </w:pPr>
      <w:r w:rsidRPr="005620A2">
        <w:t xml:space="preserve">incorrect specifications. </w:t>
      </w:r>
    </w:p>
    <w:p w:rsidR="00FA0C34" w:rsidP="005620A2">
      <w:pPr>
        <w:pStyle w:val="ListBullet2"/>
      </w:pPr>
    </w:p>
    <w:p w:rsidR="00000000" w:rsidRPr="005620A2" w:rsidP="005620A2">
      <w:pPr>
        <w:pStyle w:val="Heading1"/>
      </w:pPr>
      <w:bookmarkStart w:id="3" w:name="O_1010346"/>
      <w:bookmarkEnd w:id="3"/>
      <w:r w:rsidRPr="005620A2">
        <w:t>Knowledge Evidence</w:t>
      </w:r>
    </w:p>
    <w:p w:rsidR="00000000" w:rsidRPr="005620A2" w:rsidP="00FA0C34">
      <w:pPr>
        <w:pStyle w:val="BodyText"/>
      </w:pPr>
      <w:r w:rsidRPr="005620A2">
        <w:t>There must be evidence the candidate has knowledge of:</w:t>
      </w:r>
    </w:p>
    <w:p w:rsidR="00000000" w:rsidRPr="005620A2" w:rsidP="005620A2">
      <w:pPr>
        <w:pStyle w:val="ListBullet"/>
      </w:pPr>
      <w:r w:rsidRPr="005620A2">
        <w:t>types of moulds, dies, frames, cases and their functions</w:t>
      </w:r>
    </w:p>
    <w:p w:rsidR="00000000" w:rsidRPr="005620A2" w:rsidP="005620A2">
      <w:pPr>
        <w:pStyle w:val="ListBullet"/>
      </w:pPr>
      <w:r w:rsidRPr="005620A2">
        <w:t>materials pro</w:t>
      </w:r>
      <w:r w:rsidRPr="005620A2">
        <w:t>perties and impact on design and construction of moulds, dies, frames and cases, including:</w:t>
      </w:r>
    </w:p>
    <w:p w:rsidR="00000000" w:rsidRPr="005620A2" w:rsidP="005620A2">
      <w:pPr>
        <w:pStyle w:val="ListBullet2"/>
      </w:pPr>
      <w:r w:rsidRPr="005620A2">
        <w:t>additives</w:t>
      </w:r>
    </w:p>
    <w:p w:rsidR="00000000" w:rsidRPr="005620A2" w:rsidP="005620A2">
      <w:pPr>
        <w:pStyle w:val="ListBullet2"/>
      </w:pPr>
      <w:r w:rsidRPr="005620A2">
        <w:t>release agents</w:t>
      </w:r>
    </w:p>
    <w:p w:rsidR="00000000" w:rsidRPr="005620A2" w:rsidP="005620A2">
      <w:pPr>
        <w:pStyle w:val="ListBullet2"/>
      </w:pPr>
      <w:r w:rsidRPr="005620A2">
        <w:t>epoxy resins</w:t>
      </w:r>
    </w:p>
    <w:p w:rsidR="00000000" w:rsidRPr="005620A2" w:rsidP="005620A2">
      <w:pPr>
        <w:pStyle w:val="ListBullet2"/>
      </w:pPr>
      <w:r w:rsidRPr="005620A2">
        <w:t>concrete</w:t>
      </w:r>
    </w:p>
    <w:p w:rsidR="00000000" w:rsidRPr="005620A2" w:rsidP="005620A2">
      <w:pPr>
        <w:pStyle w:val="ListBullet2"/>
      </w:pPr>
      <w:r w:rsidRPr="005620A2">
        <w:t>clay</w:t>
      </w:r>
    </w:p>
    <w:p w:rsidR="00000000" w:rsidRPr="005620A2" w:rsidP="005620A2">
      <w:pPr>
        <w:pStyle w:val="ListBullet2"/>
      </w:pPr>
      <w:r w:rsidRPr="005620A2">
        <w:t>plaster</w:t>
      </w:r>
    </w:p>
    <w:p w:rsidR="00000000" w:rsidRPr="005620A2" w:rsidP="005620A2">
      <w:pPr>
        <w:pStyle w:val="ListBullet2"/>
      </w:pPr>
      <w:r w:rsidRPr="005620A2">
        <w:t>ceramics</w:t>
      </w:r>
    </w:p>
    <w:p w:rsidR="00000000" w:rsidRPr="005620A2" w:rsidP="005620A2">
      <w:pPr>
        <w:pStyle w:val="ListBullet"/>
      </w:pPr>
      <w:r w:rsidRPr="005620A2">
        <w:t xml:space="preserve">quality requirements at each stage of production </w:t>
      </w:r>
    </w:p>
    <w:p w:rsidR="00000000" w:rsidRPr="005620A2" w:rsidP="005620A2">
      <w:pPr>
        <w:pStyle w:val="ListBullet"/>
      </w:pPr>
      <w:r w:rsidRPr="005620A2">
        <w:t xml:space="preserve">the potential effects of variations in raw materials and equipment operation or processes in relation to quality of moulding items and product </w:t>
      </w:r>
    </w:p>
    <w:p w:rsidR="00000000" w:rsidRPr="005620A2" w:rsidP="005620A2">
      <w:pPr>
        <w:pStyle w:val="ListBullet"/>
      </w:pPr>
      <w:r w:rsidRPr="005620A2">
        <w:t xml:space="preserve">routine problems, their probable causes and relevant corrective actions </w:t>
      </w:r>
    </w:p>
    <w:p w:rsidR="00000000" w:rsidRPr="005620A2" w:rsidP="005620A2">
      <w:pPr>
        <w:pStyle w:val="ListBullet"/>
      </w:pPr>
      <w:r w:rsidRPr="005620A2">
        <w:t>mould and die hazards and:</w:t>
      </w:r>
    </w:p>
    <w:p w:rsidR="00000000" w:rsidRPr="005620A2" w:rsidP="005620A2">
      <w:pPr>
        <w:pStyle w:val="ListBullet2"/>
      </w:pPr>
      <w:r w:rsidRPr="005620A2">
        <w:t>their possi</w:t>
      </w:r>
      <w:r w:rsidRPr="005620A2">
        <w:t xml:space="preserve">ble causes </w:t>
      </w:r>
    </w:p>
    <w:p w:rsidR="00000000" w:rsidRPr="005620A2" w:rsidP="005620A2">
      <w:pPr>
        <w:pStyle w:val="ListBullet2"/>
      </w:pPr>
      <w:r w:rsidRPr="005620A2">
        <w:t>potential consequences</w:t>
      </w:r>
    </w:p>
    <w:p w:rsidR="00FA0C34" w:rsidP="005620A2">
      <w:pPr>
        <w:pStyle w:val="ListBullet2"/>
      </w:pPr>
      <w:r w:rsidRPr="005620A2">
        <w:t>risk control procedures.</w:t>
      </w:r>
    </w:p>
    <w:p w:rsidR="00FA0C34" w:rsidP="005620A2">
      <w:pPr>
        <w:pStyle w:val="ListBullet2"/>
      </w:pPr>
    </w:p>
    <w:p w:rsidR="00000000" w:rsidRPr="005620A2" w:rsidP="005620A2">
      <w:pPr>
        <w:pStyle w:val="Heading1"/>
      </w:pPr>
      <w:bookmarkStart w:id="4" w:name="O_1010345"/>
      <w:bookmarkEnd w:id="4"/>
      <w:r w:rsidRPr="005620A2">
        <w:t>Assessment Conditions</w:t>
      </w:r>
    </w:p>
    <w:p w:rsidR="00000000" w:rsidRPr="005620A2" w:rsidP="00FA0C34">
      <w:pPr>
        <w:pStyle w:val="BodyText"/>
      </w:pPr>
      <w:r w:rsidRPr="005620A2">
        <w:t xml:space="preserve">Skills must have been demonstrated in the workplace or in a simulated environment that reflects workplace conditions and contingencies. The following </w:t>
      </w:r>
      <w:r w:rsidRPr="005620A2">
        <w:t xml:space="preserve">conditions must be met for this unit: </w:t>
      </w:r>
    </w:p>
    <w:p w:rsidR="00000000" w:rsidRPr="005620A2" w:rsidP="005620A2">
      <w:pPr>
        <w:pStyle w:val="ListBullet"/>
      </w:pPr>
      <w:r w:rsidRPr="005620A2">
        <w:t xml:space="preserve">use of suitable facilities, equipment and resources, including: </w:t>
      </w:r>
    </w:p>
    <w:p w:rsidR="00000000" w:rsidRPr="005620A2" w:rsidP="005620A2">
      <w:pPr>
        <w:pStyle w:val="ListBullet2"/>
      </w:pPr>
      <w:r w:rsidRPr="005620A2">
        <w:t xml:space="preserve">moulds, dies, frames or cases and materials </w:t>
      </w:r>
    </w:p>
    <w:p w:rsidR="00000000" w:rsidRPr="005620A2" w:rsidP="005620A2">
      <w:pPr>
        <w:pStyle w:val="ListBullet2"/>
      </w:pPr>
      <w:r w:rsidRPr="005620A2">
        <w:t>specifications, procedures and job sheets</w:t>
      </w:r>
    </w:p>
    <w:p w:rsidR="00000000" w:rsidRPr="005620A2" w:rsidP="005620A2">
      <w:pPr>
        <w:pStyle w:val="ListBullet"/>
      </w:pPr>
      <w:r w:rsidRPr="005620A2">
        <w:t>modelling of industry operating conditions, including:</w:t>
      </w:r>
    </w:p>
    <w:p w:rsidR="00000000" w:rsidRPr="005620A2" w:rsidP="005620A2">
      <w:pPr>
        <w:pStyle w:val="ListBullet2"/>
      </w:pPr>
      <w:r w:rsidRPr="005620A2">
        <w:t>routi</w:t>
      </w:r>
      <w:r w:rsidRPr="005620A2">
        <w:t>ne and non-routine problems.</w:t>
      </w:r>
    </w:p>
    <w:p w:rsidR="00000000" w:rsidRPr="005620A2" w:rsidP="005620A2">
      <w:pPr>
        <w:pStyle w:val="BodyText"/>
      </w:pPr>
    </w:p>
    <w:p w:rsidR="00FA0C34" w:rsidP="00FA0C34">
      <w:pPr>
        <w:pStyle w:val="BodyText"/>
      </w:pPr>
      <w:r w:rsidRPr="005620A2">
        <w:t>Assessors must satisfy the NVR/AQTF mandatory competency requirements for assessors.</w:t>
      </w:r>
    </w:p>
    <w:p w:rsidR="00000000" w:rsidRPr="005620A2" w:rsidP="005620A2">
      <w:pPr>
        <w:pStyle w:val="Heading1"/>
      </w:pPr>
      <w:bookmarkStart w:id="5" w:name="O_1010343"/>
      <w:bookmarkEnd w:id="5"/>
      <w:r w:rsidRPr="005620A2">
        <w:t>Links</w:t>
      </w:r>
    </w:p>
    <w:p w:rsidR="00000000" w:rsidRPr="005620A2" w:rsidP="00FA0C34">
      <w:pPr>
        <w:pStyle w:val="BodyText"/>
      </w:pPr>
      <w:r w:rsidRPr="005620A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9664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620A2" w:rsidP="005620A2"/>
    <w:sectPr w:rsidSect="005620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2" w:rsidRPr="00FA0C34" w:rsidP="00FA0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34" w:rsidP="005620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0C34" w:rsidP="005620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0C34" w:rsidP="005620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0A2" w:rsidRPr="00FA0C34" w:rsidP="00FA0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34" w:rsidRPr="002D2AF8" w:rsidP="005620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MSMPMC329 Prepare moulds and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0C34" w:rsidP="005620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EB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02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126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0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0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0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0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0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0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0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0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0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0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0A2"/>
  </w:style>
  <w:style w:type="character" w:customStyle="1" w:styleId="Heading1Char">
    <w:name w:val="Heading 1 Char"/>
    <w:basedOn w:val="DefaultParagraphFont"/>
    <w:link w:val="Heading1"/>
    <w:rsid w:val="005620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0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0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0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20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0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0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0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0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0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0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0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0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0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0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0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0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0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0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0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0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0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0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20A2"/>
    <w:rPr>
      <w:b/>
      <w:spacing w:val="0"/>
    </w:rPr>
  </w:style>
  <w:style w:type="paragraph" w:customStyle="1" w:styleId="SuperTitle">
    <w:name w:val="SuperTitle"/>
    <w:basedOn w:val="Title"/>
    <w:rsid w:val="005620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0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0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0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0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0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0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0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0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0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0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0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0A2"/>
    <w:rPr>
      <w:i/>
    </w:rPr>
  </w:style>
  <w:style w:type="paragraph" w:styleId="Caption">
    <w:name w:val="caption"/>
    <w:basedOn w:val="BodyText"/>
    <w:next w:val="Normal"/>
    <w:qFormat/>
    <w:rsid w:val="005620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0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0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0A2"/>
  </w:style>
  <w:style w:type="paragraph" w:styleId="TableofFigures">
    <w:name w:val="table of figures"/>
    <w:basedOn w:val="Normal"/>
    <w:next w:val="Normal"/>
    <w:semiHidden/>
    <w:rsid w:val="005620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0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0A2"/>
    <w:rPr>
      <w:rFonts w:ascii="Wingdings" w:hAnsi="Wingdings"/>
    </w:rPr>
  </w:style>
  <w:style w:type="paragraph" w:customStyle="1" w:styleId="TableHeading">
    <w:name w:val="Table Heading"/>
    <w:basedOn w:val="HeadingBase"/>
    <w:rsid w:val="005620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0A2"/>
    <w:rPr>
      <w:color w:val="0033CC"/>
      <w:u w:val="none"/>
    </w:rPr>
  </w:style>
  <w:style w:type="paragraph" w:customStyle="1" w:styleId="BodyTextRight">
    <w:name w:val="Body Text Right"/>
    <w:basedOn w:val="BodyText"/>
    <w:rsid w:val="005620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0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0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0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0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0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0A2"/>
    <w:rPr>
      <w:sz w:val="32"/>
    </w:rPr>
  </w:style>
  <w:style w:type="paragraph" w:customStyle="1" w:styleId="HeadingProcedure">
    <w:name w:val="Heading Procedure"/>
    <w:basedOn w:val="HeadingBase"/>
    <w:next w:val="Normal"/>
    <w:rsid w:val="005620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0A2"/>
    <w:pPr>
      <w:spacing w:before="60" w:after="60"/>
    </w:pPr>
  </w:style>
  <w:style w:type="paragraph" w:styleId="ListContinue">
    <w:name w:val="List Continue"/>
    <w:basedOn w:val="List"/>
    <w:rsid w:val="005620A2"/>
    <w:pPr>
      <w:ind w:firstLine="0"/>
    </w:pPr>
  </w:style>
  <w:style w:type="paragraph" w:customStyle="1" w:styleId="ListNote">
    <w:name w:val="List Note"/>
    <w:basedOn w:val="List"/>
    <w:rsid w:val="005620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0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0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0A2"/>
    <w:rPr>
      <w:rFonts w:ascii="Courier New" w:hAnsi="Courier New"/>
    </w:rPr>
  </w:style>
  <w:style w:type="paragraph" w:customStyle="1" w:styleId="NoteBullet">
    <w:name w:val="Note Bullet"/>
    <w:basedOn w:val="Note"/>
    <w:rsid w:val="005620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0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0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0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0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0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0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0A2"/>
    <w:rPr>
      <w:b/>
      <w:smallCaps/>
    </w:rPr>
  </w:style>
  <w:style w:type="paragraph" w:customStyle="1" w:styleId="TableListNumber">
    <w:name w:val="Table List Number"/>
    <w:basedOn w:val="ListNumber"/>
    <w:rsid w:val="005620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0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0A2"/>
    <w:pPr>
      <w:numPr>
        <w:numId w:val="9"/>
      </w:numPr>
    </w:pPr>
  </w:style>
  <w:style w:type="paragraph" w:customStyle="1" w:styleId="ListAlpha2">
    <w:name w:val="List Alpha 2"/>
    <w:basedOn w:val="List2"/>
    <w:rsid w:val="005620A2"/>
    <w:pPr>
      <w:numPr>
        <w:numId w:val="8"/>
      </w:numPr>
    </w:pPr>
  </w:style>
  <w:style w:type="paragraph" w:styleId="List2">
    <w:name w:val="List 2"/>
    <w:basedOn w:val="BodyText"/>
    <w:rsid w:val="005620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0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0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0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0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0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0A2"/>
    <w:pPr>
      <w:numPr>
        <w:numId w:val="4"/>
      </w:numPr>
    </w:pPr>
  </w:style>
  <w:style w:type="paragraph" w:styleId="ListContinue2">
    <w:name w:val="List Continue 2"/>
    <w:basedOn w:val="List2"/>
    <w:rsid w:val="005620A2"/>
    <w:pPr>
      <w:ind w:firstLine="0"/>
    </w:pPr>
  </w:style>
  <w:style w:type="paragraph" w:styleId="ListContinue3">
    <w:name w:val="List Continue 3"/>
    <w:basedOn w:val="List3"/>
    <w:rsid w:val="005620A2"/>
    <w:pPr>
      <w:ind w:left="1021" w:firstLine="0"/>
    </w:pPr>
  </w:style>
  <w:style w:type="paragraph" w:styleId="ListContinue4">
    <w:name w:val="List Continue 4"/>
    <w:basedOn w:val="List4"/>
    <w:rsid w:val="005620A2"/>
    <w:pPr>
      <w:ind w:firstLine="0"/>
    </w:pPr>
  </w:style>
  <w:style w:type="paragraph" w:styleId="ListContinue5">
    <w:name w:val="List Continue 5"/>
    <w:basedOn w:val="List5"/>
    <w:rsid w:val="005620A2"/>
    <w:pPr>
      <w:ind w:firstLine="0"/>
    </w:pPr>
  </w:style>
  <w:style w:type="paragraph" w:styleId="ListNumber3">
    <w:name w:val="List Number 3"/>
    <w:basedOn w:val="List3"/>
    <w:rsid w:val="005620A2"/>
    <w:pPr>
      <w:numPr>
        <w:numId w:val="5"/>
      </w:numPr>
    </w:pPr>
  </w:style>
  <w:style w:type="paragraph" w:styleId="ListNumber4">
    <w:name w:val="List Number 4"/>
    <w:basedOn w:val="List4"/>
    <w:rsid w:val="005620A2"/>
    <w:pPr>
      <w:numPr>
        <w:numId w:val="6"/>
      </w:numPr>
    </w:pPr>
  </w:style>
  <w:style w:type="paragraph" w:styleId="ListNumber5">
    <w:name w:val="List Number 5"/>
    <w:basedOn w:val="List5"/>
    <w:rsid w:val="005620A2"/>
    <w:pPr>
      <w:numPr>
        <w:numId w:val="7"/>
      </w:numPr>
    </w:pPr>
  </w:style>
  <w:style w:type="paragraph" w:styleId="BlockText">
    <w:name w:val="Block Text"/>
    <w:basedOn w:val="Normal"/>
    <w:rsid w:val="005620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0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0A2"/>
    <w:rPr>
      <w:sz w:val="16"/>
      <w:vertAlign w:val="superscript"/>
    </w:rPr>
  </w:style>
  <w:style w:type="character" w:customStyle="1" w:styleId="Symbols">
    <w:name w:val="Symbols"/>
    <w:basedOn w:val="DefaultParagraphFont"/>
    <w:rsid w:val="005620A2"/>
    <w:rPr>
      <w:rFonts w:ascii="Symbol" w:hAnsi="Symbol"/>
    </w:rPr>
  </w:style>
  <w:style w:type="character" w:customStyle="1" w:styleId="MenuOptions">
    <w:name w:val="Menu Options"/>
    <w:basedOn w:val="DefaultParagraphFont"/>
    <w:rsid w:val="005620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0A2"/>
    <w:rPr>
      <w:b/>
    </w:rPr>
  </w:style>
  <w:style w:type="character" w:customStyle="1" w:styleId="Underlined">
    <w:name w:val="Underlined"/>
    <w:basedOn w:val="DefaultParagraphFont"/>
    <w:rsid w:val="005620A2"/>
    <w:rPr>
      <w:u w:val="single"/>
    </w:rPr>
  </w:style>
  <w:style w:type="paragraph" w:customStyle="1" w:styleId="TableBodyTextRight">
    <w:name w:val="Table Body Text Right"/>
    <w:basedOn w:val="TableBodyText"/>
    <w:rsid w:val="005620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0A2"/>
    <w:rPr>
      <w:sz w:val="18"/>
    </w:rPr>
  </w:style>
  <w:style w:type="paragraph" w:customStyle="1" w:styleId="BodySmallRight">
    <w:name w:val="Body Small Right"/>
    <w:basedOn w:val="BodyTextRight"/>
    <w:rsid w:val="005620A2"/>
    <w:rPr>
      <w:sz w:val="18"/>
      <w:szCs w:val="18"/>
    </w:rPr>
  </w:style>
  <w:style w:type="paragraph" w:customStyle="1" w:styleId="MarginEdition">
    <w:name w:val="Margin Edition"/>
    <w:basedOn w:val="MarginNote"/>
    <w:rsid w:val="005620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0A2"/>
    <w:rPr>
      <w:sz w:val="2"/>
      <w:szCs w:val="2"/>
    </w:rPr>
  </w:style>
  <w:style w:type="character" w:customStyle="1" w:styleId="Small">
    <w:name w:val="Small"/>
    <w:basedOn w:val="DefaultParagraphFont"/>
    <w:rsid w:val="005620A2"/>
    <w:rPr>
      <w:sz w:val="16"/>
    </w:rPr>
  </w:style>
  <w:style w:type="paragraph" w:customStyle="1" w:styleId="WideTable">
    <w:name w:val="Wide Table"/>
    <w:basedOn w:val="Normal"/>
    <w:rsid w:val="005620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0A2"/>
  </w:style>
  <w:style w:type="paragraph" w:styleId="Quote">
    <w:name w:val="Quote"/>
    <w:basedOn w:val="Heading1"/>
    <w:link w:val="QuoteChar"/>
    <w:qFormat/>
    <w:rsid w:val="005620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0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0A2"/>
    <w:pPr>
      <w:pageBreakBefore/>
    </w:pPr>
  </w:style>
  <w:style w:type="paragraph" w:customStyle="1" w:styleId="Border">
    <w:name w:val="Border"/>
    <w:basedOn w:val="Normal"/>
    <w:qFormat/>
    <w:rsid w:val="005620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0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0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0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0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0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0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0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0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0A2"/>
    <w:rPr>
      <w:u w:val="single"/>
    </w:rPr>
  </w:style>
  <w:style w:type="character" w:customStyle="1" w:styleId="BoldandItalics">
    <w:name w:val="Bold and Italics"/>
    <w:qFormat/>
    <w:rsid w:val="005620A2"/>
    <w:rPr>
      <w:b/>
      <w:i/>
      <w:u w:val="none"/>
    </w:rPr>
  </w:style>
  <w:style w:type="paragraph" w:styleId="BalloonText">
    <w:name w:val="Balloon Text"/>
    <w:basedOn w:val="Normal"/>
    <w:link w:val="BalloonTextChar"/>
    <w:rsid w:val="00562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0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0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0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0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0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0A2"/>
    <w:pPr>
      <w:spacing w:before="0" w:after="0"/>
    </w:pPr>
  </w:style>
  <w:style w:type="paragraph" w:customStyle="1" w:styleId="BodyTextBold">
    <w:name w:val="Body Text Bold"/>
    <w:basedOn w:val="BodyText"/>
    <w:qFormat/>
    <w:rsid w:val="005620A2"/>
    <w:rPr>
      <w:b/>
    </w:rPr>
  </w:style>
  <w:style w:type="character" w:styleId="Hyperlink">
    <w:name w:val="Hyperlink"/>
    <w:basedOn w:val="DefaultParagraphFont"/>
    <w:uiPriority w:val="99"/>
    <w:unhideWhenUsed/>
    <w:rsid w:val="00FA0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2123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MSMPMC329 Prepare moulds and 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