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655" w:rsidP="00F43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MSMPMC305 Heat accelerate the curing of precast concrete</w:t>
      </w:r>
      <w:r>
        <w:fldChar w:fldCharType="end"/>
      </w:r>
    </w:p>
    <w:p w:rsidR="00F43655" w:rsidP="00F43655">
      <w:pPr>
        <w:pStyle w:val="Version"/>
        <w:sectPr w:rsidSect="00533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D10" w:rsidP="00533D10">
      <w:pPr>
        <w:pStyle w:val="SuperHeading"/>
      </w:pPr>
      <w:r w:rsidRPr="00533D10">
        <w:t>MSMPMC305 Heat accelerate the curing of precast concrete</w:t>
      </w:r>
    </w:p>
    <w:p w:rsidR="00000000" w:rsidRPr="00533D10" w:rsidP="00533D10">
      <w:pPr>
        <w:pStyle w:val="Heading1"/>
      </w:pPr>
      <w:bookmarkStart w:id="1" w:name="O_1009687"/>
      <w:bookmarkEnd w:id="1"/>
      <w:r w:rsidRPr="00533D10">
        <w:t>Modification History</w:t>
      </w:r>
    </w:p>
    <w:p w:rsidR="00000000" w:rsidRPr="00533D10" w:rsidP="00F43655">
      <w:pPr>
        <w:pStyle w:val="BodyText"/>
      </w:pPr>
      <w:r w:rsidRPr="00533D10">
        <w:t xml:space="preserve">Release 1. New unit. Supersedes and is equivalent to PMC552007 Heat accelerate the curing of precast concrete. </w:t>
      </w:r>
    </w:p>
    <w:p w:rsidR="00000000" w:rsidRPr="00533D10" w:rsidP="00533D10">
      <w:pPr>
        <w:pStyle w:val="Heading1"/>
      </w:pPr>
      <w:bookmarkStart w:id="2" w:name="O_1009695"/>
      <w:bookmarkEnd w:id="2"/>
      <w:r w:rsidRPr="00533D10">
        <w:t>Application</w:t>
      </w:r>
    </w:p>
    <w:p w:rsidR="00000000" w:rsidRPr="00533D10" w:rsidP="00F43655">
      <w:pPr>
        <w:pStyle w:val="BodyText"/>
      </w:pPr>
      <w:r w:rsidRPr="00533D10">
        <w:t>This unit describes the skills and knowledge required to operate steam cur</w:t>
      </w:r>
      <w:r w:rsidRPr="00533D10">
        <w:t>ing and ancillary equipment to accelerate the curing of precast concrete.</w:t>
      </w:r>
    </w:p>
    <w:p w:rsidR="00000000" w:rsidRPr="00533D10" w:rsidP="00F43655">
      <w:pPr>
        <w:pStyle w:val="BodyText"/>
      </w:pPr>
      <w:r w:rsidRPr="00533D10">
        <w:t>This unit applies to operators who are required to take responsibility for own outputs and follow established procedures to prepare, monitor and adjust the equipment and load and di</w:t>
      </w:r>
      <w:r w:rsidRPr="00533D10">
        <w:t xml:space="preserve">scharge moulds or products. Operators are also required to work autonomously and apply their own judgement to interpret information; monitor processes; identify and address routine and non-routine problems and control hazards.    </w:t>
      </w:r>
    </w:p>
    <w:p w:rsidR="00000000" w:rsidRPr="00533D10" w:rsidP="00F43655">
      <w:pPr>
        <w:pStyle w:val="BodyText"/>
      </w:pPr>
      <w:r w:rsidRPr="00533D10">
        <w:t xml:space="preserve">This unit applies to an </w:t>
      </w:r>
      <w:r w:rsidRPr="00533D10">
        <w:t xml:space="preserve">individual working alone or as part of a team or group and in liaison with other shift team members, team leader and supervisor. </w:t>
      </w:r>
    </w:p>
    <w:p w:rsidR="00000000" w:rsidRPr="00533D10" w:rsidP="00F43655">
      <w:pPr>
        <w:pStyle w:val="BodyText"/>
      </w:pPr>
      <w:r w:rsidRPr="00533D10">
        <w:t>No licensing or certification requirements exist at the time of publication. Relevant legislation, industry standards and cod</w:t>
      </w:r>
      <w:r w:rsidRPr="00533D10">
        <w:t>es of practice within Australia must be applied.</w:t>
      </w:r>
    </w:p>
    <w:p w:rsidR="00000000" w:rsidRPr="00533D10" w:rsidP="00533D10">
      <w:pPr>
        <w:pStyle w:val="Heading1"/>
      </w:pPr>
      <w:bookmarkStart w:id="3" w:name="O_1009694"/>
      <w:bookmarkEnd w:id="3"/>
      <w:r w:rsidRPr="00533D10">
        <w:t>Pre-requisite Unit</w:t>
      </w:r>
    </w:p>
    <w:p w:rsidR="00000000" w:rsidRPr="00533D10" w:rsidP="00F43655">
      <w:pPr>
        <w:pStyle w:val="BodyText"/>
      </w:pPr>
      <w:r w:rsidRPr="00533D10">
        <w:t>Nil</w:t>
      </w:r>
    </w:p>
    <w:p w:rsidR="00000000" w:rsidRPr="00533D10" w:rsidP="00533D10">
      <w:pPr>
        <w:pStyle w:val="Heading1"/>
      </w:pPr>
      <w:bookmarkStart w:id="4" w:name="O_1009693"/>
      <w:bookmarkEnd w:id="4"/>
      <w:r w:rsidRPr="00533D10">
        <w:t>Competency Field</w:t>
      </w:r>
    </w:p>
    <w:p w:rsidR="00000000" w:rsidRPr="00533D10" w:rsidP="00F43655">
      <w:pPr>
        <w:pStyle w:val="BodyText"/>
      </w:pPr>
      <w:r w:rsidRPr="00533D10">
        <w:t xml:space="preserve">Operations </w:t>
      </w:r>
    </w:p>
    <w:p w:rsidR="00000000" w:rsidRPr="00533D10" w:rsidP="00533D10">
      <w:pPr>
        <w:pStyle w:val="Heading1"/>
      </w:pPr>
      <w:bookmarkStart w:id="5" w:name="O_1009691"/>
      <w:bookmarkEnd w:id="5"/>
      <w:r w:rsidRPr="00533D10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rPr>
                <w:rStyle w:val="SpecialBold"/>
              </w:rPr>
              <w:t>Performance Criteria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1. Prepare the equipment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t xml:space="preserve">1.1 Conduct equipment pre-start procedures and visual checks </w:t>
            </w:r>
          </w:p>
          <w:p w:rsidR="00000000" w:rsidRPr="00533D10" w:rsidP="00533D10">
            <w:pPr>
              <w:pStyle w:val="BodyText"/>
            </w:pPr>
            <w:r w:rsidRPr="00533D10">
              <w:t>1.2  Set up and</w:t>
            </w:r>
            <w:r w:rsidRPr="00533D10">
              <w:t xml:space="preserve"> configure equipment start-up function in accordance </w:t>
            </w:r>
            <w:r w:rsidRPr="00533D10">
              <w:t>with procedures and/or work instructions</w:t>
            </w:r>
          </w:p>
          <w:p w:rsidR="00000000" w:rsidRPr="00533D10" w:rsidP="00533D10">
            <w:pPr>
              <w:pStyle w:val="BodyText"/>
            </w:pPr>
            <w:r w:rsidRPr="00533D10">
              <w:t>1.3 Ensure appropriate pre-setting period has been observed</w:t>
            </w:r>
          </w:p>
          <w:p w:rsidR="00000000" w:rsidRPr="00533D10" w:rsidP="00533D10">
            <w:pPr>
              <w:pStyle w:val="BodyText"/>
            </w:pPr>
            <w:r w:rsidRPr="00533D10">
              <w:t xml:space="preserve">1.4 Load mould containing green concrete product onto transfer car and move to steam chamber </w:t>
            </w:r>
          </w:p>
          <w:p w:rsidR="00000000" w:rsidRPr="00533D10" w:rsidP="00533D10">
            <w:pPr>
              <w:pStyle w:val="BodyText"/>
            </w:pPr>
            <w:r w:rsidRPr="00533D10">
              <w:t>1.5 Cove</w:t>
            </w:r>
            <w:r w:rsidRPr="00533D10">
              <w:t>r mould as specified</w:t>
            </w:r>
          </w:p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 xml:space="preserve">1.6 Close and secure the steam chamber 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t xml:space="preserve">2.1 Start up, operate and monitor equipment in accordance with established enterprise procedures and manufacturer specifications </w:t>
            </w:r>
          </w:p>
          <w:p w:rsidR="00000000" w:rsidRPr="00533D10" w:rsidP="00533D10">
            <w:pPr>
              <w:pStyle w:val="BodyText"/>
            </w:pPr>
            <w:r w:rsidRPr="00533D10">
              <w:t>2.2 Monitor operating pressures and temperatures</w:t>
            </w:r>
          </w:p>
          <w:p w:rsidR="00000000" w:rsidRPr="00533D10" w:rsidP="00533D10">
            <w:pPr>
              <w:pStyle w:val="BodyText"/>
            </w:pPr>
            <w:r w:rsidRPr="00533D10">
              <w:t>2.3 Ensure the rate at which the concrete temperature increases is even, and that it doesn</w:t>
            </w:r>
            <w:r>
              <w:t>’</w:t>
            </w:r>
            <w:r w:rsidRPr="00533D10">
              <w:t>t exceed maximum temperature specified</w:t>
            </w:r>
          </w:p>
          <w:p w:rsidR="00000000" w:rsidRPr="00533D10" w:rsidP="00533D10">
            <w:pPr>
              <w:pStyle w:val="BodyText"/>
            </w:pPr>
            <w:r w:rsidRPr="00533D10">
              <w:t>2.4 Adjust and control equipment to ensure correct product quality</w:t>
            </w:r>
          </w:p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2.5 Comple</w:t>
            </w:r>
            <w:r w:rsidRPr="00533D10">
              <w:t>te appropriate records and logs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3. Shut 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t xml:space="preserve">3.1 Shut down steam and depressurise chamber </w:t>
            </w:r>
          </w:p>
          <w:p w:rsidR="00000000" w:rsidRPr="00533D10" w:rsidP="00533D10">
            <w:pPr>
              <w:pStyle w:val="BodyText"/>
            </w:pPr>
            <w:r w:rsidRPr="00533D10">
              <w:t>3.2 Allow product to cool gradually and evenly</w:t>
            </w:r>
          </w:p>
          <w:p w:rsidR="00000000" w:rsidRPr="00533D10" w:rsidP="00533D10">
            <w:pPr>
              <w:pStyle w:val="BodyText"/>
            </w:pPr>
            <w:r w:rsidRPr="00533D10">
              <w:t>3.3 Open the chamber and discharge cured product</w:t>
            </w:r>
          </w:p>
          <w:p w:rsidR="00000000" w:rsidRPr="00533D10" w:rsidP="00533D10">
            <w:pPr>
              <w:pStyle w:val="BodyText"/>
            </w:pPr>
            <w:r w:rsidRPr="00533D10">
              <w:t>3.4 Complete appropriate records and logs</w:t>
            </w:r>
          </w:p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3.5 Ensure trans</w:t>
            </w:r>
            <w:r w:rsidRPr="00533D10">
              <w:t>fer cars are clear of all product and left ready for reuse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4. Prepare equipment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t xml:space="preserve">4.1 Isolate equipment </w:t>
            </w:r>
          </w:p>
          <w:p w:rsidR="00000000" w:rsidRPr="00533D10" w:rsidP="00533D10">
            <w:pPr>
              <w:pStyle w:val="BodyText"/>
            </w:pPr>
            <w:r w:rsidRPr="00533D10">
              <w:t>4.2 Remove any broken materials safely</w:t>
            </w:r>
          </w:p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4.3 Make sure area is clear and safe for maintenance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t xml:space="preserve">5.1 Identify and rectify faults and equipment failure </w:t>
            </w:r>
          </w:p>
          <w:p w:rsidR="00000000" w:rsidRPr="00533D10" w:rsidP="00533D10">
            <w:pPr>
              <w:pStyle w:val="BodyText"/>
            </w:pPr>
            <w:r w:rsidRPr="00533D10">
              <w:t xml:space="preserve">5.2 Maintain records and log books of equipment operations </w:t>
            </w:r>
          </w:p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5.3 Identify non-routine problems and report to designated person</w:t>
            </w:r>
          </w:p>
        </w:tc>
      </w:tr>
      <w:tr w:rsidTr="00F43655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D10">
            <w:pPr>
              <w:pStyle w:val="BodyText"/>
              <w:rPr>
                <w:lang w:val="en-NZ"/>
              </w:rPr>
            </w:pPr>
            <w:r w:rsidRPr="00533D10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D10" w:rsidP="00533D10">
            <w:pPr>
              <w:pStyle w:val="BodyText"/>
            </w:pPr>
            <w:r w:rsidRPr="00533D10">
              <w:t>6.1 Identify hazards in the curing area</w:t>
            </w:r>
          </w:p>
          <w:p w:rsidR="00000000" w:rsidRPr="00533D10" w:rsidP="00533D10">
            <w:pPr>
              <w:pStyle w:val="BodyText"/>
            </w:pPr>
            <w:r w:rsidRPr="00533D10">
              <w:t xml:space="preserve">6.2 Assess the </w:t>
            </w:r>
            <w:r w:rsidRPr="00533D10">
              <w:t>risks arising from those hazards</w:t>
            </w:r>
          </w:p>
          <w:p w:rsidR="00000000" w:rsidRPr="00533D10" w:rsidP="00533D10">
            <w:pPr>
              <w:pStyle w:val="BodyText"/>
            </w:pPr>
            <w:r w:rsidRPr="00533D10">
              <w:t xml:space="preserve">6.3 Implement measures to control those risks </w:t>
            </w:r>
          </w:p>
          <w:p w:rsidR="00000000" w:rsidRPr="00533D10" w:rsidP="00533D10">
            <w:pPr>
              <w:pStyle w:val="BodyText"/>
            </w:pPr>
            <w:r w:rsidRPr="00533D10">
              <w:t xml:space="preserve">6.4 Shut down equipment in an emergency </w:t>
            </w:r>
          </w:p>
        </w:tc>
      </w:tr>
    </w:tbl>
    <w:p w:rsidR="00000000" w:rsidRPr="00533D10" w:rsidP="00533D10">
      <w:pPr>
        <w:pStyle w:val="BodyText"/>
      </w:pPr>
    </w:p>
    <w:p w:rsidR="00000000" w:rsidRPr="00533D10" w:rsidP="00533D10">
      <w:pPr>
        <w:pStyle w:val="AllowPageBreak"/>
      </w:pPr>
    </w:p>
    <w:p w:rsidR="00000000" w:rsidRPr="00533D10" w:rsidP="00533D10">
      <w:pPr>
        <w:pStyle w:val="Heading1"/>
      </w:pPr>
      <w:bookmarkStart w:id="6" w:name="O_1009690"/>
      <w:bookmarkEnd w:id="6"/>
      <w:r w:rsidRPr="00533D10">
        <w:t>Foundation Skills</w:t>
      </w:r>
    </w:p>
    <w:p w:rsidR="00000000" w:rsidRPr="00533D10" w:rsidP="00F43655">
      <w:pPr>
        <w:pStyle w:val="BodyText"/>
      </w:pPr>
      <w:r w:rsidRPr="00533D10">
        <w:t>This section describes those language, literacy, numeracy and employment skills that are essenti</w:t>
      </w:r>
      <w:r w:rsidRPr="00533D10">
        <w:t>al to performance.</w:t>
      </w:r>
    </w:p>
    <w:p w:rsidR="00000000" w:rsidRPr="00533D10" w:rsidP="00F43655">
      <w:pPr>
        <w:pStyle w:val="BodyText"/>
      </w:pPr>
      <w:r w:rsidRPr="00533D10">
        <w:t>Foundation skills essential to performance are explicit in the performance criteria of this unit of competency.</w:t>
      </w:r>
    </w:p>
    <w:p w:rsidR="00000000" w:rsidRPr="00533D10" w:rsidP="00533D10">
      <w:pPr>
        <w:pStyle w:val="Heading1"/>
      </w:pPr>
      <w:bookmarkStart w:id="7" w:name="O_1009688"/>
      <w:bookmarkEnd w:id="7"/>
      <w:r w:rsidRPr="00533D10">
        <w:t>Unit Mapping Information</w:t>
      </w:r>
    </w:p>
    <w:p w:rsidR="00000000" w:rsidRPr="00533D10" w:rsidP="00F43655">
      <w:pPr>
        <w:pStyle w:val="BodyText"/>
      </w:pPr>
      <w:r w:rsidRPr="00533D10">
        <w:t>Release 1. New unit. Supersedes and is equivalent to PMC552007 Heat accelerate t</w:t>
      </w:r>
      <w:r w:rsidRPr="00533D10">
        <w:t xml:space="preserve">he curing of precast concrete. </w:t>
      </w:r>
    </w:p>
    <w:p w:rsidR="00000000" w:rsidRPr="00533D10" w:rsidP="00533D10">
      <w:pPr>
        <w:pStyle w:val="Heading1"/>
      </w:pPr>
      <w:bookmarkStart w:id="8" w:name="O_1009681"/>
      <w:bookmarkEnd w:id="8"/>
      <w:r w:rsidRPr="00533D10">
        <w:t>Links</w:t>
      </w:r>
    </w:p>
    <w:p w:rsidR="00000000" w:rsidRPr="00533D10" w:rsidP="00F43655">
      <w:pPr>
        <w:pStyle w:val="BodyText"/>
      </w:pPr>
      <w:r w:rsidRPr="00533D1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335A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33D10" w:rsidP="00533D10"/>
    <w:sectPr w:rsidSect="00533D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10" w:rsidRPr="00F43655" w:rsidP="00F43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55" w:rsidP="00533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655" w:rsidP="00533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3655" w:rsidP="00533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D10" w:rsidRPr="00F43655" w:rsidP="00F43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55" w:rsidRPr="002D2AF8" w:rsidP="00533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MSMPMC305 Heat accelerate the curing of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F43655" w:rsidP="00533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D10"/>
  </w:style>
  <w:style w:type="character" w:customStyle="1" w:styleId="Heading1Char">
    <w:name w:val="Heading 1 Char"/>
    <w:basedOn w:val="DefaultParagraphFont"/>
    <w:link w:val="Heading1"/>
    <w:rsid w:val="00533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D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3D10"/>
    <w:rPr>
      <w:b/>
      <w:spacing w:val="0"/>
    </w:rPr>
  </w:style>
  <w:style w:type="character" w:styleId="Emphasis">
    <w:name w:val="Emphasis"/>
    <w:basedOn w:val="DefaultParagraphFont"/>
    <w:qFormat/>
    <w:rsid w:val="00533D10"/>
    <w:rPr>
      <w:i/>
    </w:rPr>
  </w:style>
  <w:style w:type="paragraph" w:customStyle="1" w:styleId="SuperHeading">
    <w:name w:val="SuperHeading"/>
    <w:basedOn w:val="Normal"/>
    <w:rsid w:val="00533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D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D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3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D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D10"/>
  </w:style>
  <w:style w:type="paragraph" w:styleId="TableofFigures">
    <w:name w:val="table of figures"/>
    <w:basedOn w:val="Normal"/>
    <w:next w:val="Normal"/>
    <w:semiHidden/>
    <w:rsid w:val="00533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D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3D10"/>
    <w:rPr>
      <w:rFonts w:ascii="Wingdings" w:hAnsi="Wingdings"/>
    </w:rPr>
  </w:style>
  <w:style w:type="paragraph" w:customStyle="1" w:styleId="TableHeading">
    <w:name w:val="Table Heading"/>
    <w:basedOn w:val="HeadingBase"/>
    <w:rsid w:val="00533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D10"/>
    <w:rPr>
      <w:color w:val="0033CC"/>
      <w:u w:val="none"/>
    </w:rPr>
  </w:style>
  <w:style w:type="paragraph" w:customStyle="1" w:styleId="BodyTextRight">
    <w:name w:val="Body Text Right"/>
    <w:basedOn w:val="BodyText"/>
    <w:rsid w:val="00533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D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D10"/>
    <w:rPr>
      <w:sz w:val="32"/>
    </w:rPr>
  </w:style>
  <w:style w:type="paragraph" w:customStyle="1" w:styleId="HeadingProcedure">
    <w:name w:val="Heading Procedure"/>
    <w:basedOn w:val="HeadingBase"/>
    <w:next w:val="Normal"/>
    <w:rsid w:val="00533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D10"/>
    <w:pPr>
      <w:spacing w:before="60" w:after="60"/>
    </w:pPr>
  </w:style>
  <w:style w:type="paragraph" w:styleId="ListContinue">
    <w:name w:val="List Continue"/>
    <w:basedOn w:val="List"/>
    <w:rsid w:val="00533D10"/>
    <w:pPr>
      <w:ind w:firstLine="0"/>
    </w:pPr>
  </w:style>
  <w:style w:type="paragraph" w:customStyle="1" w:styleId="ListNote">
    <w:name w:val="List Note"/>
    <w:basedOn w:val="List"/>
    <w:rsid w:val="00533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D10"/>
    <w:rPr>
      <w:rFonts w:ascii="Courier New" w:hAnsi="Courier New"/>
    </w:rPr>
  </w:style>
  <w:style w:type="paragraph" w:customStyle="1" w:styleId="NoteBullet">
    <w:name w:val="Note Bullet"/>
    <w:basedOn w:val="Note"/>
    <w:rsid w:val="00533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D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3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D10"/>
    <w:rPr>
      <w:b/>
      <w:smallCaps/>
    </w:rPr>
  </w:style>
  <w:style w:type="paragraph" w:customStyle="1" w:styleId="TableListNumber">
    <w:name w:val="Table List Number"/>
    <w:basedOn w:val="ListNumber"/>
    <w:rsid w:val="00533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D10"/>
    <w:pPr>
      <w:numPr>
        <w:numId w:val="7"/>
      </w:numPr>
    </w:pPr>
  </w:style>
  <w:style w:type="paragraph" w:customStyle="1" w:styleId="ListAlpha2">
    <w:name w:val="List Alpha 2"/>
    <w:basedOn w:val="List2"/>
    <w:rsid w:val="00533D10"/>
    <w:pPr>
      <w:numPr>
        <w:numId w:val="6"/>
      </w:numPr>
    </w:pPr>
  </w:style>
  <w:style w:type="paragraph" w:styleId="List2">
    <w:name w:val="List 2"/>
    <w:basedOn w:val="BodyText"/>
    <w:rsid w:val="00533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D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D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3D10"/>
    <w:pPr>
      <w:numPr>
        <w:numId w:val="2"/>
      </w:numPr>
    </w:pPr>
  </w:style>
  <w:style w:type="paragraph" w:styleId="ListContinue2">
    <w:name w:val="List Continue 2"/>
    <w:basedOn w:val="List2"/>
    <w:rsid w:val="00533D10"/>
    <w:pPr>
      <w:ind w:firstLine="0"/>
    </w:pPr>
  </w:style>
  <w:style w:type="paragraph" w:styleId="ListContinue3">
    <w:name w:val="List Continue 3"/>
    <w:basedOn w:val="List3"/>
    <w:rsid w:val="00533D10"/>
    <w:pPr>
      <w:ind w:left="1021" w:firstLine="0"/>
    </w:pPr>
  </w:style>
  <w:style w:type="paragraph" w:styleId="ListContinue4">
    <w:name w:val="List Continue 4"/>
    <w:basedOn w:val="List4"/>
    <w:rsid w:val="00533D10"/>
    <w:pPr>
      <w:ind w:firstLine="0"/>
    </w:pPr>
  </w:style>
  <w:style w:type="paragraph" w:styleId="ListContinue5">
    <w:name w:val="List Continue 5"/>
    <w:basedOn w:val="List5"/>
    <w:rsid w:val="00533D10"/>
    <w:pPr>
      <w:ind w:firstLine="0"/>
    </w:pPr>
  </w:style>
  <w:style w:type="paragraph" w:styleId="ListNumber3">
    <w:name w:val="List Number 3"/>
    <w:basedOn w:val="List3"/>
    <w:rsid w:val="00533D10"/>
    <w:pPr>
      <w:numPr>
        <w:numId w:val="3"/>
      </w:numPr>
    </w:pPr>
  </w:style>
  <w:style w:type="paragraph" w:styleId="ListNumber4">
    <w:name w:val="List Number 4"/>
    <w:basedOn w:val="List4"/>
    <w:rsid w:val="00533D10"/>
    <w:pPr>
      <w:numPr>
        <w:numId w:val="4"/>
      </w:numPr>
    </w:pPr>
  </w:style>
  <w:style w:type="paragraph" w:styleId="ListNumber5">
    <w:name w:val="List Number 5"/>
    <w:basedOn w:val="List5"/>
    <w:rsid w:val="00533D10"/>
    <w:pPr>
      <w:numPr>
        <w:numId w:val="5"/>
      </w:numPr>
    </w:pPr>
  </w:style>
  <w:style w:type="paragraph" w:styleId="BlockText">
    <w:name w:val="Block Text"/>
    <w:basedOn w:val="Normal"/>
    <w:rsid w:val="00533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D10"/>
    <w:rPr>
      <w:sz w:val="16"/>
      <w:vertAlign w:val="superscript"/>
    </w:rPr>
  </w:style>
  <w:style w:type="character" w:customStyle="1" w:styleId="Symbols">
    <w:name w:val="Symbols"/>
    <w:basedOn w:val="DefaultParagraphFont"/>
    <w:rsid w:val="00533D10"/>
    <w:rPr>
      <w:rFonts w:ascii="Symbol" w:hAnsi="Symbol"/>
    </w:rPr>
  </w:style>
  <w:style w:type="character" w:customStyle="1" w:styleId="MenuOptions">
    <w:name w:val="Menu Options"/>
    <w:basedOn w:val="DefaultParagraphFont"/>
    <w:rsid w:val="00533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D10"/>
    <w:rPr>
      <w:b/>
    </w:rPr>
  </w:style>
  <w:style w:type="character" w:customStyle="1" w:styleId="Underlined">
    <w:name w:val="Underlined"/>
    <w:basedOn w:val="DefaultParagraphFont"/>
    <w:rsid w:val="00533D10"/>
    <w:rPr>
      <w:u w:val="single"/>
    </w:rPr>
  </w:style>
  <w:style w:type="paragraph" w:customStyle="1" w:styleId="TableBodyTextRight">
    <w:name w:val="Table Body Text Right"/>
    <w:basedOn w:val="TableBodyText"/>
    <w:rsid w:val="00533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D10"/>
    <w:rPr>
      <w:sz w:val="18"/>
    </w:rPr>
  </w:style>
  <w:style w:type="paragraph" w:customStyle="1" w:styleId="BodySmallRight">
    <w:name w:val="Body Small Right"/>
    <w:basedOn w:val="BodyTextRight"/>
    <w:rsid w:val="00533D10"/>
    <w:rPr>
      <w:sz w:val="18"/>
      <w:szCs w:val="18"/>
    </w:rPr>
  </w:style>
  <w:style w:type="paragraph" w:customStyle="1" w:styleId="MarginEdition">
    <w:name w:val="Margin Edition"/>
    <w:basedOn w:val="MarginNote"/>
    <w:rsid w:val="00533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D10"/>
    <w:rPr>
      <w:sz w:val="2"/>
      <w:szCs w:val="2"/>
    </w:rPr>
  </w:style>
  <w:style w:type="character" w:customStyle="1" w:styleId="Small">
    <w:name w:val="Small"/>
    <w:basedOn w:val="DefaultParagraphFont"/>
    <w:rsid w:val="00533D10"/>
    <w:rPr>
      <w:sz w:val="16"/>
    </w:rPr>
  </w:style>
  <w:style w:type="paragraph" w:customStyle="1" w:styleId="WideTable">
    <w:name w:val="Wide Table"/>
    <w:basedOn w:val="Normal"/>
    <w:rsid w:val="00533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D10"/>
  </w:style>
  <w:style w:type="paragraph" w:styleId="Quote">
    <w:name w:val="Quote"/>
    <w:basedOn w:val="Heading1"/>
    <w:link w:val="QuoteChar"/>
    <w:qFormat/>
    <w:rsid w:val="00533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D10"/>
    <w:pPr>
      <w:pageBreakBefore/>
    </w:pPr>
  </w:style>
  <w:style w:type="paragraph" w:customStyle="1" w:styleId="Border">
    <w:name w:val="Border"/>
    <w:basedOn w:val="Normal"/>
    <w:qFormat/>
    <w:rsid w:val="00533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D10"/>
    <w:rPr>
      <w:u w:val="single"/>
    </w:rPr>
  </w:style>
  <w:style w:type="character" w:customStyle="1" w:styleId="BoldandItalics">
    <w:name w:val="Bold and Italics"/>
    <w:qFormat/>
    <w:rsid w:val="00533D10"/>
    <w:rPr>
      <w:b/>
      <w:i/>
      <w:u w:val="none"/>
    </w:rPr>
  </w:style>
  <w:style w:type="paragraph" w:styleId="BalloonText">
    <w:name w:val="Balloon Text"/>
    <w:basedOn w:val="Normal"/>
    <w:link w:val="BalloonTextChar"/>
    <w:rsid w:val="00533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D10"/>
    <w:pPr>
      <w:spacing w:before="0" w:after="0"/>
    </w:pPr>
  </w:style>
  <w:style w:type="paragraph" w:customStyle="1" w:styleId="BodyTextBold">
    <w:name w:val="Body Text Bold"/>
    <w:basedOn w:val="BodyText"/>
    <w:qFormat/>
    <w:rsid w:val="00533D10"/>
    <w:rPr>
      <w:b/>
    </w:rPr>
  </w:style>
  <w:style w:type="character" w:styleId="Hyperlink">
    <w:name w:val="Hyperlink"/>
    <w:basedOn w:val="DefaultParagraphFont"/>
    <w:uiPriority w:val="99"/>
    <w:unhideWhenUsed/>
    <w:rsid w:val="00F43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3301</Characters>
  <Application>Microsoft Office Word</Application>
  <DocSecurity>0</DocSecurity>
  <Lines>100</Lines>
  <Paragraphs>71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MSMPMC305 Heat accelerate the curing of precast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2020-09-04T08:38:00Z</dcterms:created>
  <dcterms:modified xsi:type="dcterms:W3CDTF">2020-09-04T08:38:00Z</dcterms:modified>
</cp:coreProperties>
</file>