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11F2" w:rsidP="001511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MSMPMC305 Heat accelerate the curing of precast concrete</w:t>
      </w:r>
      <w:r>
        <w:fldChar w:fldCharType="end"/>
      </w:r>
    </w:p>
    <w:p w:rsidR="001511F2" w:rsidP="001511F2">
      <w:pPr>
        <w:pStyle w:val="Version"/>
        <w:sectPr w:rsidSect="000764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6451" w:rsidP="00076451">
      <w:pPr>
        <w:pStyle w:val="SuperHeading"/>
      </w:pPr>
      <w:r w:rsidRPr="00076451">
        <w:t>Assessment Requirements for MSMPMC305 Heat accelerate the curing of precast concrete</w:t>
      </w:r>
    </w:p>
    <w:p w:rsidR="00000000" w:rsidRPr="00076451" w:rsidP="00076451">
      <w:pPr>
        <w:pStyle w:val="Heading1"/>
      </w:pPr>
      <w:bookmarkStart w:id="1" w:name="O_1009683"/>
      <w:bookmarkEnd w:id="1"/>
      <w:r w:rsidRPr="00076451">
        <w:t>Modification History</w:t>
      </w:r>
    </w:p>
    <w:p w:rsidR="00000000" w:rsidRPr="00076451" w:rsidP="001511F2">
      <w:pPr>
        <w:pStyle w:val="BodyText"/>
      </w:pPr>
      <w:r w:rsidRPr="00076451">
        <w:t xml:space="preserve">Release 1. New unit. Supersedes and is equivalent to PMC552007 Heat accelerate the curing of precast concrete. </w:t>
      </w:r>
    </w:p>
    <w:p w:rsidR="00000000" w:rsidRPr="00076451" w:rsidP="00076451">
      <w:pPr>
        <w:pStyle w:val="Heading1"/>
      </w:pPr>
      <w:bookmarkStart w:id="2" w:name="O_1009686"/>
      <w:bookmarkEnd w:id="2"/>
      <w:r w:rsidRPr="00076451">
        <w:t>Performance Evidence</w:t>
      </w:r>
    </w:p>
    <w:p w:rsidR="00000000" w:rsidRPr="00076451" w:rsidP="001511F2">
      <w:pPr>
        <w:pStyle w:val="BodyText"/>
      </w:pPr>
      <w:r w:rsidRPr="00076451">
        <w:t>There must be evidence the candidate has completed the tasks outlined in the elements and performance criteria of this unit, and:</w:t>
      </w:r>
    </w:p>
    <w:p w:rsidR="00000000" w:rsidRPr="00076451" w:rsidP="00076451">
      <w:pPr>
        <w:pStyle w:val="ListBullet"/>
      </w:pPr>
      <w:r w:rsidRPr="00076451">
        <w:t>set up, configured and operated the steam curing equipment on at least 1 occasion, including:</w:t>
      </w:r>
    </w:p>
    <w:p w:rsidR="00000000" w:rsidRPr="00076451" w:rsidP="00076451">
      <w:pPr>
        <w:pStyle w:val="ListBullet2"/>
      </w:pPr>
      <w:r w:rsidRPr="00076451">
        <w:t>recognisi</w:t>
      </w:r>
      <w:r w:rsidRPr="00076451">
        <w:t>ng possible causes of the following routine problems:</w:t>
      </w:r>
    </w:p>
    <w:p w:rsidR="00000000" w:rsidRPr="00076451" w:rsidP="00076451">
      <w:pPr>
        <w:pStyle w:val="ListBullet3"/>
      </w:pPr>
      <w:r w:rsidRPr="00076451">
        <w:t>steam pressure differentials</w:t>
      </w:r>
    </w:p>
    <w:p w:rsidR="00000000" w:rsidRPr="00076451" w:rsidP="00076451">
      <w:pPr>
        <w:pStyle w:val="ListBullet3"/>
      </w:pPr>
      <w:r w:rsidRPr="00076451">
        <w:t>time cycle irregularities</w:t>
      </w:r>
    </w:p>
    <w:p w:rsidR="00000000" w:rsidRPr="00076451" w:rsidP="00076451">
      <w:pPr>
        <w:pStyle w:val="ListBullet3"/>
      </w:pPr>
      <w:r w:rsidRPr="00076451">
        <w:t>raw material variations</w:t>
      </w:r>
    </w:p>
    <w:p w:rsidR="00000000" w:rsidRPr="00076451" w:rsidP="00076451">
      <w:pPr>
        <w:pStyle w:val="ListBullet3"/>
      </w:pPr>
      <w:r w:rsidRPr="00076451">
        <w:t>mechanical abnormalities</w:t>
      </w:r>
    </w:p>
    <w:p w:rsidR="00000000" w:rsidRPr="00076451" w:rsidP="00076451">
      <w:pPr>
        <w:pStyle w:val="ListBullet3"/>
      </w:pPr>
      <w:r w:rsidRPr="00076451">
        <w:t>electrical and instrument reading failure.</w:t>
      </w:r>
    </w:p>
    <w:p w:rsidR="00000000" w:rsidRPr="00076451" w:rsidP="00076451">
      <w:pPr>
        <w:pStyle w:val="AllowPageBreak"/>
      </w:pPr>
    </w:p>
    <w:p w:rsidR="00000000" w:rsidRPr="00076451" w:rsidP="00076451">
      <w:pPr>
        <w:pStyle w:val="Heading1"/>
      </w:pPr>
      <w:bookmarkStart w:id="3" w:name="O_1009685"/>
      <w:bookmarkEnd w:id="3"/>
      <w:r w:rsidRPr="00076451">
        <w:t>Knowledge Evidence</w:t>
      </w:r>
    </w:p>
    <w:p w:rsidR="00000000" w:rsidRPr="00076451" w:rsidP="001511F2">
      <w:pPr>
        <w:pStyle w:val="BodyText"/>
      </w:pPr>
      <w:r w:rsidRPr="00076451">
        <w:t>There must be evidence the candidate has knowledge of:</w:t>
      </w:r>
    </w:p>
    <w:p w:rsidR="00000000" w:rsidRPr="00076451" w:rsidP="00076451">
      <w:pPr>
        <w:pStyle w:val="ListBullet"/>
      </w:pPr>
      <w:r w:rsidRPr="00076451">
        <w:t>principles of heat curing process</w:t>
      </w:r>
    </w:p>
    <w:p w:rsidR="00000000" w:rsidRPr="00076451" w:rsidP="00076451">
      <w:pPr>
        <w:pStyle w:val="ListBullet"/>
      </w:pPr>
      <w:r w:rsidRPr="00076451">
        <w:t>equipment and ancillary equipment, including:</w:t>
      </w:r>
    </w:p>
    <w:p w:rsidR="00000000" w:rsidRPr="00076451" w:rsidP="00076451">
      <w:pPr>
        <w:pStyle w:val="ListBullet2"/>
      </w:pPr>
      <w:r w:rsidRPr="00076451">
        <w:t>functions, limitations</w:t>
      </w:r>
    </w:p>
    <w:p w:rsidR="00000000" w:rsidRPr="00076451" w:rsidP="00076451">
      <w:pPr>
        <w:pStyle w:val="ListBullet2"/>
      </w:pPr>
      <w:r w:rsidRPr="00076451">
        <w:t xml:space="preserve">start-up, operation and shutdown procedures </w:t>
      </w:r>
    </w:p>
    <w:p w:rsidR="00000000" w:rsidRPr="00076451" w:rsidP="00076451">
      <w:pPr>
        <w:pStyle w:val="ListBullet2"/>
      </w:pPr>
      <w:r w:rsidRPr="00076451">
        <w:t>relevant personal protective equipment (PPE)</w:t>
      </w:r>
    </w:p>
    <w:p w:rsidR="00000000" w:rsidRPr="00076451" w:rsidP="00076451">
      <w:pPr>
        <w:pStyle w:val="ListBullet2"/>
      </w:pPr>
      <w:r w:rsidRPr="00076451">
        <w:t>the potential effects of equipment operation in relation to quality of product and output</w:t>
      </w:r>
    </w:p>
    <w:p w:rsidR="00000000" w:rsidRPr="00076451" w:rsidP="00076451">
      <w:pPr>
        <w:pStyle w:val="ListBullet"/>
      </w:pPr>
      <w:r w:rsidRPr="00076451">
        <w:t xml:space="preserve">composition and nature of finished product </w:t>
      </w:r>
    </w:p>
    <w:p w:rsidR="00000000" w:rsidRPr="00076451" w:rsidP="00076451">
      <w:pPr>
        <w:pStyle w:val="ListBullet"/>
      </w:pPr>
      <w:r w:rsidRPr="00076451">
        <w:t>the potential effects of variations in raw materials in relation to quality of product and output</w:t>
      </w:r>
    </w:p>
    <w:p w:rsidR="00000000" w:rsidRPr="00076451" w:rsidP="00076451">
      <w:pPr>
        <w:pStyle w:val="ListBullet"/>
      </w:pPr>
      <w:r w:rsidRPr="00076451">
        <w:t>routine problems and fa</w:t>
      </w:r>
      <w:r w:rsidRPr="00076451">
        <w:t xml:space="preserve">ctors which may affect product quality or production output, their probable causes and relevant corrective actions, </w:t>
      </w:r>
    </w:p>
    <w:p w:rsidR="00000000" w:rsidRPr="00076451" w:rsidP="00076451">
      <w:pPr>
        <w:pStyle w:val="ListBullet"/>
      </w:pPr>
      <w:r w:rsidRPr="00076451">
        <w:t>sequence of isolation procedures and related hazards</w:t>
      </w:r>
    </w:p>
    <w:p w:rsidR="00000000" w:rsidRPr="00076451" w:rsidP="00076451">
      <w:pPr>
        <w:pStyle w:val="ListBullet"/>
      </w:pPr>
      <w:r w:rsidRPr="00076451">
        <w:t>signals and alarms</w:t>
      </w:r>
    </w:p>
    <w:p w:rsidR="00000000" w:rsidRPr="00076451" w:rsidP="00076451">
      <w:pPr>
        <w:pStyle w:val="ListBullet"/>
      </w:pPr>
      <w:r w:rsidRPr="00076451">
        <w:t>enterprise production schedules</w:t>
      </w:r>
    </w:p>
    <w:p w:rsidR="00000000" w:rsidRPr="00076451" w:rsidP="00076451">
      <w:pPr>
        <w:pStyle w:val="ListBullet"/>
      </w:pPr>
      <w:r w:rsidRPr="00076451">
        <w:t>work health and safety (WHS) requir</w:t>
      </w:r>
      <w:r w:rsidRPr="00076451">
        <w:t xml:space="preserve">ements relevant to work outcome </w:t>
      </w:r>
    </w:p>
    <w:p w:rsidR="00000000" w:rsidRPr="00076451" w:rsidP="00076451">
      <w:pPr>
        <w:pStyle w:val="ListBullet"/>
      </w:pPr>
      <w:r w:rsidRPr="00076451">
        <w:t>heat curing hazards and:</w:t>
      </w:r>
    </w:p>
    <w:p w:rsidR="00000000" w:rsidRPr="00076451" w:rsidP="00076451">
      <w:pPr>
        <w:pStyle w:val="ListBullet2"/>
      </w:pPr>
      <w:r w:rsidRPr="00076451">
        <w:t xml:space="preserve">their possible causes </w:t>
      </w:r>
    </w:p>
    <w:p w:rsidR="00000000" w:rsidRPr="00076451" w:rsidP="00076451">
      <w:pPr>
        <w:pStyle w:val="ListBullet2"/>
      </w:pPr>
      <w:r w:rsidRPr="00076451">
        <w:t>potential consequences</w:t>
      </w:r>
    </w:p>
    <w:p w:rsidR="001511F2" w:rsidP="00076451">
      <w:pPr>
        <w:pStyle w:val="ListBullet2"/>
      </w:pPr>
      <w:r w:rsidRPr="00076451">
        <w:t>risk control procedures.</w:t>
      </w:r>
    </w:p>
    <w:p w:rsidR="001511F2" w:rsidP="00076451">
      <w:pPr>
        <w:pStyle w:val="ListBullet2"/>
      </w:pPr>
    </w:p>
    <w:p w:rsidR="00000000" w:rsidRPr="00076451" w:rsidP="00076451">
      <w:pPr>
        <w:pStyle w:val="Heading1"/>
      </w:pPr>
      <w:bookmarkStart w:id="4" w:name="O_1009684"/>
      <w:bookmarkEnd w:id="4"/>
      <w:r w:rsidRPr="00076451">
        <w:t>Assessment Conditions</w:t>
      </w:r>
    </w:p>
    <w:p w:rsidR="00000000" w:rsidRPr="00076451" w:rsidP="001511F2">
      <w:pPr>
        <w:pStyle w:val="BodyText"/>
      </w:pPr>
      <w:r w:rsidRPr="00076451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076451" w:rsidP="00076451">
      <w:pPr>
        <w:pStyle w:val="ListBullet"/>
      </w:pPr>
      <w:r w:rsidRPr="00076451">
        <w:t xml:space="preserve">use of suitable facilities, equipment and resources, including: </w:t>
      </w:r>
    </w:p>
    <w:p w:rsidR="00000000" w:rsidRPr="00076451" w:rsidP="00076451">
      <w:pPr>
        <w:pStyle w:val="ListBullet2"/>
      </w:pPr>
      <w:r w:rsidRPr="00076451">
        <w:t>heat curing equipment and ancillary equipment</w:t>
      </w:r>
    </w:p>
    <w:p w:rsidR="00000000" w:rsidRPr="00076451" w:rsidP="00076451">
      <w:pPr>
        <w:pStyle w:val="ListBullet2"/>
      </w:pPr>
      <w:r w:rsidRPr="00076451">
        <w:t xml:space="preserve">raw materials </w:t>
      </w:r>
    </w:p>
    <w:p w:rsidR="00000000" w:rsidRPr="00076451" w:rsidP="00076451">
      <w:pPr>
        <w:pStyle w:val="ListBullet2"/>
      </w:pPr>
      <w:r w:rsidRPr="00076451">
        <w:t>specifications, procedures and job sheets</w:t>
      </w:r>
    </w:p>
    <w:p w:rsidR="00000000" w:rsidRPr="00076451" w:rsidP="00076451">
      <w:pPr>
        <w:pStyle w:val="ListBullet"/>
      </w:pPr>
      <w:r w:rsidRPr="00076451">
        <w:t>modelling of industry operating conditions, including:</w:t>
      </w:r>
    </w:p>
    <w:p w:rsidR="00000000" w:rsidRPr="00076451" w:rsidP="00076451">
      <w:pPr>
        <w:pStyle w:val="ListBullet2"/>
      </w:pPr>
      <w:r w:rsidRPr="00076451">
        <w:t>routine and non-routine problems.</w:t>
      </w:r>
    </w:p>
    <w:p w:rsidR="00000000" w:rsidRPr="00076451" w:rsidP="00076451">
      <w:pPr>
        <w:pStyle w:val="BodyText"/>
      </w:pPr>
    </w:p>
    <w:p w:rsidR="00000000" w:rsidRPr="00076451" w:rsidP="001511F2">
      <w:pPr>
        <w:pStyle w:val="BodyText"/>
      </w:pPr>
      <w:r w:rsidRPr="00076451">
        <w:t>Assessors must satisfy the NVR/AQTF mandatory competency req</w:t>
      </w:r>
      <w:r w:rsidRPr="00076451">
        <w:t>uirements for assessors.</w:t>
      </w:r>
    </w:p>
    <w:p w:rsidR="00000000" w:rsidRPr="00076451" w:rsidP="00076451">
      <w:pPr>
        <w:pStyle w:val="Heading1"/>
      </w:pPr>
      <w:bookmarkStart w:id="5" w:name="O_1009682"/>
      <w:bookmarkEnd w:id="5"/>
      <w:r w:rsidRPr="00076451">
        <w:t>Links</w:t>
      </w:r>
    </w:p>
    <w:p w:rsidR="00000000" w:rsidRPr="00076451" w:rsidP="001511F2">
      <w:pPr>
        <w:pStyle w:val="BodyText"/>
      </w:pPr>
      <w:r w:rsidRPr="00076451">
        <w:t xml:space="preserve">Companion Volume Implementation Guides are available at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E97D77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076451" w:rsidP="00076451"/>
    <w:sectPr w:rsidSect="0007645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4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451" w:rsidRPr="001511F2" w:rsidP="001511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4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1F2" w:rsidP="000764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511F2" w:rsidP="000764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511F2" w:rsidP="000764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4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1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6451" w:rsidRPr="001511F2" w:rsidP="001511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4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1F2" w:rsidRPr="002D2AF8" w:rsidP="000764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MSMPMC305 Heat accelerate the curing of precast concrete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September 2020</w:t>
    </w:r>
    <w:r>
      <w:fldChar w:fldCharType="end"/>
    </w:r>
  </w:p>
  <w:p w:rsidR="001511F2" w:rsidP="000764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FDA31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B5C03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A1863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64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64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64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64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64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64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64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64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64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64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64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6451"/>
  </w:style>
  <w:style w:type="character" w:customStyle="1" w:styleId="Heading1Char">
    <w:name w:val="Heading 1 Char"/>
    <w:basedOn w:val="DefaultParagraphFont"/>
    <w:link w:val="Heading1"/>
    <w:rsid w:val="000764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64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64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7645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7645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764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64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7645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764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64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64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64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64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64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64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64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64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64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64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64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64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64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64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64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64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64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64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764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76451"/>
    <w:rPr>
      <w:b/>
      <w:spacing w:val="0"/>
    </w:rPr>
  </w:style>
  <w:style w:type="paragraph" w:customStyle="1" w:styleId="SuperTitle">
    <w:name w:val="SuperTitle"/>
    <w:basedOn w:val="Title"/>
    <w:rsid w:val="000764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64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64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764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64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64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64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64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64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64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64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64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76451"/>
    <w:rPr>
      <w:i/>
    </w:rPr>
  </w:style>
  <w:style w:type="paragraph" w:styleId="Caption">
    <w:name w:val="caption"/>
    <w:basedOn w:val="BodyText"/>
    <w:next w:val="Normal"/>
    <w:qFormat/>
    <w:rsid w:val="000764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64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64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6451"/>
  </w:style>
  <w:style w:type="paragraph" w:styleId="TableofFigures">
    <w:name w:val="table of figures"/>
    <w:basedOn w:val="Normal"/>
    <w:next w:val="Normal"/>
    <w:semiHidden/>
    <w:rsid w:val="000764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645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76451"/>
    <w:rPr>
      <w:rFonts w:ascii="Wingdings" w:hAnsi="Wingdings"/>
    </w:rPr>
  </w:style>
  <w:style w:type="paragraph" w:customStyle="1" w:styleId="TableHeading">
    <w:name w:val="Table Heading"/>
    <w:basedOn w:val="HeadingBase"/>
    <w:rsid w:val="000764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6451"/>
    <w:rPr>
      <w:color w:val="0033CC"/>
      <w:u w:val="none"/>
    </w:rPr>
  </w:style>
  <w:style w:type="paragraph" w:customStyle="1" w:styleId="BodyTextRight">
    <w:name w:val="Body Text Right"/>
    <w:basedOn w:val="BodyText"/>
    <w:rsid w:val="000764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64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645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64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64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64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6451"/>
    <w:rPr>
      <w:sz w:val="32"/>
    </w:rPr>
  </w:style>
  <w:style w:type="paragraph" w:customStyle="1" w:styleId="HeadingProcedure">
    <w:name w:val="Heading Procedure"/>
    <w:basedOn w:val="HeadingBase"/>
    <w:next w:val="Normal"/>
    <w:rsid w:val="000764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6451"/>
    <w:pPr>
      <w:spacing w:before="60" w:after="60"/>
    </w:pPr>
  </w:style>
  <w:style w:type="paragraph" w:styleId="ListContinue">
    <w:name w:val="List Continue"/>
    <w:basedOn w:val="List"/>
    <w:rsid w:val="00076451"/>
    <w:pPr>
      <w:ind w:firstLine="0"/>
    </w:pPr>
  </w:style>
  <w:style w:type="paragraph" w:customStyle="1" w:styleId="ListNote">
    <w:name w:val="List Note"/>
    <w:basedOn w:val="List"/>
    <w:rsid w:val="000764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64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64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6451"/>
    <w:rPr>
      <w:rFonts w:ascii="Courier New" w:hAnsi="Courier New"/>
    </w:rPr>
  </w:style>
  <w:style w:type="paragraph" w:customStyle="1" w:styleId="NoteBullet">
    <w:name w:val="Note Bullet"/>
    <w:basedOn w:val="Note"/>
    <w:rsid w:val="000764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64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64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64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645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764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64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6451"/>
    <w:rPr>
      <w:b/>
      <w:smallCaps/>
    </w:rPr>
  </w:style>
  <w:style w:type="paragraph" w:customStyle="1" w:styleId="TableListNumber">
    <w:name w:val="Table List Number"/>
    <w:basedOn w:val="ListNumber"/>
    <w:rsid w:val="000764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64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6451"/>
    <w:pPr>
      <w:numPr>
        <w:numId w:val="10"/>
      </w:numPr>
    </w:pPr>
  </w:style>
  <w:style w:type="paragraph" w:customStyle="1" w:styleId="ListAlpha2">
    <w:name w:val="List Alpha 2"/>
    <w:basedOn w:val="List2"/>
    <w:rsid w:val="00076451"/>
    <w:pPr>
      <w:numPr>
        <w:numId w:val="9"/>
      </w:numPr>
    </w:pPr>
  </w:style>
  <w:style w:type="paragraph" w:styleId="List2">
    <w:name w:val="List 2"/>
    <w:basedOn w:val="BodyText"/>
    <w:rsid w:val="000764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64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64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645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7645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76451"/>
    <w:pPr>
      <w:numPr>
        <w:numId w:val="5"/>
      </w:numPr>
    </w:pPr>
  </w:style>
  <w:style w:type="paragraph" w:styleId="ListContinue2">
    <w:name w:val="List Continue 2"/>
    <w:basedOn w:val="List2"/>
    <w:rsid w:val="00076451"/>
    <w:pPr>
      <w:ind w:firstLine="0"/>
    </w:pPr>
  </w:style>
  <w:style w:type="paragraph" w:styleId="ListContinue3">
    <w:name w:val="List Continue 3"/>
    <w:basedOn w:val="List3"/>
    <w:rsid w:val="00076451"/>
    <w:pPr>
      <w:ind w:left="1021" w:firstLine="0"/>
    </w:pPr>
  </w:style>
  <w:style w:type="paragraph" w:styleId="ListContinue4">
    <w:name w:val="List Continue 4"/>
    <w:basedOn w:val="List4"/>
    <w:rsid w:val="00076451"/>
    <w:pPr>
      <w:ind w:firstLine="0"/>
    </w:pPr>
  </w:style>
  <w:style w:type="paragraph" w:styleId="ListContinue5">
    <w:name w:val="List Continue 5"/>
    <w:basedOn w:val="List5"/>
    <w:rsid w:val="00076451"/>
    <w:pPr>
      <w:ind w:firstLine="0"/>
    </w:pPr>
  </w:style>
  <w:style w:type="paragraph" w:styleId="ListNumber3">
    <w:name w:val="List Number 3"/>
    <w:basedOn w:val="List3"/>
    <w:rsid w:val="00076451"/>
    <w:pPr>
      <w:numPr>
        <w:numId w:val="6"/>
      </w:numPr>
    </w:pPr>
  </w:style>
  <w:style w:type="paragraph" w:styleId="ListNumber4">
    <w:name w:val="List Number 4"/>
    <w:basedOn w:val="List4"/>
    <w:rsid w:val="00076451"/>
    <w:pPr>
      <w:numPr>
        <w:numId w:val="7"/>
      </w:numPr>
    </w:pPr>
  </w:style>
  <w:style w:type="paragraph" w:styleId="ListNumber5">
    <w:name w:val="List Number 5"/>
    <w:basedOn w:val="List5"/>
    <w:rsid w:val="00076451"/>
    <w:pPr>
      <w:numPr>
        <w:numId w:val="8"/>
      </w:numPr>
    </w:pPr>
  </w:style>
  <w:style w:type="paragraph" w:styleId="BlockText">
    <w:name w:val="Block Text"/>
    <w:basedOn w:val="Normal"/>
    <w:rsid w:val="000764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64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6451"/>
    <w:rPr>
      <w:sz w:val="16"/>
      <w:vertAlign w:val="superscript"/>
    </w:rPr>
  </w:style>
  <w:style w:type="character" w:customStyle="1" w:styleId="Symbols">
    <w:name w:val="Symbols"/>
    <w:basedOn w:val="DefaultParagraphFont"/>
    <w:rsid w:val="00076451"/>
    <w:rPr>
      <w:rFonts w:ascii="Symbol" w:hAnsi="Symbol"/>
    </w:rPr>
  </w:style>
  <w:style w:type="character" w:customStyle="1" w:styleId="MenuOptions">
    <w:name w:val="Menu Options"/>
    <w:basedOn w:val="DefaultParagraphFont"/>
    <w:rsid w:val="000764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6451"/>
    <w:rPr>
      <w:b/>
    </w:rPr>
  </w:style>
  <w:style w:type="character" w:customStyle="1" w:styleId="Underlined">
    <w:name w:val="Underlined"/>
    <w:basedOn w:val="DefaultParagraphFont"/>
    <w:rsid w:val="00076451"/>
    <w:rPr>
      <w:u w:val="single"/>
    </w:rPr>
  </w:style>
  <w:style w:type="paragraph" w:customStyle="1" w:styleId="TableBodyTextRight">
    <w:name w:val="Table Body Text Right"/>
    <w:basedOn w:val="TableBodyText"/>
    <w:rsid w:val="000764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6451"/>
    <w:rPr>
      <w:sz w:val="18"/>
    </w:rPr>
  </w:style>
  <w:style w:type="paragraph" w:customStyle="1" w:styleId="BodySmallRight">
    <w:name w:val="Body Small Right"/>
    <w:basedOn w:val="BodyTextRight"/>
    <w:rsid w:val="00076451"/>
    <w:rPr>
      <w:sz w:val="18"/>
      <w:szCs w:val="18"/>
    </w:rPr>
  </w:style>
  <w:style w:type="paragraph" w:customStyle="1" w:styleId="MarginEdition">
    <w:name w:val="Margin Edition"/>
    <w:basedOn w:val="MarginNote"/>
    <w:rsid w:val="000764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6451"/>
    <w:rPr>
      <w:sz w:val="2"/>
      <w:szCs w:val="2"/>
    </w:rPr>
  </w:style>
  <w:style w:type="character" w:customStyle="1" w:styleId="Small">
    <w:name w:val="Small"/>
    <w:basedOn w:val="DefaultParagraphFont"/>
    <w:rsid w:val="00076451"/>
    <w:rPr>
      <w:sz w:val="16"/>
    </w:rPr>
  </w:style>
  <w:style w:type="paragraph" w:customStyle="1" w:styleId="WideTable">
    <w:name w:val="Wide Table"/>
    <w:basedOn w:val="Normal"/>
    <w:rsid w:val="000764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6451"/>
  </w:style>
  <w:style w:type="paragraph" w:styleId="Quote">
    <w:name w:val="Quote"/>
    <w:basedOn w:val="Heading1"/>
    <w:link w:val="QuoteChar"/>
    <w:qFormat/>
    <w:rsid w:val="000764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64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6451"/>
    <w:pPr>
      <w:pageBreakBefore/>
    </w:pPr>
  </w:style>
  <w:style w:type="paragraph" w:customStyle="1" w:styleId="Border">
    <w:name w:val="Border"/>
    <w:basedOn w:val="Normal"/>
    <w:qFormat/>
    <w:rsid w:val="000764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64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64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64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64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64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64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64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64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6451"/>
    <w:rPr>
      <w:u w:val="single"/>
    </w:rPr>
  </w:style>
  <w:style w:type="character" w:customStyle="1" w:styleId="BoldandItalics">
    <w:name w:val="Bold and Italics"/>
    <w:qFormat/>
    <w:rsid w:val="00076451"/>
    <w:rPr>
      <w:b/>
      <w:i/>
      <w:u w:val="none"/>
    </w:rPr>
  </w:style>
  <w:style w:type="paragraph" w:styleId="BalloonText">
    <w:name w:val="Balloon Text"/>
    <w:basedOn w:val="Normal"/>
    <w:link w:val="BalloonTextChar"/>
    <w:rsid w:val="000764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64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64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64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64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64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6451"/>
    <w:pPr>
      <w:spacing w:before="0" w:after="0"/>
    </w:pPr>
  </w:style>
  <w:style w:type="paragraph" w:customStyle="1" w:styleId="BodyTextBold">
    <w:name w:val="Body Text Bold"/>
    <w:basedOn w:val="BodyText"/>
    <w:qFormat/>
    <w:rsid w:val="00076451"/>
    <w:rPr>
      <w:b/>
    </w:rPr>
  </w:style>
  <w:style w:type="character" w:styleId="Hyperlink">
    <w:name w:val="Hyperlink"/>
    <w:basedOn w:val="DefaultParagraphFont"/>
    <w:uiPriority w:val="99"/>
    <w:unhideWhenUsed/>
    <w:rsid w:val="001511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329</Words>
  <Characters>2230</Characters>
  <Application>Microsoft Office Word</Application>
  <DocSecurity>0</DocSecurity>
  <Lines>67</Lines>
  <Paragraphs>53</Paragraphs>
  <ScaleCrop>false</ScaleCrop>
  <Company>Author-it Software Corporation Ltd.</Company>
  <LinksUpToDate>false</LinksUpToDate>
  <CharactersWithSpaces>2506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MSMPMC305 Heat accelerate the curing of precast concrete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2020-09-04T08:45:00Z</dcterms:created>
  <dcterms:modified xsi:type="dcterms:W3CDTF">2020-09-04T08:45:00Z</dcterms:modified>
</cp:coreProperties>
</file>