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766D" w:rsidP="000476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MSMPMC302 Operate equipment to blend/mix materials</w:t>
      </w:r>
      <w:r>
        <w:fldChar w:fldCharType="end"/>
      </w:r>
    </w:p>
    <w:p w:rsidR="0004766D" w:rsidP="0004766D">
      <w:pPr>
        <w:pStyle w:val="Version"/>
        <w:sectPr w:rsidSect="00EB12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127E" w:rsidP="00EB127E">
      <w:pPr>
        <w:pStyle w:val="SuperHeading"/>
      </w:pPr>
      <w:r w:rsidRPr="00EB127E">
        <w:t>Assessment Requirements for MSMPMC302 Operate equipment to blend/mix materials</w:t>
      </w:r>
    </w:p>
    <w:p w:rsidR="00000000" w:rsidRPr="00EB127E" w:rsidP="00EB127E">
      <w:pPr>
        <w:pStyle w:val="Heading1"/>
      </w:pPr>
      <w:bookmarkStart w:id="1" w:name="O_1009617"/>
      <w:bookmarkEnd w:id="1"/>
      <w:r w:rsidRPr="00EB127E">
        <w:t>Modification History</w:t>
      </w:r>
    </w:p>
    <w:p w:rsidR="0004766D" w:rsidP="0004766D">
      <w:pPr>
        <w:pStyle w:val="BodyText"/>
      </w:pPr>
      <w:r w:rsidRPr="00EB127E">
        <w:t xml:space="preserve">Release 1. New Unit. Supersedes and is equivalent to PMC552002 Operate equipment to blend/mix materials. </w:t>
      </w:r>
    </w:p>
    <w:p w:rsidR="00000000" w:rsidRPr="00EB127E" w:rsidP="00EB127E">
      <w:pPr>
        <w:pStyle w:val="Heading1"/>
      </w:pPr>
      <w:bookmarkStart w:id="2" w:name="O_1009620"/>
      <w:bookmarkEnd w:id="2"/>
      <w:r w:rsidRPr="00EB127E">
        <w:t>Performance Evidence</w:t>
      </w:r>
    </w:p>
    <w:p w:rsidR="00000000" w:rsidRPr="00EB127E" w:rsidP="0004766D">
      <w:pPr>
        <w:pStyle w:val="BodyText"/>
      </w:pPr>
      <w:r w:rsidRPr="00EB127E">
        <w:t>There must be evidence the candidate has completed the tasks outlined in the elements and performance criteria of this unit, and:</w:t>
      </w:r>
    </w:p>
    <w:p w:rsidR="00000000" w:rsidRPr="00EB127E" w:rsidP="00EB127E">
      <w:pPr>
        <w:pStyle w:val="ListBullet"/>
      </w:pPr>
      <w:r w:rsidRPr="00EB127E">
        <w:t>set up and operated the equipment according to procedures to blend or mix materials on at least 1 occasi</w:t>
      </w:r>
      <w:r w:rsidRPr="00EB127E">
        <w:t>on, including:</w:t>
      </w:r>
    </w:p>
    <w:p w:rsidR="00000000" w:rsidRPr="00EB127E" w:rsidP="00EB127E">
      <w:pPr>
        <w:pStyle w:val="ListBullet2"/>
      </w:pPr>
      <w:r w:rsidRPr="00EB127E">
        <w:t>monitoring the following key variables to ensure product integrity and conformance to specification:</w:t>
      </w:r>
    </w:p>
    <w:p w:rsidR="00000000" w:rsidRPr="00EB127E" w:rsidP="00EB127E">
      <w:pPr>
        <w:pStyle w:val="ListBullet3"/>
      </w:pPr>
      <w:r w:rsidRPr="00EB127E">
        <w:t>process conditions and parameters</w:t>
      </w:r>
    </w:p>
    <w:p w:rsidR="00000000" w:rsidRPr="00EB127E" w:rsidP="00EB127E">
      <w:pPr>
        <w:pStyle w:val="ListBullet3"/>
      </w:pPr>
      <w:r w:rsidRPr="00EB127E">
        <w:t xml:space="preserve">duration of blend and mix </w:t>
      </w:r>
    </w:p>
    <w:p w:rsidR="00000000" w:rsidRPr="00EB127E" w:rsidP="00EB127E">
      <w:pPr>
        <w:pStyle w:val="ListBullet3"/>
      </w:pPr>
      <w:r w:rsidRPr="00EB127E">
        <w:t>mixing sequence</w:t>
      </w:r>
    </w:p>
    <w:p w:rsidR="00000000" w:rsidRPr="00EB127E" w:rsidP="00EB127E">
      <w:pPr>
        <w:pStyle w:val="ListBullet3"/>
      </w:pPr>
      <w:r w:rsidRPr="00EB127E">
        <w:t>blend and mix tolerance</w:t>
      </w:r>
    </w:p>
    <w:p w:rsidR="00000000" w:rsidRPr="00EB127E" w:rsidP="00EB127E">
      <w:pPr>
        <w:pStyle w:val="ListBullet2"/>
      </w:pPr>
      <w:r w:rsidRPr="00EB127E">
        <w:t>recognising possible causes of the following routine problems:</w:t>
      </w:r>
    </w:p>
    <w:p w:rsidR="00000000" w:rsidRPr="00EB127E" w:rsidP="00EB127E">
      <w:pPr>
        <w:pStyle w:val="ListBullet3"/>
      </w:pPr>
      <w:r w:rsidRPr="00EB127E">
        <w:t>raw material variations</w:t>
      </w:r>
    </w:p>
    <w:p w:rsidR="00000000" w:rsidRPr="00EB127E" w:rsidP="00EB127E">
      <w:pPr>
        <w:pStyle w:val="ListBullet3"/>
      </w:pPr>
      <w:r w:rsidRPr="00EB127E">
        <w:t>process problems</w:t>
      </w:r>
    </w:p>
    <w:p w:rsidR="00000000" w:rsidRPr="00EB127E" w:rsidP="00EB127E">
      <w:pPr>
        <w:pStyle w:val="ListBullet3"/>
      </w:pPr>
      <w:r w:rsidRPr="00EB127E">
        <w:t>mechanical abnormalities</w:t>
      </w:r>
    </w:p>
    <w:p w:rsidR="00000000" w:rsidRPr="00EB127E" w:rsidP="00EB127E">
      <w:pPr>
        <w:pStyle w:val="ListBullet3"/>
      </w:pPr>
      <w:r w:rsidRPr="00EB127E">
        <w:t>electrical or instrument reading variations</w:t>
      </w:r>
    </w:p>
    <w:p w:rsidR="00000000" w:rsidRPr="00EB127E" w:rsidP="00EB127E">
      <w:pPr>
        <w:pStyle w:val="ListBullet3"/>
      </w:pPr>
      <w:r w:rsidRPr="00EB127E">
        <w:t>equipment faults, damage or failure.</w:t>
      </w:r>
    </w:p>
    <w:p w:rsidR="00000000" w:rsidRPr="00EB127E" w:rsidP="00EB127E">
      <w:pPr>
        <w:pStyle w:val="AllowPageBreak"/>
      </w:pPr>
    </w:p>
    <w:p w:rsidR="00000000" w:rsidRPr="00EB127E" w:rsidP="00EB127E">
      <w:pPr>
        <w:pStyle w:val="Heading1"/>
      </w:pPr>
      <w:bookmarkStart w:id="3" w:name="O_1009619"/>
      <w:bookmarkEnd w:id="3"/>
      <w:r w:rsidRPr="00EB127E">
        <w:t>Knowledge Evidence</w:t>
      </w:r>
    </w:p>
    <w:p w:rsidR="00000000" w:rsidRPr="00EB127E" w:rsidP="0004766D">
      <w:pPr>
        <w:pStyle w:val="BodyText"/>
      </w:pPr>
      <w:r w:rsidRPr="00EB127E">
        <w:t>There m</w:t>
      </w:r>
      <w:r w:rsidRPr="00EB127E">
        <w:t>ust be evidence the candidate has knowledge of:</w:t>
      </w:r>
    </w:p>
    <w:p w:rsidR="00000000" w:rsidRPr="00EB127E" w:rsidP="00EB127E">
      <w:pPr>
        <w:pStyle w:val="ListBullet"/>
      </w:pPr>
      <w:r w:rsidRPr="00EB127E">
        <w:t>principles of blending or mixing products</w:t>
      </w:r>
    </w:p>
    <w:p w:rsidR="00000000" w:rsidRPr="00EB127E" w:rsidP="00EB127E">
      <w:pPr>
        <w:pStyle w:val="ListBullet"/>
      </w:pPr>
      <w:r w:rsidRPr="00EB127E">
        <w:t>blending and mixing equipment, including:</w:t>
      </w:r>
    </w:p>
    <w:p w:rsidR="00000000" w:rsidRPr="00EB127E" w:rsidP="00EB127E">
      <w:pPr>
        <w:pStyle w:val="ListBullet2"/>
      </w:pPr>
      <w:r w:rsidRPr="00EB127E">
        <w:t xml:space="preserve">start-up, operation and shutdown processes </w:t>
      </w:r>
    </w:p>
    <w:p w:rsidR="00000000" w:rsidRPr="00EB127E" w:rsidP="00EB127E">
      <w:pPr>
        <w:pStyle w:val="ListBullet2"/>
      </w:pPr>
      <w:r w:rsidRPr="00EB127E">
        <w:t>impact of equipment operatio</w:t>
      </w:r>
      <w:r w:rsidRPr="00EB127E">
        <w:t>n and limitations on mixing efficiency, effectiveness and quality of product</w:t>
      </w:r>
    </w:p>
    <w:p w:rsidR="00000000" w:rsidRPr="00EB127E" w:rsidP="00EB127E">
      <w:pPr>
        <w:pStyle w:val="ListBullet"/>
      </w:pPr>
      <w:r w:rsidRPr="00EB127E">
        <w:t>vibration monitoring</w:t>
      </w:r>
    </w:p>
    <w:p w:rsidR="00000000" w:rsidRPr="00EB127E" w:rsidP="00EB127E">
      <w:pPr>
        <w:pStyle w:val="ListBullet"/>
      </w:pPr>
      <w:r w:rsidRPr="00EB127E">
        <w:t>impact of:</w:t>
      </w:r>
    </w:p>
    <w:p w:rsidR="00000000" w:rsidRPr="00EB127E" w:rsidP="00EB127E">
      <w:pPr>
        <w:pStyle w:val="ListBullet2"/>
      </w:pPr>
      <w:r w:rsidRPr="00EB127E">
        <w:t>blending or mixing on final product</w:t>
      </w:r>
    </w:p>
    <w:p w:rsidR="00000000" w:rsidRPr="00EB127E" w:rsidP="00EB127E">
      <w:pPr>
        <w:pStyle w:val="ListBullet2"/>
      </w:pPr>
      <w:r w:rsidRPr="00EB127E">
        <w:t>variations in product specification on the blending or mixing process</w:t>
      </w:r>
    </w:p>
    <w:p w:rsidR="00000000" w:rsidRPr="00EB127E" w:rsidP="00EB127E">
      <w:pPr>
        <w:pStyle w:val="ListBullet2"/>
      </w:pPr>
      <w:r w:rsidRPr="00EB127E">
        <w:t>variations in raw materials in relation</w:t>
      </w:r>
      <w:r w:rsidRPr="00EB127E">
        <w:t xml:space="preserve"> to quality of product</w:t>
      </w:r>
    </w:p>
    <w:p w:rsidR="00000000" w:rsidRPr="00EB127E" w:rsidP="00EB127E">
      <w:pPr>
        <w:pStyle w:val="ListBullet"/>
      </w:pPr>
      <w:r w:rsidRPr="00EB127E">
        <w:t>process used to transform the feed materials into the product</w:t>
      </w:r>
    </w:p>
    <w:p w:rsidR="00000000" w:rsidRPr="00EB127E" w:rsidP="00EB127E">
      <w:pPr>
        <w:pStyle w:val="ListBullet"/>
      </w:pPr>
      <w:r w:rsidRPr="00EB127E">
        <w:t>product specifications and tolerances</w:t>
      </w:r>
    </w:p>
    <w:p w:rsidR="00000000" w:rsidRPr="00EB127E" w:rsidP="00EB127E">
      <w:pPr>
        <w:pStyle w:val="ListBullet"/>
      </w:pPr>
      <w:r w:rsidRPr="00EB127E">
        <w:t>routine problems and factors which may affect product quality or production output, their probable causes and relevant corrective ac</w:t>
      </w:r>
      <w:r w:rsidRPr="00EB127E">
        <w:t xml:space="preserve">tions </w:t>
      </w:r>
    </w:p>
    <w:p w:rsidR="00000000" w:rsidRPr="00EB127E" w:rsidP="00EB127E">
      <w:pPr>
        <w:pStyle w:val="ListBullet"/>
      </w:pPr>
      <w:r w:rsidRPr="00EB127E">
        <w:t>enterprise production schedules</w:t>
      </w:r>
    </w:p>
    <w:p w:rsidR="00000000" w:rsidRPr="00EB127E" w:rsidP="00EB127E">
      <w:pPr>
        <w:pStyle w:val="ListBullet"/>
      </w:pPr>
      <w:r w:rsidRPr="00EB127E">
        <w:t>blending and mixing hazards and:</w:t>
      </w:r>
    </w:p>
    <w:p w:rsidR="00000000" w:rsidRPr="00EB127E" w:rsidP="00EB127E">
      <w:pPr>
        <w:pStyle w:val="ListBullet2"/>
      </w:pPr>
      <w:r w:rsidRPr="00EB127E">
        <w:t xml:space="preserve">their possible causes </w:t>
      </w:r>
    </w:p>
    <w:p w:rsidR="00000000" w:rsidRPr="00EB127E" w:rsidP="00EB127E">
      <w:pPr>
        <w:pStyle w:val="ListBullet2"/>
      </w:pPr>
      <w:r w:rsidRPr="00EB127E">
        <w:t>potential consequences</w:t>
      </w:r>
    </w:p>
    <w:p w:rsidR="0004766D" w:rsidP="00EB127E">
      <w:pPr>
        <w:pStyle w:val="ListBullet2"/>
      </w:pPr>
      <w:r w:rsidRPr="00EB127E">
        <w:t xml:space="preserve">risk control procedures </w:t>
      </w:r>
    </w:p>
    <w:p w:rsidR="0004766D" w:rsidP="00EB127E">
      <w:pPr>
        <w:pStyle w:val="ListBullet2"/>
      </w:pPr>
    </w:p>
    <w:p w:rsidR="00000000" w:rsidRPr="00EB127E" w:rsidP="00EB127E">
      <w:pPr>
        <w:pStyle w:val="Heading1"/>
      </w:pPr>
      <w:bookmarkStart w:id="4" w:name="O_1009618"/>
      <w:bookmarkEnd w:id="4"/>
      <w:r w:rsidRPr="00EB127E">
        <w:t>Assessment Conditions</w:t>
      </w:r>
    </w:p>
    <w:p w:rsidR="00000000" w:rsidRPr="00EB127E" w:rsidP="0004766D">
      <w:pPr>
        <w:pStyle w:val="BodyText"/>
      </w:pPr>
      <w:r w:rsidRPr="00EB127E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EB127E" w:rsidP="00EB127E">
      <w:pPr>
        <w:pStyle w:val="ListBullet"/>
      </w:pPr>
      <w:r w:rsidRPr="00EB127E">
        <w:t xml:space="preserve">use of suitable facilities, equipment and resources, including: </w:t>
      </w:r>
    </w:p>
    <w:p w:rsidR="00000000" w:rsidRPr="00EB127E" w:rsidP="00EB127E">
      <w:pPr>
        <w:pStyle w:val="ListBullet2"/>
      </w:pPr>
      <w:r w:rsidRPr="00EB127E">
        <w:t>blending or mixing equipment and ancillary equipment</w:t>
      </w:r>
    </w:p>
    <w:p w:rsidR="00000000" w:rsidRPr="00EB127E" w:rsidP="00EB127E">
      <w:pPr>
        <w:pStyle w:val="ListBullet2"/>
      </w:pPr>
      <w:r w:rsidRPr="00EB127E">
        <w:t>materials to be blended or mixed</w:t>
      </w:r>
    </w:p>
    <w:p w:rsidR="00000000" w:rsidRPr="00EB127E" w:rsidP="00EB127E">
      <w:pPr>
        <w:pStyle w:val="ListBullet2"/>
      </w:pPr>
      <w:r w:rsidRPr="00EB127E">
        <w:t>specifications, procedures and job sheets</w:t>
      </w:r>
    </w:p>
    <w:p w:rsidR="00000000" w:rsidRPr="00EB127E" w:rsidP="00EB127E">
      <w:pPr>
        <w:pStyle w:val="ListBullet"/>
      </w:pPr>
      <w:r w:rsidRPr="00EB127E">
        <w:t>modelling of industry operating conditions, including:</w:t>
      </w:r>
    </w:p>
    <w:p w:rsidR="00000000" w:rsidRPr="00EB127E" w:rsidP="00EB127E">
      <w:pPr>
        <w:pStyle w:val="ListBullet2"/>
      </w:pPr>
      <w:r w:rsidRPr="00EB127E">
        <w:t>routine and non-routine problems.</w:t>
      </w:r>
    </w:p>
    <w:p w:rsidR="00000000" w:rsidRPr="00EB127E" w:rsidP="00EB127E">
      <w:pPr>
        <w:pStyle w:val="BodyText"/>
      </w:pPr>
    </w:p>
    <w:p w:rsidR="00000000" w:rsidRPr="00EB127E" w:rsidP="0004766D">
      <w:pPr>
        <w:pStyle w:val="BodyText"/>
      </w:pPr>
      <w:r w:rsidRPr="00EB127E">
        <w:t>Assessors must satisfy the NVR/AQTF mandatory competency requirements for assessors.</w:t>
      </w:r>
    </w:p>
    <w:p w:rsidR="00000000" w:rsidRPr="00EB127E" w:rsidP="00EB127E">
      <w:pPr>
        <w:pStyle w:val="Heading1"/>
      </w:pPr>
      <w:bookmarkStart w:id="5" w:name="O_1009616"/>
      <w:bookmarkEnd w:id="5"/>
      <w:r w:rsidRPr="00EB127E">
        <w:t>Links</w:t>
      </w:r>
    </w:p>
    <w:p w:rsidR="00000000" w:rsidRPr="00EB127E" w:rsidP="0004766D">
      <w:pPr>
        <w:pStyle w:val="BodyText"/>
      </w:pPr>
      <w:r w:rsidRPr="00EB127E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8E6146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EB127E" w:rsidP="00EB127E"/>
    <w:sectPr w:rsidSect="00EB12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2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27E" w:rsidRPr="0004766D" w:rsidP="000476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2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66D" w:rsidP="00EB12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4766D" w:rsidP="00EB12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4766D" w:rsidP="00EB12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2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6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127E" w:rsidRPr="0004766D" w:rsidP="000476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2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66D" w:rsidRPr="002D2AF8" w:rsidP="00EB12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MSMPMC302 Operate equipment to blend/mix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4766D" w:rsidP="00EB12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CE2C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AE4A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E874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2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12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12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12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12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12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12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12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12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12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12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127E"/>
  </w:style>
  <w:style w:type="character" w:customStyle="1" w:styleId="Heading1Char">
    <w:name w:val="Heading 1 Char"/>
    <w:basedOn w:val="DefaultParagraphFont"/>
    <w:link w:val="Heading1"/>
    <w:rsid w:val="00EB12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12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12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127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B127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B12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12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B127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B12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12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12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12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12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12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12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12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12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12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12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12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12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12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12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12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12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12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12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12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127E"/>
    <w:rPr>
      <w:b/>
      <w:spacing w:val="0"/>
    </w:rPr>
  </w:style>
  <w:style w:type="paragraph" w:customStyle="1" w:styleId="SuperTitle">
    <w:name w:val="SuperTitle"/>
    <w:basedOn w:val="Title"/>
    <w:rsid w:val="00EB12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12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12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12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12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12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12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12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12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12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12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12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127E"/>
    <w:rPr>
      <w:i/>
    </w:rPr>
  </w:style>
  <w:style w:type="paragraph" w:styleId="Caption">
    <w:name w:val="caption"/>
    <w:basedOn w:val="BodyText"/>
    <w:next w:val="Normal"/>
    <w:qFormat/>
    <w:rsid w:val="00EB12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12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12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127E"/>
  </w:style>
  <w:style w:type="paragraph" w:styleId="TableofFigures">
    <w:name w:val="table of figures"/>
    <w:basedOn w:val="Normal"/>
    <w:next w:val="Normal"/>
    <w:semiHidden/>
    <w:rsid w:val="00EB12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127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B127E"/>
    <w:rPr>
      <w:rFonts w:ascii="Wingdings" w:hAnsi="Wingdings"/>
    </w:rPr>
  </w:style>
  <w:style w:type="paragraph" w:customStyle="1" w:styleId="TableHeading">
    <w:name w:val="Table Heading"/>
    <w:basedOn w:val="HeadingBase"/>
    <w:rsid w:val="00EB12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127E"/>
    <w:rPr>
      <w:color w:val="0033CC"/>
      <w:u w:val="none"/>
    </w:rPr>
  </w:style>
  <w:style w:type="paragraph" w:customStyle="1" w:styleId="BodyTextRight">
    <w:name w:val="Body Text Right"/>
    <w:basedOn w:val="BodyText"/>
    <w:rsid w:val="00EB12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12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127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12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12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12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127E"/>
    <w:rPr>
      <w:sz w:val="32"/>
    </w:rPr>
  </w:style>
  <w:style w:type="paragraph" w:customStyle="1" w:styleId="HeadingProcedure">
    <w:name w:val="Heading Procedure"/>
    <w:basedOn w:val="HeadingBase"/>
    <w:next w:val="Normal"/>
    <w:rsid w:val="00EB12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127E"/>
    <w:pPr>
      <w:spacing w:before="60" w:after="60"/>
    </w:pPr>
  </w:style>
  <w:style w:type="paragraph" w:styleId="ListContinue">
    <w:name w:val="List Continue"/>
    <w:basedOn w:val="List"/>
    <w:rsid w:val="00EB127E"/>
    <w:pPr>
      <w:ind w:firstLine="0"/>
    </w:pPr>
  </w:style>
  <w:style w:type="paragraph" w:customStyle="1" w:styleId="ListNote">
    <w:name w:val="List Note"/>
    <w:basedOn w:val="List"/>
    <w:rsid w:val="00EB12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12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12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127E"/>
    <w:rPr>
      <w:rFonts w:ascii="Courier New" w:hAnsi="Courier New"/>
    </w:rPr>
  </w:style>
  <w:style w:type="paragraph" w:customStyle="1" w:styleId="NoteBullet">
    <w:name w:val="Note Bullet"/>
    <w:basedOn w:val="Note"/>
    <w:rsid w:val="00EB12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12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12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12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127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B12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12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127E"/>
    <w:rPr>
      <w:b/>
      <w:smallCaps/>
    </w:rPr>
  </w:style>
  <w:style w:type="paragraph" w:customStyle="1" w:styleId="TableListNumber">
    <w:name w:val="Table List Number"/>
    <w:basedOn w:val="ListNumber"/>
    <w:rsid w:val="00EB12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12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127E"/>
    <w:pPr>
      <w:numPr>
        <w:numId w:val="10"/>
      </w:numPr>
    </w:pPr>
  </w:style>
  <w:style w:type="paragraph" w:customStyle="1" w:styleId="ListAlpha2">
    <w:name w:val="List Alpha 2"/>
    <w:basedOn w:val="List2"/>
    <w:rsid w:val="00EB127E"/>
    <w:pPr>
      <w:numPr>
        <w:numId w:val="9"/>
      </w:numPr>
    </w:pPr>
  </w:style>
  <w:style w:type="paragraph" w:styleId="List2">
    <w:name w:val="List 2"/>
    <w:basedOn w:val="BodyText"/>
    <w:rsid w:val="00EB12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12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12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127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B127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B127E"/>
    <w:pPr>
      <w:numPr>
        <w:numId w:val="5"/>
      </w:numPr>
    </w:pPr>
  </w:style>
  <w:style w:type="paragraph" w:styleId="ListContinue2">
    <w:name w:val="List Continue 2"/>
    <w:basedOn w:val="List2"/>
    <w:rsid w:val="00EB127E"/>
    <w:pPr>
      <w:ind w:firstLine="0"/>
    </w:pPr>
  </w:style>
  <w:style w:type="paragraph" w:styleId="ListContinue3">
    <w:name w:val="List Continue 3"/>
    <w:basedOn w:val="List3"/>
    <w:rsid w:val="00EB127E"/>
    <w:pPr>
      <w:ind w:left="1021" w:firstLine="0"/>
    </w:pPr>
  </w:style>
  <w:style w:type="paragraph" w:styleId="ListContinue4">
    <w:name w:val="List Continue 4"/>
    <w:basedOn w:val="List4"/>
    <w:rsid w:val="00EB127E"/>
    <w:pPr>
      <w:ind w:firstLine="0"/>
    </w:pPr>
  </w:style>
  <w:style w:type="paragraph" w:styleId="ListContinue5">
    <w:name w:val="List Continue 5"/>
    <w:basedOn w:val="List5"/>
    <w:rsid w:val="00EB127E"/>
    <w:pPr>
      <w:ind w:firstLine="0"/>
    </w:pPr>
  </w:style>
  <w:style w:type="paragraph" w:styleId="ListNumber3">
    <w:name w:val="List Number 3"/>
    <w:basedOn w:val="List3"/>
    <w:rsid w:val="00EB127E"/>
    <w:pPr>
      <w:numPr>
        <w:numId w:val="6"/>
      </w:numPr>
    </w:pPr>
  </w:style>
  <w:style w:type="paragraph" w:styleId="ListNumber4">
    <w:name w:val="List Number 4"/>
    <w:basedOn w:val="List4"/>
    <w:rsid w:val="00EB127E"/>
    <w:pPr>
      <w:numPr>
        <w:numId w:val="7"/>
      </w:numPr>
    </w:pPr>
  </w:style>
  <w:style w:type="paragraph" w:styleId="ListNumber5">
    <w:name w:val="List Number 5"/>
    <w:basedOn w:val="List5"/>
    <w:rsid w:val="00EB127E"/>
    <w:pPr>
      <w:numPr>
        <w:numId w:val="8"/>
      </w:numPr>
    </w:pPr>
  </w:style>
  <w:style w:type="paragraph" w:styleId="BlockText">
    <w:name w:val="Block Text"/>
    <w:basedOn w:val="Normal"/>
    <w:rsid w:val="00EB12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12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127E"/>
    <w:rPr>
      <w:sz w:val="16"/>
      <w:vertAlign w:val="superscript"/>
    </w:rPr>
  </w:style>
  <w:style w:type="character" w:customStyle="1" w:styleId="Symbols">
    <w:name w:val="Symbols"/>
    <w:basedOn w:val="DefaultParagraphFont"/>
    <w:rsid w:val="00EB127E"/>
    <w:rPr>
      <w:rFonts w:ascii="Symbol" w:hAnsi="Symbol"/>
    </w:rPr>
  </w:style>
  <w:style w:type="character" w:customStyle="1" w:styleId="MenuOptions">
    <w:name w:val="Menu Options"/>
    <w:basedOn w:val="DefaultParagraphFont"/>
    <w:rsid w:val="00EB12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127E"/>
    <w:rPr>
      <w:b/>
    </w:rPr>
  </w:style>
  <w:style w:type="character" w:customStyle="1" w:styleId="Underlined">
    <w:name w:val="Underlined"/>
    <w:basedOn w:val="DefaultParagraphFont"/>
    <w:rsid w:val="00EB127E"/>
    <w:rPr>
      <w:u w:val="single"/>
    </w:rPr>
  </w:style>
  <w:style w:type="paragraph" w:customStyle="1" w:styleId="TableBodyTextRight">
    <w:name w:val="Table Body Text Right"/>
    <w:basedOn w:val="TableBodyText"/>
    <w:rsid w:val="00EB12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127E"/>
    <w:rPr>
      <w:sz w:val="18"/>
    </w:rPr>
  </w:style>
  <w:style w:type="paragraph" w:customStyle="1" w:styleId="BodySmallRight">
    <w:name w:val="Body Small Right"/>
    <w:basedOn w:val="BodyTextRight"/>
    <w:rsid w:val="00EB127E"/>
    <w:rPr>
      <w:sz w:val="18"/>
      <w:szCs w:val="18"/>
    </w:rPr>
  </w:style>
  <w:style w:type="paragraph" w:customStyle="1" w:styleId="MarginEdition">
    <w:name w:val="Margin Edition"/>
    <w:basedOn w:val="MarginNote"/>
    <w:rsid w:val="00EB12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127E"/>
    <w:rPr>
      <w:sz w:val="2"/>
      <w:szCs w:val="2"/>
    </w:rPr>
  </w:style>
  <w:style w:type="character" w:customStyle="1" w:styleId="Small">
    <w:name w:val="Small"/>
    <w:basedOn w:val="DefaultParagraphFont"/>
    <w:rsid w:val="00EB127E"/>
    <w:rPr>
      <w:sz w:val="16"/>
    </w:rPr>
  </w:style>
  <w:style w:type="paragraph" w:customStyle="1" w:styleId="WideTable">
    <w:name w:val="Wide Table"/>
    <w:basedOn w:val="Normal"/>
    <w:rsid w:val="00EB12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127E"/>
  </w:style>
  <w:style w:type="paragraph" w:styleId="Quote">
    <w:name w:val="Quote"/>
    <w:basedOn w:val="Heading1"/>
    <w:link w:val="QuoteChar"/>
    <w:qFormat/>
    <w:rsid w:val="00EB12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12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127E"/>
    <w:pPr>
      <w:pageBreakBefore/>
    </w:pPr>
  </w:style>
  <w:style w:type="paragraph" w:customStyle="1" w:styleId="Border">
    <w:name w:val="Border"/>
    <w:basedOn w:val="Normal"/>
    <w:qFormat/>
    <w:rsid w:val="00EB12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12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12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12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12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12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12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12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12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127E"/>
    <w:rPr>
      <w:u w:val="single"/>
    </w:rPr>
  </w:style>
  <w:style w:type="character" w:customStyle="1" w:styleId="BoldandItalics">
    <w:name w:val="Bold and Italics"/>
    <w:qFormat/>
    <w:rsid w:val="00EB127E"/>
    <w:rPr>
      <w:b/>
      <w:i/>
      <w:u w:val="none"/>
    </w:rPr>
  </w:style>
  <w:style w:type="paragraph" w:styleId="BalloonText">
    <w:name w:val="Balloon Text"/>
    <w:basedOn w:val="Normal"/>
    <w:link w:val="BalloonTextChar"/>
    <w:rsid w:val="00EB12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12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12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12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12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12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127E"/>
    <w:pPr>
      <w:spacing w:before="0" w:after="0"/>
    </w:pPr>
  </w:style>
  <w:style w:type="paragraph" w:customStyle="1" w:styleId="BodyTextBold">
    <w:name w:val="Body Text Bold"/>
    <w:basedOn w:val="BodyText"/>
    <w:qFormat/>
    <w:rsid w:val="00EB127E"/>
    <w:rPr>
      <w:b/>
    </w:rPr>
  </w:style>
  <w:style w:type="character" w:styleId="Hyperlink">
    <w:name w:val="Hyperlink"/>
    <w:basedOn w:val="DefaultParagraphFont"/>
    <w:uiPriority w:val="99"/>
    <w:unhideWhenUsed/>
    <w:rsid w:val="000476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</Words>
  <Characters>2409</Characters>
  <Application>Microsoft Office Word</Application>
  <DocSecurity>0</DocSecurity>
  <Lines>73</Lines>
  <Paragraphs>58</Paragraphs>
  <ScaleCrop>false</ScaleCrop>
  <Company>Author-it Software Corporation Ltd.</Company>
  <LinksUpToDate>false</LinksUpToDate>
  <CharactersWithSpaces>2710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MSMPMC302 Operate equipment to blend/mix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2023-02-03T05:58:00Z</dcterms:created>
  <dcterms:modified xsi:type="dcterms:W3CDTF">2023-02-03T05:58:00Z</dcterms:modified>
</cp:coreProperties>
</file>