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153C" w:rsidP="00BB15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MSMPMC300 Produce structural precast concrete</w:t>
      </w:r>
      <w:r>
        <w:fldChar w:fldCharType="end"/>
      </w:r>
    </w:p>
    <w:p w:rsidR="00BB153C" w:rsidP="00BB153C">
      <w:pPr>
        <w:pStyle w:val="Version"/>
        <w:sectPr w:rsidSect="009332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3205" w:rsidP="00933205">
      <w:pPr>
        <w:pStyle w:val="SuperHeading"/>
      </w:pPr>
      <w:r w:rsidRPr="00933205">
        <w:t>Assessment Requirements for MSMPMC300 Produce structural precast concrete</w:t>
      </w:r>
    </w:p>
    <w:p w:rsidR="00000000" w:rsidRPr="00933205" w:rsidP="00933205">
      <w:pPr>
        <w:pStyle w:val="Heading1"/>
      </w:pPr>
      <w:bookmarkStart w:id="1" w:name="O_1009434"/>
      <w:bookmarkEnd w:id="1"/>
      <w:r w:rsidRPr="00933205">
        <w:t>Modification History</w:t>
      </w:r>
    </w:p>
    <w:p w:rsidR="00BB153C" w:rsidP="00BB153C">
      <w:pPr>
        <w:pStyle w:val="BodyText"/>
      </w:pPr>
      <w:r w:rsidRPr="00933205">
        <w:t>Release 1. New unit. Supersedes and is equivalent to PMC553051 Produce structural precast concrete</w:t>
      </w:r>
    </w:p>
    <w:p w:rsidR="00000000" w:rsidRPr="00933205" w:rsidP="00933205">
      <w:pPr>
        <w:pStyle w:val="Heading1"/>
      </w:pPr>
      <w:bookmarkStart w:id="2" w:name="O_1009437"/>
      <w:bookmarkEnd w:id="2"/>
      <w:r w:rsidRPr="00933205">
        <w:t>Performance Evidence</w:t>
      </w:r>
    </w:p>
    <w:p w:rsidR="00000000" w:rsidRPr="00933205" w:rsidP="00BB153C">
      <w:pPr>
        <w:pStyle w:val="BodyText"/>
      </w:pPr>
      <w:r w:rsidRPr="00933205">
        <w:t>There must be evidence the candidate has completed the tasks outlined in the elements and performance criteria of this unit, and:</w:t>
      </w:r>
    </w:p>
    <w:p w:rsidR="00000000" w:rsidRPr="00933205" w:rsidP="00933205">
      <w:pPr>
        <w:pStyle w:val="ListBullet"/>
      </w:pPr>
      <w:r w:rsidRPr="00933205">
        <w:t xml:space="preserve">produced at least 1 structural precast concrete product, including: </w:t>
      </w:r>
    </w:p>
    <w:p w:rsidR="00000000" w:rsidRPr="00933205" w:rsidP="00933205">
      <w:pPr>
        <w:pStyle w:val="ListBullet2"/>
      </w:pPr>
      <w:r w:rsidRPr="00933205">
        <w:t>monitoring the following key variables to ensure produc</w:t>
      </w:r>
      <w:r w:rsidRPr="00933205">
        <w:t>t integrity and conformance to specification:</w:t>
      </w:r>
    </w:p>
    <w:p w:rsidR="00000000" w:rsidRPr="00933205" w:rsidP="00933205">
      <w:pPr>
        <w:pStyle w:val="ListBullet3"/>
      </w:pPr>
      <w:r w:rsidRPr="00933205">
        <w:t>mould condition</w:t>
      </w:r>
    </w:p>
    <w:p w:rsidR="00000000" w:rsidRPr="00933205" w:rsidP="00933205">
      <w:pPr>
        <w:pStyle w:val="ListBullet3"/>
      </w:pPr>
      <w:r w:rsidRPr="00933205">
        <w:t>amount and consistency of concrete mix</w:t>
      </w:r>
    </w:p>
    <w:p w:rsidR="00000000" w:rsidRPr="00933205" w:rsidP="00933205">
      <w:pPr>
        <w:pStyle w:val="ListBullet3"/>
      </w:pPr>
      <w:r w:rsidRPr="00933205">
        <w:t>placement and anchorage of reinforcement and fittings</w:t>
      </w:r>
    </w:p>
    <w:p w:rsidR="00000000" w:rsidRPr="00933205" w:rsidP="00933205">
      <w:pPr>
        <w:pStyle w:val="ListBullet3"/>
      </w:pPr>
      <w:r w:rsidRPr="00933205">
        <w:t>placement of voids and ducts</w:t>
      </w:r>
    </w:p>
    <w:p w:rsidR="00000000" w:rsidRPr="00933205" w:rsidP="00933205">
      <w:pPr>
        <w:pStyle w:val="ListBullet3"/>
      </w:pPr>
      <w:r w:rsidRPr="00933205">
        <w:t>tension of reinforcement</w:t>
      </w:r>
    </w:p>
    <w:p w:rsidR="00000000" w:rsidRPr="00933205" w:rsidP="00933205">
      <w:pPr>
        <w:pStyle w:val="ListBullet3"/>
      </w:pPr>
      <w:r w:rsidRPr="00933205">
        <w:t>concrete cover</w:t>
      </w:r>
    </w:p>
    <w:p w:rsidR="00000000" w:rsidRPr="00933205" w:rsidP="00933205">
      <w:pPr>
        <w:pStyle w:val="ListBullet3"/>
      </w:pPr>
      <w:r w:rsidRPr="00933205">
        <w:t>compaction and vibration</w:t>
      </w:r>
    </w:p>
    <w:p w:rsidR="00000000" w:rsidRPr="00933205" w:rsidP="00933205">
      <w:pPr>
        <w:pStyle w:val="ListBullet3"/>
      </w:pPr>
      <w:r w:rsidRPr="00933205">
        <w:t>curing conditions</w:t>
      </w:r>
    </w:p>
    <w:p w:rsidR="00000000" w:rsidRPr="00933205" w:rsidP="00933205">
      <w:pPr>
        <w:pStyle w:val="ListBullet3"/>
      </w:pPr>
      <w:r w:rsidRPr="00933205">
        <w:t>curing time and rate</w:t>
      </w:r>
    </w:p>
    <w:p w:rsidR="00000000" w:rsidRPr="00933205" w:rsidP="00933205">
      <w:pPr>
        <w:pStyle w:val="ListBullet3"/>
      </w:pPr>
      <w:r w:rsidRPr="00933205">
        <w:t>stripping strength</w:t>
      </w:r>
    </w:p>
    <w:p w:rsidR="00000000" w:rsidRPr="00933205" w:rsidP="00933205">
      <w:pPr>
        <w:pStyle w:val="ListBullet2"/>
      </w:pPr>
      <w:r w:rsidRPr="00933205">
        <w:t>recognising possible causes of the following routine problems:</w:t>
      </w:r>
    </w:p>
    <w:p w:rsidR="00000000" w:rsidRPr="00933205" w:rsidP="00933205">
      <w:pPr>
        <w:pStyle w:val="ListBullet3"/>
      </w:pPr>
      <w:r w:rsidRPr="00933205">
        <w:t>raw material and mix variations</w:t>
      </w:r>
    </w:p>
    <w:p w:rsidR="00000000" w:rsidRPr="00933205" w:rsidP="00933205">
      <w:pPr>
        <w:pStyle w:val="ListBullet3"/>
      </w:pPr>
      <w:r w:rsidRPr="00933205">
        <w:t>mould anomalies</w:t>
      </w:r>
    </w:p>
    <w:p w:rsidR="00000000" w:rsidRPr="00933205" w:rsidP="00933205">
      <w:pPr>
        <w:pStyle w:val="ListBullet3"/>
      </w:pPr>
      <w:r w:rsidRPr="00933205">
        <w:t>casting and operating conditions</w:t>
      </w:r>
    </w:p>
    <w:p w:rsidR="00000000" w:rsidRPr="00933205" w:rsidP="00933205">
      <w:pPr>
        <w:pStyle w:val="ListBullet3"/>
      </w:pPr>
      <w:r w:rsidRPr="00933205">
        <w:t>reinforcement abnormalities</w:t>
      </w:r>
    </w:p>
    <w:p w:rsidR="00BB153C" w:rsidP="00933205">
      <w:pPr>
        <w:pStyle w:val="ListBullet3"/>
      </w:pPr>
      <w:r w:rsidRPr="00933205">
        <w:t>process errors.</w:t>
      </w:r>
    </w:p>
    <w:p w:rsidR="00BB153C" w:rsidP="00933205">
      <w:pPr>
        <w:pStyle w:val="ListBullet3"/>
      </w:pPr>
    </w:p>
    <w:p w:rsidR="00000000" w:rsidRPr="00933205" w:rsidP="00933205">
      <w:pPr>
        <w:pStyle w:val="Heading1"/>
      </w:pPr>
      <w:bookmarkStart w:id="3" w:name="O_1009436"/>
      <w:bookmarkEnd w:id="3"/>
      <w:r w:rsidRPr="00933205">
        <w:t>Knowledge Evidence</w:t>
      </w:r>
    </w:p>
    <w:p w:rsidR="00000000" w:rsidRPr="00933205" w:rsidP="00BB153C">
      <w:pPr>
        <w:pStyle w:val="BodyText"/>
      </w:pPr>
      <w:r w:rsidRPr="00933205">
        <w:t>There must be evidence the candidate has knowledge of:</w:t>
      </w:r>
    </w:p>
    <w:p w:rsidR="00000000" w:rsidRPr="00933205" w:rsidP="00933205">
      <w:pPr>
        <w:pStyle w:val="ListBullet"/>
      </w:pPr>
      <w:r w:rsidRPr="00933205">
        <w:t xml:space="preserve">principles of casting process </w:t>
      </w:r>
    </w:p>
    <w:p w:rsidR="00000000" w:rsidRPr="00933205" w:rsidP="00933205">
      <w:pPr>
        <w:pStyle w:val="ListBullet"/>
      </w:pPr>
      <w:r w:rsidRPr="00933205">
        <w:t>significance to structural concrete products of key factors, including:</w:t>
      </w:r>
    </w:p>
    <w:p w:rsidR="00000000" w:rsidRPr="00933205" w:rsidP="00933205">
      <w:pPr>
        <w:pStyle w:val="ListBullet2"/>
      </w:pPr>
      <w:r w:rsidRPr="00933205">
        <w:t>concrete cover</w:t>
      </w:r>
    </w:p>
    <w:p w:rsidR="00000000" w:rsidRPr="00933205" w:rsidP="00933205">
      <w:pPr>
        <w:pStyle w:val="ListBullet2"/>
      </w:pPr>
      <w:r w:rsidRPr="00933205">
        <w:t>role of reinforcement</w:t>
      </w:r>
    </w:p>
    <w:p w:rsidR="00000000" w:rsidRPr="00933205" w:rsidP="00933205">
      <w:pPr>
        <w:pStyle w:val="ListBullet2"/>
      </w:pPr>
      <w:r w:rsidRPr="00933205">
        <w:t>placement and anchorage of reinforcement and fittings</w:t>
      </w:r>
    </w:p>
    <w:p w:rsidR="00000000" w:rsidRPr="00933205" w:rsidP="00933205">
      <w:pPr>
        <w:pStyle w:val="ListBullet2"/>
      </w:pPr>
      <w:r w:rsidRPr="00933205">
        <w:t xml:space="preserve">stressing and destressing </w:t>
      </w:r>
    </w:p>
    <w:p w:rsidR="00000000" w:rsidRPr="00933205" w:rsidP="00933205">
      <w:pPr>
        <w:pStyle w:val="ListBullet2"/>
      </w:pPr>
      <w:r w:rsidRPr="00933205">
        <w:t xml:space="preserve">curing </w:t>
      </w:r>
    </w:p>
    <w:p w:rsidR="00000000" w:rsidRPr="00933205" w:rsidP="00933205">
      <w:pPr>
        <w:pStyle w:val="ListBullet2"/>
      </w:pPr>
      <w:r w:rsidRPr="00933205">
        <w:t>compaction and vibration</w:t>
      </w:r>
    </w:p>
    <w:p w:rsidR="00000000" w:rsidRPr="00933205" w:rsidP="00933205">
      <w:pPr>
        <w:pStyle w:val="ListBullet2"/>
      </w:pPr>
      <w:r w:rsidRPr="00933205">
        <w:t>formwork and specialised formwork (including voids and ducts)</w:t>
      </w:r>
    </w:p>
    <w:p w:rsidR="00000000" w:rsidRPr="00933205" w:rsidP="00933205">
      <w:pPr>
        <w:pStyle w:val="ListBullet2"/>
      </w:pPr>
      <w:r w:rsidRPr="00933205">
        <w:t>mould design</w:t>
      </w:r>
    </w:p>
    <w:p w:rsidR="00000000" w:rsidRPr="00933205" w:rsidP="00933205">
      <w:pPr>
        <w:pStyle w:val="ListBullet2"/>
      </w:pPr>
      <w:r w:rsidRPr="00933205">
        <w:t>mould condition and wear</w:t>
      </w:r>
    </w:p>
    <w:p w:rsidR="00000000" w:rsidRPr="00933205" w:rsidP="00933205">
      <w:pPr>
        <w:pStyle w:val="ListBullet2"/>
      </w:pPr>
      <w:r w:rsidRPr="00933205">
        <w:t>water and cement ratio</w:t>
      </w:r>
    </w:p>
    <w:p w:rsidR="00000000" w:rsidRPr="00933205" w:rsidP="00933205">
      <w:pPr>
        <w:pStyle w:val="ListBullet2"/>
      </w:pPr>
      <w:r w:rsidRPr="00933205">
        <w:t>concrete finishing</w:t>
      </w:r>
    </w:p>
    <w:p w:rsidR="00000000" w:rsidRPr="00933205" w:rsidP="00933205">
      <w:pPr>
        <w:pStyle w:val="ListBullet"/>
      </w:pPr>
      <w:r w:rsidRPr="00933205">
        <w:t>methods of:</w:t>
      </w:r>
    </w:p>
    <w:p w:rsidR="00000000" w:rsidRPr="00933205" w:rsidP="00933205">
      <w:pPr>
        <w:pStyle w:val="ListBullet2"/>
      </w:pPr>
      <w:r w:rsidRPr="00933205">
        <w:t xml:space="preserve">curing </w:t>
      </w:r>
    </w:p>
    <w:p w:rsidR="00000000" w:rsidRPr="00933205" w:rsidP="00933205">
      <w:pPr>
        <w:pStyle w:val="ListBullet2"/>
      </w:pPr>
      <w:r w:rsidRPr="00933205">
        <w:t xml:space="preserve">compaction </w:t>
      </w:r>
    </w:p>
    <w:p w:rsidR="00000000" w:rsidRPr="00933205" w:rsidP="00933205">
      <w:pPr>
        <w:pStyle w:val="ListBullet2"/>
      </w:pPr>
      <w:r w:rsidRPr="00933205">
        <w:t xml:space="preserve">fabrication </w:t>
      </w:r>
    </w:p>
    <w:p w:rsidR="00000000" w:rsidRPr="00933205" w:rsidP="00933205">
      <w:pPr>
        <w:pStyle w:val="ListBullet"/>
      </w:pPr>
      <w:r w:rsidRPr="00933205">
        <w:t>concrete sampling and testing procedures</w:t>
      </w:r>
    </w:p>
    <w:p w:rsidR="00000000" w:rsidRPr="00933205" w:rsidP="00933205">
      <w:pPr>
        <w:pStyle w:val="ListBullet"/>
      </w:pPr>
      <w:r w:rsidRPr="00933205">
        <w:t xml:space="preserve">the potential effects of variations in raw materials and equipment operation and processes in relation to quality of product </w:t>
      </w:r>
    </w:p>
    <w:p w:rsidR="00000000" w:rsidRPr="00933205" w:rsidP="00933205">
      <w:pPr>
        <w:pStyle w:val="ListBullet"/>
      </w:pPr>
      <w:r w:rsidRPr="00933205">
        <w:t xml:space="preserve">quality requirements at each stage of production </w:t>
      </w:r>
    </w:p>
    <w:p w:rsidR="00000000" w:rsidRPr="00933205" w:rsidP="00933205">
      <w:pPr>
        <w:pStyle w:val="ListBullet"/>
      </w:pPr>
      <w:r w:rsidRPr="00933205">
        <w:t xml:space="preserve">common adjustments in variables and their impact on product quality and production output </w:t>
      </w:r>
    </w:p>
    <w:p w:rsidR="00000000" w:rsidRPr="00933205" w:rsidP="00933205">
      <w:pPr>
        <w:pStyle w:val="ListBullet"/>
      </w:pPr>
      <w:r w:rsidRPr="00933205">
        <w:t>routine and non-routine problems, their probable causes and relevant corrective actions</w:t>
      </w:r>
    </w:p>
    <w:p w:rsidR="00000000" w:rsidRPr="00933205" w:rsidP="00933205">
      <w:pPr>
        <w:pStyle w:val="ListBullet"/>
      </w:pPr>
      <w:r w:rsidRPr="00933205">
        <w:t>hazards from critical stage</w:t>
      </w:r>
      <w:r w:rsidRPr="00933205">
        <w:t>s of pre-stressing reinforcement (placement, stressing, de-stressing, cutting)</w:t>
      </w:r>
    </w:p>
    <w:p w:rsidR="00000000" w:rsidRPr="00933205" w:rsidP="00933205">
      <w:pPr>
        <w:pStyle w:val="ListBullet"/>
      </w:pPr>
      <w:r w:rsidRPr="00933205">
        <w:t>work health and safety (WHS) requirements relevant to work outcome</w:t>
      </w:r>
    </w:p>
    <w:p w:rsidR="00000000" w:rsidRPr="00933205" w:rsidP="00933205">
      <w:pPr>
        <w:pStyle w:val="ListBullet"/>
      </w:pPr>
      <w:r w:rsidRPr="00933205">
        <w:t>structural precast and pre-stressed concrete production hazards and:</w:t>
      </w:r>
    </w:p>
    <w:p w:rsidR="00000000" w:rsidRPr="00933205" w:rsidP="00933205">
      <w:pPr>
        <w:pStyle w:val="ListBullet2"/>
      </w:pPr>
      <w:r w:rsidRPr="00933205">
        <w:t xml:space="preserve">their possible causes </w:t>
      </w:r>
    </w:p>
    <w:p w:rsidR="00000000" w:rsidRPr="00933205" w:rsidP="00933205">
      <w:pPr>
        <w:pStyle w:val="ListBullet2"/>
      </w:pPr>
      <w:r w:rsidRPr="00933205">
        <w:t>potential consequ</w:t>
      </w:r>
      <w:r w:rsidRPr="00933205">
        <w:t>ences</w:t>
      </w:r>
    </w:p>
    <w:p w:rsidR="00BB153C" w:rsidP="00933205">
      <w:pPr>
        <w:pStyle w:val="ListBullet2"/>
      </w:pPr>
      <w:r w:rsidRPr="00933205">
        <w:t>risk control procedures.</w:t>
      </w:r>
    </w:p>
    <w:p w:rsidR="00BB153C" w:rsidP="00933205">
      <w:pPr>
        <w:pStyle w:val="ListBullet2"/>
      </w:pPr>
    </w:p>
    <w:p w:rsidR="00000000" w:rsidRPr="00933205" w:rsidP="00933205">
      <w:pPr>
        <w:pStyle w:val="Heading1"/>
      </w:pPr>
      <w:bookmarkStart w:id="4" w:name="O_1009435"/>
      <w:bookmarkEnd w:id="4"/>
      <w:r w:rsidRPr="00933205">
        <w:t>Assessment Conditions</w:t>
      </w:r>
    </w:p>
    <w:p w:rsidR="00000000" w:rsidRPr="00933205" w:rsidP="00BB153C">
      <w:pPr>
        <w:pStyle w:val="BodyText"/>
      </w:pPr>
      <w:r w:rsidRPr="00933205">
        <w:t>Skills must have been demonstrated in the workplace or in a simulated environment that reflects workplace conditions and contingencies. The following conditions must be met for this u</w:t>
      </w:r>
      <w:r w:rsidRPr="00933205">
        <w:t xml:space="preserve">nit: </w:t>
      </w:r>
    </w:p>
    <w:p w:rsidR="00000000" w:rsidRPr="00933205" w:rsidP="00933205">
      <w:pPr>
        <w:pStyle w:val="ListBullet"/>
      </w:pPr>
      <w:r w:rsidRPr="00933205">
        <w:t xml:space="preserve">use of suitable facilities, equipment and resources, including: </w:t>
      </w:r>
    </w:p>
    <w:p w:rsidR="00000000" w:rsidRPr="00933205" w:rsidP="00933205">
      <w:pPr>
        <w:pStyle w:val="ListBullet2"/>
      </w:pPr>
      <w:r w:rsidRPr="00933205">
        <w:t>structural precast concrete equipment and ancillary equipment</w:t>
      </w:r>
    </w:p>
    <w:p w:rsidR="00000000" w:rsidRPr="00933205" w:rsidP="00933205">
      <w:pPr>
        <w:pStyle w:val="ListBullet2"/>
      </w:pPr>
      <w:r w:rsidRPr="00933205">
        <w:t>materials to be processed</w:t>
      </w:r>
    </w:p>
    <w:p w:rsidR="00000000" w:rsidRPr="00933205" w:rsidP="00933205">
      <w:pPr>
        <w:pStyle w:val="ListBullet2"/>
      </w:pPr>
      <w:r w:rsidRPr="00933205">
        <w:t>specifications, procedures and job sheets</w:t>
      </w:r>
    </w:p>
    <w:p w:rsidR="00000000" w:rsidRPr="00933205" w:rsidP="00933205">
      <w:pPr>
        <w:pStyle w:val="ListBullet"/>
      </w:pPr>
      <w:r w:rsidRPr="00933205">
        <w:t>modelling of industry operating conditions, including:</w:t>
      </w:r>
    </w:p>
    <w:p w:rsidR="00000000" w:rsidRPr="00933205" w:rsidP="00933205">
      <w:pPr>
        <w:pStyle w:val="ListBullet2"/>
      </w:pPr>
      <w:r w:rsidRPr="00933205">
        <w:t>routine and non-routine problems.</w:t>
      </w:r>
    </w:p>
    <w:p w:rsidR="00000000" w:rsidRPr="00933205" w:rsidP="00BB153C">
      <w:pPr>
        <w:pStyle w:val="BodyText"/>
      </w:pPr>
      <w:r w:rsidRPr="00933205">
        <w:t>Assessors must satisfy the NVR/AQTF mandatory competency requirements for assessors.</w:t>
      </w:r>
    </w:p>
    <w:p w:rsidR="00000000" w:rsidRPr="00933205" w:rsidP="00933205">
      <w:pPr>
        <w:pStyle w:val="Heading1"/>
      </w:pPr>
      <w:bookmarkStart w:id="5" w:name="O_1009433"/>
      <w:bookmarkEnd w:id="5"/>
      <w:r w:rsidRPr="00933205">
        <w:t>Links</w:t>
      </w:r>
    </w:p>
    <w:p w:rsidR="00000000" w:rsidRPr="00933205" w:rsidP="00BB153C">
      <w:pPr>
        <w:pStyle w:val="BodyText"/>
      </w:pPr>
      <w:r w:rsidRPr="00933205">
        <w:t xml:space="preserve">Companion Volume Implementation Guides are available at </w:t>
      </w:r>
      <w:r w:rsidRPr="00933205">
        <w:t xml:space="preserve">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74778A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933205" w:rsidP="00933205"/>
    <w:sectPr w:rsidSect="009332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2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205" w:rsidRPr="00BB153C" w:rsidP="00BB15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2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53C" w:rsidP="009332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153C" w:rsidP="009332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B153C" w:rsidP="009332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2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5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3205" w:rsidRPr="00BB153C" w:rsidP="00BB15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2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53C" w:rsidRPr="002D2AF8" w:rsidP="009332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MSMPMC300 Produce structural precast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September 2020</w:t>
    </w:r>
    <w:r>
      <w:fldChar w:fldCharType="end"/>
    </w:r>
  </w:p>
  <w:p w:rsidR="00BB153C" w:rsidP="009332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3037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84BF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280F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2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32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32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32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32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32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32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32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32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32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32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3205"/>
  </w:style>
  <w:style w:type="character" w:customStyle="1" w:styleId="Heading1Char">
    <w:name w:val="Heading 1 Char"/>
    <w:basedOn w:val="DefaultParagraphFont"/>
    <w:link w:val="Heading1"/>
    <w:rsid w:val="009332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32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32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320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320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32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32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3320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332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32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32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32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32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32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32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32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32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32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32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32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32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32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32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32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32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32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32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32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3205"/>
    <w:rPr>
      <w:b/>
      <w:spacing w:val="0"/>
    </w:rPr>
  </w:style>
  <w:style w:type="paragraph" w:customStyle="1" w:styleId="SuperTitle">
    <w:name w:val="SuperTitle"/>
    <w:basedOn w:val="Title"/>
    <w:rsid w:val="009332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32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32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32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32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32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32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32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32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32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32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32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3205"/>
    <w:rPr>
      <w:i/>
    </w:rPr>
  </w:style>
  <w:style w:type="paragraph" w:styleId="Caption">
    <w:name w:val="caption"/>
    <w:basedOn w:val="BodyText"/>
    <w:next w:val="Normal"/>
    <w:qFormat/>
    <w:rsid w:val="009332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32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32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3205"/>
  </w:style>
  <w:style w:type="paragraph" w:styleId="TableofFigures">
    <w:name w:val="table of figures"/>
    <w:basedOn w:val="Normal"/>
    <w:next w:val="Normal"/>
    <w:semiHidden/>
    <w:rsid w:val="009332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320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33205"/>
    <w:rPr>
      <w:rFonts w:ascii="Wingdings" w:hAnsi="Wingdings"/>
    </w:rPr>
  </w:style>
  <w:style w:type="paragraph" w:customStyle="1" w:styleId="TableHeading">
    <w:name w:val="Table Heading"/>
    <w:basedOn w:val="HeadingBase"/>
    <w:rsid w:val="009332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3205"/>
    <w:rPr>
      <w:color w:val="0033CC"/>
      <w:u w:val="none"/>
    </w:rPr>
  </w:style>
  <w:style w:type="paragraph" w:customStyle="1" w:styleId="BodyTextRight">
    <w:name w:val="Body Text Right"/>
    <w:basedOn w:val="BodyText"/>
    <w:rsid w:val="009332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32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320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32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32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32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3205"/>
    <w:rPr>
      <w:sz w:val="32"/>
    </w:rPr>
  </w:style>
  <w:style w:type="paragraph" w:customStyle="1" w:styleId="HeadingProcedure">
    <w:name w:val="Heading Procedure"/>
    <w:basedOn w:val="HeadingBase"/>
    <w:next w:val="Normal"/>
    <w:rsid w:val="009332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3205"/>
    <w:pPr>
      <w:spacing w:before="60" w:after="60"/>
    </w:pPr>
  </w:style>
  <w:style w:type="paragraph" w:styleId="ListContinue">
    <w:name w:val="List Continue"/>
    <w:basedOn w:val="List"/>
    <w:rsid w:val="00933205"/>
    <w:pPr>
      <w:ind w:firstLine="0"/>
    </w:pPr>
  </w:style>
  <w:style w:type="paragraph" w:customStyle="1" w:styleId="ListNote">
    <w:name w:val="List Note"/>
    <w:basedOn w:val="List"/>
    <w:rsid w:val="009332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32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32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3205"/>
    <w:rPr>
      <w:rFonts w:ascii="Courier New" w:hAnsi="Courier New"/>
    </w:rPr>
  </w:style>
  <w:style w:type="paragraph" w:customStyle="1" w:styleId="NoteBullet">
    <w:name w:val="Note Bullet"/>
    <w:basedOn w:val="Note"/>
    <w:rsid w:val="009332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32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32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32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320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332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32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3205"/>
    <w:rPr>
      <w:b/>
      <w:smallCaps/>
    </w:rPr>
  </w:style>
  <w:style w:type="paragraph" w:customStyle="1" w:styleId="TableListNumber">
    <w:name w:val="Table List Number"/>
    <w:basedOn w:val="ListNumber"/>
    <w:rsid w:val="009332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32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3205"/>
    <w:pPr>
      <w:numPr>
        <w:numId w:val="10"/>
      </w:numPr>
    </w:pPr>
  </w:style>
  <w:style w:type="paragraph" w:customStyle="1" w:styleId="ListAlpha2">
    <w:name w:val="List Alpha 2"/>
    <w:basedOn w:val="List2"/>
    <w:rsid w:val="00933205"/>
    <w:pPr>
      <w:numPr>
        <w:numId w:val="9"/>
      </w:numPr>
    </w:pPr>
  </w:style>
  <w:style w:type="paragraph" w:styleId="List2">
    <w:name w:val="List 2"/>
    <w:basedOn w:val="BodyText"/>
    <w:rsid w:val="009332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32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32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320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3320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33205"/>
    <w:pPr>
      <w:numPr>
        <w:numId w:val="5"/>
      </w:numPr>
    </w:pPr>
  </w:style>
  <w:style w:type="paragraph" w:styleId="ListContinue2">
    <w:name w:val="List Continue 2"/>
    <w:basedOn w:val="List2"/>
    <w:rsid w:val="00933205"/>
    <w:pPr>
      <w:ind w:firstLine="0"/>
    </w:pPr>
  </w:style>
  <w:style w:type="paragraph" w:styleId="ListContinue3">
    <w:name w:val="List Continue 3"/>
    <w:basedOn w:val="List3"/>
    <w:rsid w:val="00933205"/>
    <w:pPr>
      <w:ind w:left="1021" w:firstLine="0"/>
    </w:pPr>
  </w:style>
  <w:style w:type="paragraph" w:styleId="ListContinue4">
    <w:name w:val="List Continue 4"/>
    <w:basedOn w:val="List4"/>
    <w:rsid w:val="00933205"/>
    <w:pPr>
      <w:ind w:firstLine="0"/>
    </w:pPr>
  </w:style>
  <w:style w:type="paragraph" w:styleId="ListContinue5">
    <w:name w:val="List Continue 5"/>
    <w:basedOn w:val="List5"/>
    <w:rsid w:val="00933205"/>
    <w:pPr>
      <w:ind w:firstLine="0"/>
    </w:pPr>
  </w:style>
  <w:style w:type="paragraph" w:styleId="ListNumber3">
    <w:name w:val="List Number 3"/>
    <w:basedOn w:val="List3"/>
    <w:rsid w:val="00933205"/>
    <w:pPr>
      <w:numPr>
        <w:numId w:val="6"/>
      </w:numPr>
    </w:pPr>
  </w:style>
  <w:style w:type="paragraph" w:styleId="ListNumber4">
    <w:name w:val="List Number 4"/>
    <w:basedOn w:val="List4"/>
    <w:rsid w:val="00933205"/>
    <w:pPr>
      <w:numPr>
        <w:numId w:val="7"/>
      </w:numPr>
    </w:pPr>
  </w:style>
  <w:style w:type="paragraph" w:styleId="ListNumber5">
    <w:name w:val="List Number 5"/>
    <w:basedOn w:val="List5"/>
    <w:rsid w:val="00933205"/>
    <w:pPr>
      <w:numPr>
        <w:numId w:val="8"/>
      </w:numPr>
    </w:pPr>
  </w:style>
  <w:style w:type="paragraph" w:styleId="BlockText">
    <w:name w:val="Block Text"/>
    <w:basedOn w:val="Normal"/>
    <w:rsid w:val="009332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32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3205"/>
    <w:rPr>
      <w:sz w:val="16"/>
      <w:vertAlign w:val="superscript"/>
    </w:rPr>
  </w:style>
  <w:style w:type="character" w:customStyle="1" w:styleId="Symbols">
    <w:name w:val="Symbols"/>
    <w:basedOn w:val="DefaultParagraphFont"/>
    <w:rsid w:val="00933205"/>
    <w:rPr>
      <w:rFonts w:ascii="Symbol" w:hAnsi="Symbol"/>
    </w:rPr>
  </w:style>
  <w:style w:type="character" w:customStyle="1" w:styleId="MenuOptions">
    <w:name w:val="Menu Options"/>
    <w:basedOn w:val="DefaultParagraphFont"/>
    <w:rsid w:val="009332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3205"/>
    <w:rPr>
      <w:b/>
    </w:rPr>
  </w:style>
  <w:style w:type="character" w:customStyle="1" w:styleId="Underlined">
    <w:name w:val="Underlined"/>
    <w:basedOn w:val="DefaultParagraphFont"/>
    <w:rsid w:val="00933205"/>
    <w:rPr>
      <w:u w:val="single"/>
    </w:rPr>
  </w:style>
  <w:style w:type="paragraph" w:customStyle="1" w:styleId="TableBodyTextRight">
    <w:name w:val="Table Body Text Right"/>
    <w:basedOn w:val="TableBodyText"/>
    <w:rsid w:val="009332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3205"/>
    <w:rPr>
      <w:sz w:val="18"/>
    </w:rPr>
  </w:style>
  <w:style w:type="paragraph" w:customStyle="1" w:styleId="BodySmallRight">
    <w:name w:val="Body Small Right"/>
    <w:basedOn w:val="BodyTextRight"/>
    <w:rsid w:val="00933205"/>
    <w:rPr>
      <w:sz w:val="18"/>
      <w:szCs w:val="18"/>
    </w:rPr>
  </w:style>
  <w:style w:type="paragraph" w:customStyle="1" w:styleId="MarginEdition">
    <w:name w:val="Margin Edition"/>
    <w:basedOn w:val="MarginNote"/>
    <w:rsid w:val="009332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3205"/>
    <w:rPr>
      <w:sz w:val="2"/>
      <w:szCs w:val="2"/>
    </w:rPr>
  </w:style>
  <w:style w:type="character" w:customStyle="1" w:styleId="Small">
    <w:name w:val="Small"/>
    <w:basedOn w:val="DefaultParagraphFont"/>
    <w:rsid w:val="00933205"/>
    <w:rPr>
      <w:sz w:val="16"/>
    </w:rPr>
  </w:style>
  <w:style w:type="paragraph" w:customStyle="1" w:styleId="WideTable">
    <w:name w:val="Wide Table"/>
    <w:basedOn w:val="Normal"/>
    <w:rsid w:val="009332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3205"/>
  </w:style>
  <w:style w:type="paragraph" w:styleId="Quote">
    <w:name w:val="Quote"/>
    <w:basedOn w:val="Heading1"/>
    <w:link w:val="QuoteChar"/>
    <w:qFormat/>
    <w:rsid w:val="009332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32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3205"/>
    <w:pPr>
      <w:pageBreakBefore/>
    </w:pPr>
  </w:style>
  <w:style w:type="paragraph" w:customStyle="1" w:styleId="Border">
    <w:name w:val="Border"/>
    <w:basedOn w:val="Normal"/>
    <w:qFormat/>
    <w:rsid w:val="009332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32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2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2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32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32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32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32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32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3205"/>
    <w:rPr>
      <w:u w:val="single"/>
    </w:rPr>
  </w:style>
  <w:style w:type="character" w:customStyle="1" w:styleId="BoldandItalics">
    <w:name w:val="Bold and Italics"/>
    <w:qFormat/>
    <w:rsid w:val="00933205"/>
    <w:rPr>
      <w:b/>
      <w:i/>
      <w:u w:val="none"/>
    </w:rPr>
  </w:style>
  <w:style w:type="paragraph" w:styleId="BalloonText">
    <w:name w:val="Balloon Text"/>
    <w:basedOn w:val="Normal"/>
    <w:link w:val="BalloonTextChar"/>
    <w:rsid w:val="009332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32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32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32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32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32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3205"/>
    <w:pPr>
      <w:spacing w:before="0" w:after="0"/>
    </w:pPr>
  </w:style>
  <w:style w:type="paragraph" w:customStyle="1" w:styleId="BodyTextBold">
    <w:name w:val="Body Text Bold"/>
    <w:basedOn w:val="BodyText"/>
    <w:qFormat/>
    <w:rsid w:val="00933205"/>
    <w:rPr>
      <w:b/>
    </w:rPr>
  </w:style>
  <w:style w:type="character" w:styleId="Hyperlink">
    <w:name w:val="Hyperlink"/>
    <w:basedOn w:val="DefaultParagraphFont"/>
    <w:uiPriority w:val="99"/>
    <w:unhideWhenUsed/>
    <w:rsid w:val="00BB15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399</Words>
  <Characters>2783</Characters>
  <Application>Microsoft Office Word</Application>
  <DocSecurity>0</DocSecurity>
  <Lines>86</Lines>
  <Paragraphs>77</Paragraphs>
  <ScaleCrop>false</ScaleCrop>
  <Company>Author-it Software Corporation Ltd.</Company>
  <LinksUpToDate>false</LinksUpToDate>
  <CharactersWithSpaces>3105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MSMPMC300 Produce structural precast concrete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2020-09-04T08:42:00Z</dcterms:created>
  <dcterms:modified xsi:type="dcterms:W3CDTF">2020-09-04T08:42:00Z</dcterms:modified>
</cp:coreProperties>
</file>