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919" w:rsidP="008A5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MSMPER400 Coordinate permit process</w:t>
      </w:r>
      <w:r>
        <w:fldChar w:fldCharType="end"/>
      </w:r>
    </w:p>
    <w:p w:rsidR="008A5919" w:rsidP="008A5919">
      <w:pPr>
        <w:pStyle w:val="Version"/>
        <w:sectPr w:rsidSect="00A30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F61" w:rsidP="00A30F61">
      <w:pPr>
        <w:pStyle w:val="SuperHeading"/>
      </w:pPr>
      <w:r w:rsidRPr="00A30F61">
        <w:t>Assessment Requirements for MSMPER400 Coordinate permit process</w:t>
      </w:r>
    </w:p>
    <w:p w:rsidR="00000000" w:rsidRPr="00A30F61" w:rsidP="00A30F61">
      <w:pPr>
        <w:pStyle w:val="Heading1"/>
      </w:pPr>
      <w:bookmarkStart w:id="1" w:name="O_871518"/>
      <w:bookmarkEnd w:id="1"/>
      <w:r w:rsidRPr="00A30F61">
        <w:t>Modification History</w:t>
      </w:r>
    </w:p>
    <w:p w:rsidR="00000000" w:rsidRPr="00A30F61" w:rsidP="008A5919">
      <w:pPr>
        <w:pStyle w:val="BodyText"/>
      </w:pPr>
      <w:r w:rsidRPr="00A30F61">
        <w:t>Release 1. Supersedes and is equivalent to MSAPMPER400A Coordinate permit process</w:t>
      </w:r>
    </w:p>
    <w:p w:rsidR="00000000" w:rsidRPr="00A30F61" w:rsidP="00A30F61">
      <w:pPr>
        <w:pStyle w:val="Heading1"/>
      </w:pPr>
      <w:bookmarkStart w:id="2" w:name="O_871521"/>
      <w:bookmarkEnd w:id="2"/>
      <w:r w:rsidRPr="00A30F61">
        <w:t>Performance Evidence</w:t>
      </w:r>
    </w:p>
    <w:p w:rsidR="00000000" w:rsidRPr="00A30F61" w:rsidP="008A5919">
      <w:pPr>
        <w:pStyle w:val="BodyText"/>
      </w:pPr>
      <w:r w:rsidRPr="00A30F61">
        <w:t>Evidence required to demonstrate competence in this unit must be relevant to and satisfy the requirements of the elements and performance criteria and demonstrate the ability to:</w:t>
      </w:r>
    </w:p>
    <w:p w:rsidR="00000000" w:rsidRPr="00A30F61" w:rsidP="00A30F61">
      <w:pPr>
        <w:pStyle w:val="ListBullet"/>
      </w:pPr>
      <w:r w:rsidRPr="00A30F61">
        <w:t>prepare and issue at least one (1) permit from three (3) different permit ty</w:t>
      </w:r>
      <w:r w:rsidRPr="00A30F61">
        <w:t>pes</w:t>
      </w:r>
    </w:p>
    <w:p w:rsidR="00000000" w:rsidRPr="00A30F61" w:rsidP="00A30F61">
      <w:pPr>
        <w:pStyle w:val="ListBullet"/>
      </w:pPr>
      <w:r w:rsidRPr="00A30F61">
        <w:t>analyse and resolve two (2) or more jobs with the potential to have conflict</w:t>
      </w:r>
    </w:p>
    <w:p w:rsidR="00000000" w:rsidRPr="00A30F61" w:rsidP="00A30F61">
      <w:pPr>
        <w:pStyle w:val="ListBullet"/>
      </w:pPr>
      <w:r w:rsidRPr="00A30F61">
        <w:t>prepare at least one (1) audit report on live permits and one (1) on past permits, including the analysis of the audit findings</w:t>
      </w:r>
    </w:p>
    <w:p w:rsidR="00000000" w:rsidRPr="00A30F61" w:rsidP="00A30F61">
      <w:pPr>
        <w:pStyle w:val="ListBullet"/>
      </w:pPr>
      <w:r w:rsidRPr="00A30F61">
        <w:t>analyse all current and proposed work to determ</w:t>
      </w:r>
      <w:r w:rsidRPr="00A30F61">
        <w:t>ine hazard controls and permit requirements</w:t>
      </w:r>
    </w:p>
    <w:p w:rsidR="00000000" w:rsidRPr="00A30F61" w:rsidP="00A30F61">
      <w:pPr>
        <w:pStyle w:val="ListBullet"/>
      </w:pPr>
      <w:r w:rsidRPr="00A30F61">
        <w:t>coordinate the issue of permits for planned jobs</w:t>
      </w:r>
    </w:p>
    <w:p w:rsidR="00000000" w:rsidRPr="00A30F61" w:rsidP="00A30F61">
      <w:pPr>
        <w:pStyle w:val="ListBullet"/>
      </w:pPr>
      <w:r w:rsidRPr="00A30F61">
        <w:t xml:space="preserve">ensure that issued permits specify appropriate conditions </w:t>
      </w:r>
    </w:p>
    <w:p w:rsidR="00000000" w:rsidRPr="00A30F61" w:rsidP="00A30F61">
      <w:pPr>
        <w:pStyle w:val="ListBullet"/>
      </w:pPr>
      <w:r w:rsidRPr="00A30F61">
        <w:t>plan and undertake audits of live and past permits</w:t>
      </w:r>
    </w:p>
    <w:p w:rsidR="00000000" w:rsidRPr="00A30F61" w:rsidP="00A30F61">
      <w:pPr>
        <w:pStyle w:val="ListBullet"/>
      </w:pPr>
      <w:r w:rsidRPr="00A30F61">
        <w:t>analyse audit results and identify improvements</w:t>
      </w:r>
    </w:p>
    <w:p w:rsidR="00000000" w:rsidRPr="00A30F61" w:rsidP="00A30F61">
      <w:pPr>
        <w:pStyle w:val="ListBullet"/>
      </w:pPr>
      <w:r w:rsidRPr="00A30F61">
        <w:t>ident</w:t>
      </w:r>
      <w:r w:rsidRPr="00A30F61">
        <w:t>ify non-conformances and take appropriate action</w:t>
      </w:r>
    </w:p>
    <w:p w:rsidR="00000000" w:rsidRPr="00A30F61" w:rsidP="00A30F61">
      <w:pPr>
        <w:pStyle w:val="ListBullet"/>
      </w:pPr>
      <w:r w:rsidRPr="00A30F61">
        <w:t>communicate effectively with team/work group and other personnel.</w:t>
      </w:r>
    </w:p>
    <w:p w:rsidR="00000000" w:rsidRPr="00A30F61" w:rsidP="00A30F61">
      <w:pPr>
        <w:pStyle w:val="AllowPageBreak"/>
      </w:pPr>
    </w:p>
    <w:p w:rsidR="00000000" w:rsidRPr="00A30F61" w:rsidP="00A30F61">
      <w:pPr>
        <w:pStyle w:val="Heading1"/>
      </w:pPr>
      <w:bookmarkStart w:id="3" w:name="O_871520"/>
      <w:bookmarkEnd w:id="3"/>
      <w:r w:rsidRPr="00A30F61">
        <w:t>Knowledge Evidence</w:t>
      </w:r>
    </w:p>
    <w:p w:rsidR="00000000" w:rsidRPr="00A30F61" w:rsidP="00A30F61">
      <w:pPr>
        <w:pStyle w:val="ListBullet"/>
      </w:pPr>
      <w:r w:rsidRPr="00A30F61">
        <w:t>Evidence must be provided that demonstrates knowledge of:</w:t>
      </w:r>
    </w:p>
    <w:p w:rsidR="00000000" w:rsidRPr="00A30F61" w:rsidP="00A30F61">
      <w:pPr>
        <w:pStyle w:val="ListBullet"/>
      </w:pPr>
      <w:r w:rsidRPr="00A30F61">
        <w:t>organisation work control system procedures</w:t>
      </w:r>
    </w:p>
    <w:p w:rsidR="00000000" w:rsidRPr="00A30F61" w:rsidP="00A30F61">
      <w:pPr>
        <w:pStyle w:val="ListBullet"/>
      </w:pPr>
      <w:r w:rsidRPr="00A30F61">
        <w:t>th</w:t>
      </w:r>
      <w:r w:rsidRPr="00A30F61">
        <w:t>e operations of the plant and each major unit in it</w:t>
      </w:r>
    </w:p>
    <w:p w:rsidR="00000000" w:rsidRPr="00A30F61" w:rsidP="00A30F61">
      <w:pPr>
        <w:pStyle w:val="ListBullet"/>
      </w:pPr>
      <w:r w:rsidRPr="00A30F61">
        <w:t>hazards that may arise in plant materials, processes and process conditions, including:</w:t>
      </w:r>
    </w:p>
    <w:p w:rsidR="00000000" w:rsidRPr="00A30F61" w:rsidP="00A30F61">
      <w:pPr>
        <w:pStyle w:val="ListBullet2"/>
      </w:pPr>
      <w:r w:rsidRPr="00A30F61">
        <w:t xml:space="preserve">their possible causes </w:t>
      </w:r>
    </w:p>
    <w:p w:rsidR="00000000" w:rsidRPr="00A30F61" w:rsidP="00A30F61">
      <w:pPr>
        <w:pStyle w:val="ListBullet2"/>
      </w:pPr>
      <w:r w:rsidRPr="00A30F61">
        <w:t>potential consequences</w:t>
      </w:r>
    </w:p>
    <w:p w:rsidR="00000000" w:rsidRPr="00A30F61" w:rsidP="00A30F61">
      <w:pPr>
        <w:pStyle w:val="ListBullet2"/>
      </w:pPr>
      <w:r w:rsidRPr="00A30F61">
        <w:t xml:space="preserve">appropriate risk controls </w:t>
      </w:r>
    </w:p>
    <w:p w:rsidR="00000000" w:rsidRPr="00A30F61" w:rsidP="00A30F61">
      <w:pPr>
        <w:pStyle w:val="ListBullet2"/>
      </w:pPr>
      <w:r w:rsidRPr="00A30F61">
        <w:t>hierarchy of control</w:t>
      </w:r>
    </w:p>
    <w:p w:rsidR="00000000" w:rsidRPr="00A30F61" w:rsidP="00A30F61">
      <w:pPr>
        <w:pStyle w:val="ListBullet"/>
      </w:pPr>
      <w:r w:rsidRPr="00A30F61">
        <w:t>plant preparation and isolation procedures</w:t>
      </w:r>
    </w:p>
    <w:p w:rsidR="00000000" w:rsidRPr="00A30F61" w:rsidP="008A5919">
      <w:pPr>
        <w:pStyle w:val="BodyText"/>
      </w:pPr>
      <w:r w:rsidRPr="00A30F61">
        <w:t>auditing principles.</w:t>
      </w:r>
    </w:p>
    <w:p w:rsidR="00000000" w:rsidRPr="00A30F61" w:rsidP="00A30F61">
      <w:pPr>
        <w:pStyle w:val="Heading1"/>
      </w:pPr>
      <w:bookmarkStart w:id="4" w:name="O_871519"/>
      <w:bookmarkEnd w:id="4"/>
      <w:r w:rsidRPr="00A30F61">
        <w:t>Assessment Conditions</w:t>
      </w:r>
    </w:p>
    <w:p w:rsidR="00000000" w:rsidRPr="00A30F61" w:rsidP="00A30F61">
      <w:pPr>
        <w:pStyle w:val="ListBullet"/>
      </w:pPr>
      <w:r w:rsidRPr="00A30F61">
        <w:t xml:space="preserve">The unit should be assessed holistically and the judgement of competence based on a holistic assessment of the evidence. </w:t>
      </w:r>
    </w:p>
    <w:p w:rsidR="00000000" w:rsidRPr="00A30F61" w:rsidP="00A30F61">
      <w:pPr>
        <w:pStyle w:val="ListBullet"/>
      </w:pPr>
      <w:r w:rsidRPr="00A30F61">
        <w:t xml:space="preserve">The collection of performance </w:t>
      </w:r>
      <w:r w:rsidRPr="00A30F61">
        <w:t>evidence:</w:t>
      </w:r>
    </w:p>
    <w:p w:rsidR="00000000" w:rsidRPr="00A30F61" w:rsidP="00A30F61">
      <w:pPr>
        <w:pStyle w:val="ListBullet2"/>
      </w:pPr>
      <w:r w:rsidRPr="00A30F61">
        <w:t>should provide evidence of the ability to perform over the range of situations which might be expected to be encountered, including typical disruptions to normal, smooth work conditions</w:t>
      </w:r>
    </w:p>
    <w:p w:rsidR="00000000" w:rsidRPr="00A30F61" w:rsidP="00A30F61">
      <w:pPr>
        <w:pStyle w:val="ListBullet2"/>
      </w:pPr>
      <w:r w:rsidRPr="00A30F61">
        <w:t>may use industry-based simulation particularly where safety</w:t>
      </w:r>
      <w:r w:rsidRPr="00A30F61">
        <w:t>, lack of opportunity or significant cost is an issue.</w:t>
      </w:r>
    </w:p>
    <w:p w:rsidR="00000000" w:rsidRPr="00A30F61" w:rsidP="00A30F61">
      <w:pPr>
        <w:pStyle w:val="ListBullet"/>
      </w:pPr>
      <w:r w:rsidRPr="00A30F61">
        <w:t>Off-the-job assessment must sufficiently reflect realistic operational workplace conditions that cover all aspects of workplace performance, including environment, task skills, task management skills,</w:t>
      </w:r>
      <w:r w:rsidRPr="00A30F61">
        <w:t xml:space="preserve"> contingency management skills and job role environment skills.  </w:t>
      </w:r>
    </w:p>
    <w:p w:rsidR="00000000" w:rsidRPr="00A30F61" w:rsidP="00A30F61">
      <w:pPr>
        <w:pStyle w:val="ListBullet"/>
      </w:pPr>
      <w:r w:rsidRPr="00A30F61">
        <w:t xml:space="preserve">Assessment in a simulated environment should use evidence collected from one or more of: </w:t>
      </w:r>
    </w:p>
    <w:p w:rsidR="00000000" w:rsidRPr="00A30F61" w:rsidP="00A30F61">
      <w:pPr>
        <w:pStyle w:val="ListBullet2"/>
      </w:pPr>
      <w:r w:rsidRPr="00A30F61">
        <w:t>walk-throughs</w:t>
      </w:r>
    </w:p>
    <w:p w:rsidR="00000000" w:rsidRPr="00A30F61" w:rsidP="00A30F61">
      <w:pPr>
        <w:pStyle w:val="ListBullet2"/>
      </w:pPr>
      <w:r w:rsidRPr="00A30F61">
        <w:t xml:space="preserve">demonstration of skills </w:t>
      </w:r>
    </w:p>
    <w:p w:rsidR="00000000" w:rsidRPr="00A30F61" w:rsidP="00A30F61">
      <w:pPr>
        <w:pStyle w:val="ListBullet2"/>
      </w:pPr>
      <w:r w:rsidRPr="00A30F61">
        <w:t xml:space="preserve">industry based case studies/scenarios </w:t>
      </w:r>
    </w:p>
    <w:p w:rsidR="00000000" w:rsidRPr="00A30F61" w:rsidP="00A30F61">
      <w:pPr>
        <w:pStyle w:val="ListBullet2"/>
      </w:pPr>
      <w:r w:rsidRPr="00A30F61">
        <w:t>‘what ifs’.</w:t>
      </w:r>
    </w:p>
    <w:p w:rsidR="00000000" w:rsidRPr="00A30F61" w:rsidP="00A30F61">
      <w:pPr>
        <w:pStyle w:val="ListBullet"/>
      </w:pPr>
      <w:r w:rsidRPr="00A30F61">
        <w:t xml:space="preserve">Knowledge evidence may be collected concurrently with performance evidence (provided a record is kept) or through an independent process, such as workbooks, written assessments or interviews (provided a record is kept). </w:t>
      </w:r>
    </w:p>
    <w:p w:rsidR="00000000" w:rsidRPr="00A30F61" w:rsidP="00A30F61">
      <w:pPr>
        <w:pStyle w:val="ListBullet"/>
      </w:pPr>
      <w:r w:rsidRPr="00A30F61">
        <w:t>Assessment processes and techniques</w:t>
      </w:r>
      <w:r w:rsidRPr="00A30F61">
        <w:t xml:space="preserve"> must be appropriate to the language, literacy and numeracy requirements of the work being performed and the needs of the candidate.</w:t>
      </w:r>
    </w:p>
    <w:p w:rsidR="00000000" w:rsidRPr="00A30F61" w:rsidP="00A30F61">
      <w:pPr>
        <w:pStyle w:val="ListBullet"/>
      </w:pPr>
      <w:r w:rsidRPr="00A30F61">
        <w:t>Conditions for assessment must include access to all tools, equipment, materials and documentation required, including rele</w:t>
      </w:r>
      <w:r w:rsidRPr="00A30F61">
        <w:t>vant workplace procedures, product and manufacturing specifications associated with this unit.</w:t>
      </w:r>
    </w:p>
    <w:p w:rsidR="00000000" w:rsidRPr="00A30F61" w:rsidP="00A30F61">
      <w:pPr>
        <w:pStyle w:val="ListBullet"/>
      </w:pPr>
      <w:r w:rsidRPr="00A30F61">
        <w:t>The regulatory framework will be reflected in workplace policies and procedures and is not required to be independently assessed.</w:t>
      </w:r>
    </w:p>
    <w:p w:rsidR="00000000" w:rsidRPr="00A30F61" w:rsidP="00A30F61">
      <w:pPr>
        <w:pStyle w:val="ListBullet"/>
      </w:pPr>
      <w:r w:rsidRPr="00A30F61">
        <w:t xml:space="preserve">Foundation skills are integral </w:t>
      </w:r>
      <w:r w:rsidRPr="00A30F61">
        <w:t>to competent performance of the unit and should not be assessed separately.</w:t>
      </w:r>
    </w:p>
    <w:p w:rsidR="00000000" w:rsidRPr="00A30F61" w:rsidP="00A30F61">
      <w:pPr>
        <w:pStyle w:val="ListBullet"/>
      </w:pPr>
      <w:r w:rsidRPr="00A30F61">
        <w:t>As a minimum, assessors must satisfy the Standards for Registered Training Organisations 2015 assessor requirements.</w:t>
      </w:r>
    </w:p>
    <w:p w:rsidR="00000000" w:rsidRPr="00A30F61" w:rsidP="00A30F61">
      <w:pPr>
        <w:pStyle w:val="AllowPageBreak"/>
      </w:pPr>
    </w:p>
    <w:p w:rsidR="00000000" w:rsidRPr="00A30F61" w:rsidP="00A30F61">
      <w:pPr>
        <w:pStyle w:val="Heading1"/>
      </w:pPr>
      <w:bookmarkStart w:id="5" w:name="O_871517"/>
      <w:bookmarkEnd w:id="5"/>
      <w:r w:rsidRPr="00A30F61">
        <w:t>Links</w:t>
      </w:r>
    </w:p>
    <w:p w:rsidR="00000000" w:rsidRPr="00A30F61" w:rsidP="008A5919">
      <w:pPr>
        <w:pStyle w:val="BodyText"/>
      </w:pPr>
      <w:r w:rsidRPr="00A30F61">
        <w:t>Companion Volume implementation guides a</w:t>
      </w:r>
      <w:r w:rsidRPr="00A30F61">
        <w:t xml:space="preserve">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B4CF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30F61" w:rsidP="00A30F61"/>
    <w:sectPr w:rsidSect="00A30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F61" w:rsidRPr="008A5919" w:rsidP="008A5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19" w:rsidP="00A3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919" w:rsidP="00A3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A5919" w:rsidP="00A30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F61" w:rsidRPr="008A5919" w:rsidP="008A5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19" w:rsidRPr="002D2AF8" w:rsidP="00A3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MSMPER400 Coordinate permit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A5919" w:rsidP="00A30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AA9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E6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524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F61"/>
  </w:style>
  <w:style w:type="character" w:customStyle="1" w:styleId="Heading1Char">
    <w:name w:val="Heading 1 Char"/>
    <w:basedOn w:val="DefaultParagraphFont"/>
    <w:link w:val="Heading1"/>
    <w:rsid w:val="00A30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F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F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F61"/>
    <w:rPr>
      <w:b/>
      <w:spacing w:val="0"/>
    </w:rPr>
  </w:style>
  <w:style w:type="paragraph" w:customStyle="1" w:styleId="SuperTitle">
    <w:name w:val="SuperTitle"/>
    <w:basedOn w:val="Title"/>
    <w:rsid w:val="00A30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F61"/>
    <w:rPr>
      <w:i/>
    </w:rPr>
  </w:style>
  <w:style w:type="paragraph" w:styleId="Caption">
    <w:name w:val="caption"/>
    <w:basedOn w:val="BodyText"/>
    <w:next w:val="Normal"/>
    <w:qFormat/>
    <w:rsid w:val="00A30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F61"/>
  </w:style>
  <w:style w:type="paragraph" w:styleId="TableofFigures">
    <w:name w:val="table of figures"/>
    <w:basedOn w:val="Normal"/>
    <w:next w:val="Normal"/>
    <w:semiHidden/>
    <w:rsid w:val="00A30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F61"/>
    <w:rPr>
      <w:rFonts w:ascii="Wingdings" w:hAnsi="Wingdings"/>
    </w:rPr>
  </w:style>
  <w:style w:type="paragraph" w:customStyle="1" w:styleId="TableHeading">
    <w:name w:val="Table Heading"/>
    <w:basedOn w:val="HeadingBase"/>
    <w:rsid w:val="00A30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F61"/>
    <w:rPr>
      <w:color w:val="0033CC"/>
      <w:u w:val="none"/>
    </w:rPr>
  </w:style>
  <w:style w:type="paragraph" w:customStyle="1" w:styleId="BodyTextRight">
    <w:name w:val="Body Text Right"/>
    <w:basedOn w:val="BodyText"/>
    <w:rsid w:val="00A30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F61"/>
    <w:rPr>
      <w:sz w:val="32"/>
    </w:rPr>
  </w:style>
  <w:style w:type="paragraph" w:customStyle="1" w:styleId="HeadingProcedure">
    <w:name w:val="Heading Procedure"/>
    <w:basedOn w:val="HeadingBase"/>
    <w:next w:val="Normal"/>
    <w:rsid w:val="00A30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F61"/>
    <w:pPr>
      <w:spacing w:before="60" w:after="60"/>
    </w:pPr>
  </w:style>
  <w:style w:type="paragraph" w:styleId="ListContinue">
    <w:name w:val="List Continue"/>
    <w:basedOn w:val="List"/>
    <w:rsid w:val="00A30F61"/>
    <w:pPr>
      <w:ind w:firstLine="0"/>
    </w:pPr>
  </w:style>
  <w:style w:type="paragraph" w:customStyle="1" w:styleId="ListNote">
    <w:name w:val="List Note"/>
    <w:basedOn w:val="List"/>
    <w:rsid w:val="00A30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F61"/>
    <w:rPr>
      <w:rFonts w:ascii="Courier New" w:hAnsi="Courier New"/>
    </w:rPr>
  </w:style>
  <w:style w:type="paragraph" w:customStyle="1" w:styleId="NoteBullet">
    <w:name w:val="Note Bullet"/>
    <w:basedOn w:val="Note"/>
    <w:rsid w:val="00A30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F61"/>
    <w:rPr>
      <w:b/>
      <w:smallCaps/>
    </w:rPr>
  </w:style>
  <w:style w:type="paragraph" w:customStyle="1" w:styleId="TableListNumber">
    <w:name w:val="Table List Number"/>
    <w:basedOn w:val="ListNumber"/>
    <w:rsid w:val="00A30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F61"/>
    <w:pPr>
      <w:numPr>
        <w:numId w:val="9"/>
      </w:numPr>
    </w:pPr>
  </w:style>
  <w:style w:type="paragraph" w:customStyle="1" w:styleId="ListAlpha2">
    <w:name w:val="List Alpha 2"/>
    <w:basedOn w:val="List2"/>
    <w:rsid w:val="00A30F61"/>
    <w:pPr>
      <w:numPr>
        <w:numId w:val="8"/>
      </w:numPr>
    </w:pPr>
  </w:style>
  <w:style w:type="paragraph" w:styleId="List2">
    <w:name w:val="List 2"/>
    <w:basedOn w:val="BodyText"/>
    <w:rsid w:val="00A30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F61"/>
    <w:pPr>
      <w:numPr>
        <w:numId w:val="4"/>
      </w:numPr>
    </w:pPr>
  </w:style>
  <w:style w:type="paragraph" w:styleId="ListContinue2">
    <w:name w:val="List Continue 2"/>
    <w:basedOn w:val="List2"/>
    <w:rsid w:val="00A30F61"/>
    <w:pPr>
      <w:ind w:firstLine="0"/>
    </w:pPr>
  </w:style>
  <w:style w:type="paragraph" w:styleId="ListContinue3">
    <w:name w:val="List Continue 3"/>
    <w:basedOn w:val="List3"/>
    <w:rsid w:val="00A30F61"/>
    <w:pPr>
      <w:ind w:left="1021" w:firstLine="0"/>
    </w:pPr>
  </w:style>
  <w:style w:type="paragraph" w:styleId="ListContinue4">
    <w:name w:val="List Continue 4"/>
    <w:basedOn w:val="List4"/>
    <w:rsid w:val="00A30F61"/>
    <w:pPr>
      <w:ind w:firstLine="0"/>
    </w:pPr>
  </w:style>
  <w:style w:type="paragraph" w:styleId="ListContinue5">
    <w:name w:val="List Continue 5"/>
    <w:basedOn w:val="List5"/>
    <w:rsid w:val="00A30F61"/>
    <w:pPr>
      <w:ind w:firstLine="0"/>
    </w:pPr>
  </w:style>
  <w:style w:type="paragraph" w:styleId="ListNumber3">
    <w:name w:val="List Number 3"/>
    <w:basedOn w:val="List3"/>
    <w:rsid w:val="00A30F61"/>
    <w:pPr>
      <w:numPr>
        <w:numId w:val="5"/>
      </w:numPr>
    </w:pPr>
  </w:style>
  <w:style w:type="paragraph" w:styleId="ListNumber4">
    <w:name w:val="List Number 4"/>
    <w:basedOn w:val="List4"/>
    <w:rsid w:val="00A30F61"/>
    <w:pPr>
      <w:numPr>
        <w:numId w:val="6"/>
      </w:numPr>
    </w:pPr>
  </w:style>
  <w:style w:type="paragraph" w:styleId="ListNumber5">
    <w:name w:val="List Number 5"/>
    <w:basedOn w:val="List5"/>
    <w:rsid w:val="00A30F61"/>
    <w:pPr>
      <w:numPr>
        <w:numId w:val="7"/>
      </w:numPr>
    </w:pPr>
  </w:style>
  <w:style w:type="paragraph" w:styleId="BlockText">
    <w:name w:val="Block Text"/>
    <w:basedOn w:val="Normal"/>
    <w:rsid w:val="00A30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F61"/>
    <w:rPr>
      <w:sz w:val="16"/>
      <w:vertAlign w:val="superscript"/>
    </w:rPr>
  </w:style>
  <w:style w:type="character" w:customStyle="1" w:styleId="Symbols">
    <w:name w:val="Symbols"/>
    <w:basedOn w:val="DefaultParagraphFont"/>
    <w:rsid w:val="00A30F61"/>
    <w:rPr>
      <w:rFonts w:ascii="Symbol" w:hAnsi="Symbol"/>
    </w:rPr>
  </w:style>
  <w:style w:type="character" w:customStyle="1" w:styleId="MenuOptions">
    <w:name w:val="Menu Options"/>
    <w:basedOn w:val="DefaultParagraphFont"/>
    <w:rsid w:val="00A30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F61"/>
    <w:rPr>
      <w:b/>
    </w:rPr>
  </w:style>
  <w:style w:type="character" w:customStyle="1" w:styleId="Underlined">
    <w:name w:val="Underlined"/>
    <w:basedOn w:val="DefaultParagraphFont"/>
    <w:rsid w:val="00A30F61"/>
    <w:rPr>
      <w:u w:val="single"/>
    </w:rPr>
  </w:style>
  <w:style w:type="paragraph" w:customStyle="1" w:styleId="TableBodyTextRight">
    <w:name w:val="Table Body Text Right"/>
    <w:basedOn w:val="TableBodyText"/>
    <w:rsid w:val="00A30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F61"/>
    <w:rPr>
      <w:sz w:val="18"/>
    </w:rPr>
  </w:style>
  <w:style w:type="paragraph" w:customStyle="1" w:styleId="BodySmallRight">
    <w:name w:val="Body Small Right"/>
    <w:basedOn w:val="BodyTextRight"/>
    <w:rsid w:val="00A30F61"/>
    <w:rPr>
      <w:sz w:val="18"/>
      <w:szCs w:val="18"/>
    </w:rPr>
  </w:style>
  <w:style w:type="paragraph" w:customStyle="1" w:styleId="MarginEdition">
    <w:name w:val="Margin Edition"/>
    <w:basedOn w:val="MarginNote"/>
    <w:rsid w:val="00A30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F61"/>
    <w:rPr>
      <w:sz w:val="2"/>
      <w:szCs w:val="2"/>
    </w:rPr>
  </w:style>
  <w:style w:type="character" w:customStyle="1" w:styleId="Small">
    <w:name w:val="Small"/>
    <w:basedOn w:val="DefaultParagraphFont"/>
    <w:rsid w:val="00A30F61"/>
    <w:rPr>
      <w:sz w:val="16"/>
    </w:rPr>
  </w:style>
  <w:style w:type="paragraph" w:customStyle="1" w:styleId="WideTable">
    <w:name w:val="Wide Table"/>
    <w:basedOn w:val="Normal"/>
    <w:rsid w:val="00A30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F61"/>
  </w:style>
  <w:style w:type="paragraph" w:styleId="Quote">
    <w:name w:val="Quote"/>
    <w:basedOn w:val="Heading1"/>
    <w:link w:val="QuoteChar"/>
    <w:qFormat/>
    <w:rsid w:val="00A30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F61"/>
    <w:pPr>
      <w:pageBreakBefore/>
    </w:pPr>
  </w:style>
  <w:style w:type="paragraph" w:customStyle="1" w:styleId="Border">
    <w:name w:val="Border"/>
    <w:basedOn w:val="Normal"/>
    <w:qFormat/>
    <w:rsid w:val="00A30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F61"/>
    <w:rPr>
      <w:u w:val="single"/>
    </w:rPr>
  </w:style>
  <w:style w:type="character" w:customStyle="1" w:styleId="BoldandItalics">
    <w:name w:val="Bold and Italics"/>
    <w:qFormat/>
    <w:rsid w:val="00A30F61"/>
    <w:rPr>
      <w:b/>
      <w:i/>
      <w:u w:val="none"/>
    </w:rPr>
  </w:style>
  <w:style w:type="paragraph" w:styleId="BalloonText">
    <w:name w:val="Balloon Text"/>
    <w:basedOn w:val="Normal"/>
    <w:link w:val="BalloonTextChar"/>
    <w:rsid w:val="00A30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F61"/>
    <w:pPr>
      <w:spacing w:before="0" w:after="0"/>
    </w:pPr>
  </w:style>
  <w:style w:type="paragraph" w:customStyle="1" w:styleId="BodyTextBold">
    <w:name w:val="Body Text Bold"/>
    <w:basedOn w:val="BodyText"/>
    <w:qFormat/>
    <w:rsid w:val="00A30F61"/>
    <w:rPr>
      <w:b/>
    </w:rPr>
  </w:style>
  <w:style w:type="character" w:styleId="Hyperlink">
    <w:name w:val="Hyperlink"/>
    <w:basedOn w:val="DefaultParagraphFont"/>
    <w:uiPriority w:val="99"/>
    <w:unhideWhenUsed/>
    <w:rsid w:val="008A5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3272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MSMPER400 Coordinate permit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