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0F32" w:rsidP="00DC0F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MSMPER300 Issue work permits</w:t>
      </w:r>
      <w:r>
        <w:fldChar w:fldCharType="end"/>
      </w:r>
    </w:p>
    <w:p w:rsidR="00DC0F32" w:rsidP="00DC0F32">
      <w:pPr>
        <w:pStyle w:val="Version"/>
        <w:sectPr w:rsidSect="00D81B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81B88" w:rsidP="00D81B88">
      <w:pPr>
        <w:pStyle w:val="SuperHeading"/>
      </w:pPr>
      <w:r w:rsidRPr="00D81B88">
        <w:t>Assessment Requirements for MSMPER300 Issue work permits</w:t>
      </w:r>
    </w:p>
    <w:p w:rsidR="00000000" w:rsidRPr="00D81B88" w:rsidP="00D81B88">
      <w:pPr>
        <w:pStyle w:val="Heading1"/>
      </w:pPr>
      <w:bookmarkStart w:id="1" w:name="O_939317"/>
      <w:bookmarkEnd w:id="1"/>
      <w:r w:rsidRPr="00D81B88">
        <w:t>Modification History</w:t>
      </w:r>
    </w:p>
    <w:p w:rsidR="00000000" w:rsidRPr="00D81B88" w:rsidP="00DC0F32">
      <w:pPr>
        <w:pStyle w:val="BodyText"/>
      </w:pPr>
      <w:r w:rsidRPr="00D81B88">
        <w:t>Release 2.  Addition of information missing from the Assessment Requirements. Equivalent.</w:t>
      </w:r>
    </w:p>
    <w:p w:rsidR="00000000" w:rsidRPr="00D81B88" w:rsidP="00DC0F32">
      <w:pPr>
        <w:pStyle w:val="BodyText"/>
      </w:pPr>
      <w:r w:rsidRPr="00D81B88">
        <w:t>Release 1. Supersedes and is equivalent to MSAPMPER300C Issue work permits</w:t>
      </w:r>
    </w:p>
    <w:p w:rsidR="00000000" w:rsidRPr="00D81B88" w:rsidP="00D81B88">
      <w:pPr>
        <w:pStyle w:val="Heading1"/>
      </w:pPr>
      <w:bookmarkStart w:id="2" w:name="O_939316"/>
      <w:bookmarkEnd w:id="2"/>
      <w:r w:rsidRPr="00D81B88">
        <w:t>Performance Evidence</w:t>
      </w:r>
    </w:p>
    <w:p w:rsidR="00000000" w:rsidRPr="00D81B88" w:rsidP="00DC0F32">
      <w:pPr>
        <w:pStyle w:val="BodyText"/>
      </w:pPr>
      <w:r w:rsidRPr="00D81B88">
        <w:t>Evidence require</w:t>
      </w:r>
      <w:r w:rsidRPr="00D81B88">
        <w:t>d to demonstrate competence in this unit must be relevant to and satisfy all of the requirements of the elements and performance criteria and demonstrate the ability to:</w:t>
      </w:r>
    </w:p>
    <w:p w:rsidR="00000000" w:rsidRPr="00D81B88" w:rsidP="00D81B88">
      <w:pPr>
        <w:pStyle w:val="ListBullet"/>
      </w:pPr>
      <w:r w:rsidRPr="00D81B88">
        <w:t>recognise types of work permits required for different situations</w:t>
      </w:r>
    </w:p>
    <w:p w:rsidR="00000000" w:rsidRPr="00D81B88" w:rsidP="00D81B88">
      <w:pPr>
        <w:pStyle w:val="ListBullet"/>
      </w:pPr>
      <w:r w:rsidRPr="00D81B88">
        <w:t>undertake and inter</w:t>
      </w:r>
      <w:r w:rsidRPr="00D81B88">
        <w:t>pret hazard analysis</w:t>
      </w:r>
    </w:p>
    <w:p w:rsidR="00000000" w:rsidRPr="00D81B88" w:rsidP="00D81B88">
      <w:pPr>
        <w:pStyle w:val="ListBullet"/>
      </w:pPr>
      <w:r w:rsidRPr="00D81B88">
        <w:t>conduct and interpret tests/inspections for gas or other hazards, including one or more of:</w:t>
      </w:r>
    </w:p>
    <w:p w:rsidR="00000000" w:rsidRPr="00D81B88" w:rsidP="00D81B88">
      <w:pPr>
        <w:pStyle w:val="ListBullet2"/>
      </w:pPr>
      <w:r w:rsidRPr="00D81B88">
        <w:t>atmospheric, including explosivity</w:t>
      </w:r>
    </w:p>
    <w:p w:rsidR="00000000" w:rsidRPr="00D81B88" w:rsidP="00D81B88">
      <w:pPr>
        <w:pStyle w:val="ListBullet2"/>
      </w:pPr>
      <w:r w:rsidRPr="00D81B88">
        <w:t xml:space="preserve">flammability </w:t>
      </w:r>
    </w:p>
    <w:p w:rsidR="00000000" w:rsidRPr="00D81B88" w:rsidP="00D81B88">
      <w:pPr>
        <w:pStyle w:val="ListBullet2"/>
      </w:pPr>
      <w:r w:rsidRPr="00D81B88">
        <w:t xml:space="preserve">toxicity </w:t>
      </w:r>
    </w:p>
    <w:p w:rsidR="00000000" w:rsidRPr="00D81B88" w:rsidP="00D81B88">
      <w:pPr>
        <w:pStyle w:val="ListBullet2"/>
      </w:pPr>
      <w:r w:rsidRPr="00D81B88">
        <w:t xml:space="preserve">temperature </w:t>
      </w:r>
    </w:p>
    <w:p w:rsidR="00000000" w:rsidRPr="00D81B88" w:rsidP="00D81B88">
      <w:pPr>
        <w:pStyle w:val="ListBullet2"/>
      </w:pPr>
      <w:r w:rsidRPr="00D81B88">
        <w:t xml:space="preserve">humidity </w:t>
      </w:r>
    </w:p>
    <w:p w:rsidR="00000000" w:rsidRPr="00D81B88" w:rsidP="00D81B88">
      <w:pPr>
        <w:pStyle w:val="ListBullet2"/>
      </w:pPr>
      <w:r w:rsidRPr="00D81B88">
        <w:t>combustibles, oxygen, enriched or reduced</w:t>
      </w:r>
    </w:p>
    <w:p w:rsidR="00000000" w:rsidRPr="00D81B88" w:rsidP="00D81B88">
      <w:pPr>
        <w:pStyle w:val="ListBullet2"/>
      </w:pPr>
      <w:r w:rsidRPr="00D81B88">
        <w:t>electricity</w:t>
      </w:r>
    </w:p>
    <w:p w:rsidR="00000000" w:rsidRPr="00D81B88" w:rsidP="00D81B88">
      <w:pPr>
        <w:pStyle w:val="ListBullet2"/>
      </w:pPr>
      <w:r w:rsidRPr="00D81B88">
        <w:t>stored pressure/energy</w:t>
      </w:r>
    </w:p>
    <w:p w:rsidR="00000000" w:rsidRPr="00D81B88" w:rsidP="00D81B88">
      <w:pPr>
        <w:pStyle w:val="ListBullet"/>
      </w:pPr>
      <w:r w:rsidRPr="00D81B88">
        <w:t>ensure correct preparation of worksite is undertaken, including one or more of:</w:t>
      </w:r>
    </w:p>
    <w:p w:rsidR="00000000" w:rsidRPr="00D81B88" w:rsidP="00D81B88">
      <w:pPr>
        <w:pStyle w:val="ListBullet2"/>
      </w:pPr>
      <w:r w:rsidRPr="00D81B88">
        <w:t>mechanical, electrical and other energy sources, and process isolations</w:t>
      </w:r>
    </w:p>
    <w:p w:rsidR="00000000" w:rsidRPr="00D81B88" w:rsidP="00D81B88">
      <w:pPr>
        <w:pStyle w:val="ListBullet2"/>
      </w:pPr>
      <w:r w:rsidRPr="00D81B88">
        <w:t>de-energising all sources of energy/pressure</w:t>
      </w:r>
    </w:p>
    <w:p w:rsidR="00000000" w:rsidRPr="00D81B88" w:rsidP="00D81B88">
      <w:pPr>
        <w:pStyle w:val="ListBullet2"/>
      </w:pPr>
      <w:r w:rsidRPr="00D81B88">
        <w:t xml:space="preserve">purging of plant </w:t>
      </w:r>
    </w:p>
    <w:p w:rsidR="00000000" w:rsidRPr="00D81B88" w:rsidP="00D81B88">
      <w:pPr>
        <w:pStyle w:val="ListBullet2"/>
      </w:pPr>
      <w:r w:rsidRPr="00D81B88">
        <w:t>ventilation of p</w:t>
      </w:r>
      <w:r w:rsidRPr="00D81B88">
        <w:t>lant</w:t>
      </w:r>
    </w:p>
    <w:p w:rsidR="00000000" w:rsidRPr="00D81B88" w:rsidP="00D81B88">
      <w:pPr>
        <w:pStyle w:val="ListBullet2"/>
      </w:pPr>
      <w:r w:rsidRPr="00D81B88">
        <w:t>lockout/tag out procedures</w:t>
      </w:r>
    </w:p>
    <w:p w:rsidR="00000000" w:rsidRPr="00D81B88" w:rsidP="00D81B88">
      <w:pPr>
        <w:pStyle w:val="ListBullet2"/>
      </w:pPr>
      <w:r w:rsidRPr="00D81B88">
        <w:t>blinding/blanking lines</w:t>
      </w:r>
    </w:p>
    <w:p w:rsidR="00000000" w:rsidRPr="00D81B88" w:rsidP="00D81B88">
      <w:pPr>
        <w:pStyle w:val="ListBullet2"/>
      </w:pPr>
      <w:r w:rsidRPr="00D81B88">
        <w:t>other hazard controls</w:t>
      </w:r>
    </w:p>
    <w:p w:rsidR="00000000" w:rsidRPr="00D81B88" w:rsidP="00D81B88">
      <w:pPr>
        <w:pStyle w:val="ListBullet"/>
      </w:pPr>
      <w:r w:rsidRPr="00D81B88">
        <w:t>ensure supervision/monitoring of people working under the permit</w:t>
      </w:r>
    </w:p>
    <w:p w:rsidR="00000000" w:rsidRPr="00D81B88" w:rsidP="00D81B88">
      <w:pPr>
        <w:pStyle w:val="ListBullet"/>
      </w:pPr>
      <w:r w:rsidRPr="00D81B88">
        <w:t>speak clearly and unambiguously in the language of the worksite.</w:t>
      </w:r>
    </w:p>
    <w:p w:rsidR="00000000" w:rsidRPr="00D81B88" w:rsidP="00D81B88">
      <w:pPr>
        <w:pStyle w:val="AllowPageBreak"/>
      </w:pPr>
    </w:p>
    <w:p w:rsidR="00000000" w:rsidRPr="00D81B88" w:rsidP="00D81B88">
      <w:pPr>
        <w:pStyle w:val="Heading1"/>
      </w:pPr>
      <w:bookmarkStart w:id="3" w:name="O_939315"/>
      <w:bookmarkEnd w:id="3"/>
      <w:r w:rsidRPr="00D81B88">
        <w:t>Knowledge Evidence</w:t>
      </w:r>
    </w:p>
    <w:p w:rsidR="00000000" w:rsidRPr="00D81B88" w:rsidP="00DC0F32">
      <w:pPr>
        <w:pStyle w:val="BodyText"/>
      </w:pPr>
      <w:r w:rsidRPr="00D81B88">
        <w:t>Evidence must be provided that demonstrates knowledge of:</w:t>
      </w:r>
    </w:p>
    <w:p w:rsidR="00000000" w:rsidRPr="00D81B88" w:rsidP="00D81B88">
      <w:pPr>
        <w:pStyle w:val="ListBullet"/>
      </w:pPr>
      <w:r w:rsidRPr="00D81B88">
        <w:t>the organisation</w:t>
      </w:r>
      <w:r>
        <w:t>’</w:t>
      </w:r>
      <w:r w:rsidRPr="00D81B88">
        <w:t xml:space="preserve">s work control system </w:t>
      </w:r>
    </w:p>
    <w:p w:rsidR="00000000" w:rsidRPr="00D81B88" w:rsidP="00D81B88">
      <w:pPr>
        <w:pStyle w:val="ListBullet"/>
      </w:pPr>
      <w:r w:rsidRPr="00D81B88">
        <w:t xml:space="preserve">types of permits and their application </w:t>
      </w:r>
    </w:p>
    <w:p w:rsidR="00000000" w:rsidRPr="00D81B88" w:rsidP="00D81B88">
      <w:pPr>
        <w:pStyle w:val="ListBullet"/>
      </w:pPr>
      <w:r w:rsidRPr="00D81B88">
        <w:t xml:space="preserve">hazards of the area for which permit is being issued </w:t>
      </w:r>
    </w:p>
    <w:p w:rsidR="00000000" w:rsidRPr="00D81B88" w:rsidP="00D81B88">
      <w:pPr>
        <w:pStyle w:val="ListBullet"/>
      </w:pPr>
      <w:r w:rsidRPr="00D81B88">
        <w:t xml:space="preserve">hazards that may be created by the interactions of the permit, </w:t>
      </w:r>
      <w:r w:rsidRPr="00D81B88">
        <w:t xml:space="preserve">the job, the process and the plant area </w:t>
      </w:r>
    </w:p>
    <w:p w:rsidR="00000000" w:rsidRPr="00D81B88" w:rsidP="00D81B88">
      <w:pPr>
        <w:pStyle w:val="ListBullet"/>
      </w:pPr>
      <w:r w:rsidRPr="00D81B88">
        <w:t>focus of operation of work systems and equipment.</w:t>
      </w:r>
    </w:p>
    <w:p w:rsidR="00000000" w:rsidRPr="00D81B88" w:rsidP="00D81B88">
      <w:pPr>
        <w:pStyle w:val="AllowPageBreak"/>
      </w:pPr>
    </w:p>
    <w:p w:rsidR="00000000" w:rsidRPr="00D81B88" w:rsidP="00D81B88">
      <w:pPr>
        <w:pStyle w:val="Heading1"/>
      </w:pPr>
      <w:bookmarkStart w:id="4" w:name="O_939314"/>
      <w:bookmarkEnd w:id="4"/>
      <w:r w:rsidRPr="00D81B88">
        <w:t>Assessment Conditions</w:t>
      </w:r>
    </w:p>
    <w:p w:rsidR="00000000" w:rsidRPr="00D81B88" w:rsidP="00D81B88">
      <w:pPr>
        <w:pStyle w:val="ListBullet"/>
      </w:pPr>
      <w:r w:rsidRPr="00D81B88">
        <w:t xml:space="preserve">Competency must be achieved before performing this work unsupervised. Therefore this unit will typically be assessed off the </w:t>
      </w:r>
      <w:r w:rsidRPr="00D81B88">
        <w:t>job. Where assessment is undertaken on the job appropriate supervision and safety precautions must be provided.</w:t>
      </w:r>
    </w:p>
    <w:p w:rsidR="00000000" w:rsidRPr="00D81B88" w:rsidP="00D81B88">
      <w:pPr>
        <w:pStyle w:val="ListBullet"/>
      </w:pPr>
      <w:r w:rsidRPr="00D81B88">
        <w:t xml:space="preserve">The unit should be assessed holistically and the judgement of competence based on a holistic assessment of the evidence. </w:t>
      </w:r>
    </w:p>
    <w:p w:rsidR="00000000" w:rsidRPr="00D81B88" w:rsidP="00D81B88">
      <w:pPr>
        <w:pStyle w:val="ListBullet"/>
      </w:pPr>
      <w:r w:rsidRPr="00D81B88">
        <w:t>The collection of perf</w:t>
      </w:r>
      <w:r w:rsidRPr="00D81B88">
        <w:t>ormance evidence:</w:t>
      </w:r>
    </w:p>
    <w:p w:rsidR="00000000" w:rsidRPr="00D81B88" w:rsidP="00D81B88">
      <w:pPr>
        <w:pStyle w:val="ListBullet"/>
      </w:pPr>
      <w:r w:rsidRPr="00D81B88">
        <w:t>should provide evidence of the ability to perform over the range of situations which might be expected to be encountered, including typical disruptions to normal, smooth work conditions</w:t>
      </w:r>
    </w:p>
    <w:p w:rsidR="00000000" w:rsidRPr="00D81B88" w:rsidP="00D81B88">
      <w:pPr>
        <w:pStyle w:val="ListBullet2"/>
      </w:pPr>
      <w:r w:rsidRPr="00D81B88">
        <w:t>will require the issuing of example permits for rea</w:t>
      </w:r>
      <w:r w:rsidRPr="00D81B88">
        <w:t xml:space="preserve">listic case study situations </w:t>
      </w:r>
    </w:p>
    <w:p w:rsidR="00000000" w:rsidRPr="00D81B88" w:rsidP="00D81B88">
      <w:pPr>
        <w:pStyle w:val="ListBullet2"/>
      </w:pPr>
      <w:r w:rsidRPr="00D81B88">
        <w:t>may use industry-based simulation particularly where safety, lack of opportunity or significant cost is an issue.</w:t>
      </w:r>
    </w:p>
    <w:p w:rsidR="00000000" w:rsidRPr="00D81B88" w:rsidP="00D81B88">
      <w:pPr>
        <w:pStyle w:val="ListBullet"/>
      </w:pPr>
      <w:r w:rsidRPr="00D81B88">
        <w:t xml:space="preserve">Off-the-job assessment must sufficiently reflect realistic operational workplace conditions </w:t>
      </w:r>
      <w:r w:rsidRPr="00D81B88">
        <w:t xml:space="preserve">that cover all aspects of workplace performance, including environment, task skills, task management skills, contingency management skills and job role environment skills.  </w:t>
      </w:r>
    </w:p>
    <w:p w:rsidR="00000000" w:rsidRPr="00D81B88" w:rsidP="00D81B88">
      <w:pPr>
        <w:pStyle w:val="ListBullet"/>
      </w:pPr>
      <w:r w:rsidRPr="00D81B88">
        <w:t>Assessment in a simulated environment should use evidence collected from one or mo</w:t>
      </w:r>
      <w:r w:rsidRPr="00D81B88">
        <w:t xml:space="preserve">re of: </w:t>
      </w:r>
    </w:p>
    <w:p w:rsidR="00000000" w:rsidRPr="00D81B88" w:rsidP="00D81B88">
      <w:pPr>
        <w:pStyle w:val="ListBullet2"/>
      </w:pPr>
      <w:r w:rsidRPr="00D81B88">
        <w:t>walk-throughs</w:t>
      </w:r>
    </w:p>
    <w:p w:rsidR="00000000" w:rsidRPr="00D81B88" w:rsidP="00D81B88">
      <w:pPr>
        <w:pStyle w:val="ListBullet2"/>
      </w:pPr>
      <w:r w:rsidRPr="00D81B88">
        <w:t xml:space="preserve">demonstration of skills </w:t>
      </w:r>
    </w:p>
    <w:p w:rsidR="00000000" w:rsidRPr="00D81B88" w:rsidP="00D81B88">
      <w:pPr>
        <w:pStyle w:val="ListBullet2"/>
      </w:pPr>
      <w:r w:rsidRPr="00D81B88">
        <w:t xml:space="preserve">industry based case studies/scenarios </w:t>
      </w:r>
    </w:p>
    <w:p w:rsidR="00000000" w:rsidRPr="00D81B88" w:rsidP="00D81B88">
      <w:pPr>
        <w:pStyle w:val="ListBullet2"/>
      </w:pPr>
      <w:r w:rsidRPr="00D81B88">
        <w:t>‘what ifs’.</w:t>
      </w:r>
    </w:p>
    <w:p w:rsidR="00000000" w:rsidRPr="00D81B88" w:rsidP="00D81B88">
      <w:pPr>
        <w:pStyle w:val="ListBullet"/>
      </w:pPr>
      <w:r w:rsidRPr="00D81B88">
        <w:t>Knowledge evidence may be collected concurrently with performance evidence (provided a record is kept) or through an independent process, such as workbooks,</w:t>
      </w:r>
      <w:r w:rsidRPr="00D81B88">
        <w:t xml:space="preserve"> written assessments or interviews (provided a record is kept). </w:t>
      </w:r>
    </w:p>
    <w:p w:rsidR="00000000" w:rsidRPr="00D81B88" w:rsidP="00D81B88">
      <w:pPr>
        <w:pStyle w:val="ListBullet"/>
      </w:pPr>
      <w:r w:rsidRPr="00D81B88">
        <w:t>Assessment processes and techniques must be appropriate to the language, literacy and numeracy requirements of the work being performed and the needs of the candidate.</w:t>
      </w:r>
    </w:p>
    <w:p w:rsidR="00000000" w:rsidRPr="00D81B88" w:rsidP="00D81B88">
      <w:pPr>
        <w:pStyle w:val="ListBullet"/>
      </w:pPr>
      <w:r w:rsidRPr="00D81B88">
        <w:t>Conditions for assessme</w:t>
      </w:r>
      <w:r w:rsidRPr="00D81B88">
        <w:t>nt must include access to all tools, equipment, materials and documentation required, including relevant workplace procedures, product and manufacturing specifications associated with this unit.</w:t>
      </w:r>
    </w:p>
    <w:p w:rsidR="00000000" w:rsidRPr="00D81B88" w:rsidP="00D81B88">
      <w:pPr>
        <w:pStyle w:val="ListBullet"/>
      </w:pPr>
      <w:r w:rsidRPr="00D81B88">
        <w:t>The regulatory framework will be reflected in workplace polic</w:t>
      </w:r>
      <w:r w:rsidRPr="00D81B88">
        <w:t>ies and procedures and is not required to be independently assessed.</w:t>
      </w:r>
    </w:p>
    <w:p w:rsidR="00000000" w:rsidRPr="00D81B88" w:rsidP="00D81B88">
      <w:pPr>
        <w:pStyle w:val="ListBullet"/>
      </w:pPr>
      <w:r w:rsidRPr="00D81B88">
        <w:t>Foundation skills are integral to competent performance of the unit and should not be assessed separately.</w:t>
      </w:r>
    </w:p>
    <w:p w:rsidR="00000000" w:rsidRPr="00D81B88" w:rsidP="00D81B88">
      <w:pPr>
        <w:pStyle w:val="ListBullet"/>
      </w:pPr>
      <w:r w:rsidRPr="00D81B88">
        <w:t>As a minimum, assessors must satisfy the Standards for Registered Training Organ</w:t>
      </w:r>
      <w:r w:rsidRPr="00D81B88">
        <w:t>isations 2015 assessor requirements.</w:t>
      </w:r>
    </w:p>
    <w:p w:rsidR="00000000" w:rsidRPr="00D81B88" w:rsidP="00D81B88">
      <w:pPr>
        <w:pStyle w:val="AllowPageBreak"/>
      </w:pPr>
    </w:p>
    <w:p w:rsidR="00000000" w:rsidRPr="00D81B88" w:rsidP="00D81B88">
      <w:pPr>
        <w:pStyle w:val="Heading1"/>
      </w:pPr>
      <w:bookmarkStart w:id="5" w:name="O_939329"/>
      <w:bookmarkEnd w:id="5"/>
      <w:r w:rsidRPr="00D81B88">
        <w:t>Links</w:t>
      </w:r>
    </w:p>
    <w:p w:rsidR="00000000" w:rsidRPr="00D81B88" w:rsidP="00DC0F32">
      <w:pPr>
        <w:pStyle w:val="BodyText"/>
      </w:pPr>
      <w:r w:rsidRPr="00D81B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610D10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D81B88" w:rsidP="00D81B88"/>
    <w:sectPr w:rsidSect="00D81B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B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B88" w:rsidRPr="00DC0F32" w:rsidP="00DC0F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B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F32" w:rsidP="00D81B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0F32" w:rsidP="00D81B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C0F32" w:rsidP="00D81B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B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F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1B88" w:rsidRPr="00DC0F32" w:rsidP="00DC0F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B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F32" w:rsidRPr="002D2AF8" w:rsidP="00D81B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MSMPER300 Issue work permits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C0F32" w:rsidP="00D81B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E026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9002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FA48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B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1B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1B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1B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1B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1B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1B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1B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1B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1B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1B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1B88"/>
  </w:style>
  <w:style w:type="character" w:customStyle="1" w:styleId="Heading1Char">
    <w:name w:val="Heading 1 Char"/>
    <w:basedOn w:val="DefaultParagraphFont"/>
    <w:link w:val="Heading1"/>
    <w:rsid w:val="00D81B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1B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1B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1B8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1B8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1B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1B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1B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1B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1B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1B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1B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1B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1B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1B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1B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1B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1B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1B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1B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1B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1B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1B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1B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1B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1B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1B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1B88"/>
    <w:rPr>
      <w:b/>
      <w:spacing w:val="0"/>
    </w:rPr>
  </w:style>
  <w:style w:type="paragraph" w:customStyle="1" w:styleId="SuperTitle">
    <w:name w:val="SuperTitle"/>
    <w:basedOn w:val="Title"/>
    <w:rsid w:val="00D81B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1B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1B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1B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1B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1B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1B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1B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1B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1B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1B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1B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1B88"/>
    <w:rPr>
      <w:i/>
    </w:rPr>
  </w:style>
  <w:style w:type="paragraph" w:styleId="Caption">
    <w:name w:val="caption"/>
    <w:basedOn w:val="BodyText"/>
    <w:next w:val="Normal"/>
    <w:qFormat/>
    <w:rsid w:val="00D81B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1B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1B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1B88"/>
  </w:style>
  <w:style w:type="paragraph" w:styleId="TableofFigures">
    <w:name w:val="table of figures"/>
    <w:basedOn w:val="Normal"/>
    <w:next w:val="Normal"/>
    <w:semiHidden/>
    <w:rsid w:val="00D81B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1B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1B88"/>
    <w:rPr>
      <w:rFonts w:ascii="Wingdings" w:hAnsi="Wingdings"/>
    </w:rPr>
  </w:style>
  <w:style w:type="paragraph" w:customStyle="1" w:styleId="TableHeading">
    <w:name w:val="Table Heading"/>
    <w:basedOn w:val="HeadingBase"/>
    <w:rsid w:val="00D81B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1B88"/>
    <w:rPr>
      <w:color w:val="0033CC"/>
      <w:u w:val="none"/>
    </w:rPr>
  </w:style>
  <w:style w:type="paragraph" w:customStyle="1" w:styleId="BodyTextRight">
    <w:name w:val="Body Text Right"/>
    <w:basedOn w:val="BodyText"/>
    <w:rsid w:val="00D81B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1B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1B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1B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1B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1B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1B88"/>
    <w:rPr>
      <w:sz w:val="32"/>
    </w:rPr>
  </w:style>
  <w:style w:type="paragraph" w:customStyle="1" w:styleId="HeadingProcedure">
    <w:name w:val="Heading Procedure"/>
    <w:basedOn w:val="HeadingBase"/>
    <w:next w:val="Normal"/>
    <w:rsid w:val="00D81B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1B88"/>
    <w:pPr>
      <w:spacing w:before="60" w:after="60"/>
    </w:pPr>
  </w:style>
  <w:style w:type="paragraph" w:styleId="ListContinue">
    <w:name w:val="List Continue"/>
    <w:basedOn w:val="List"/>
    <w:rsid w:val="00D81B88"/>
    <w:pPr>
      <w:ind w:firstLine="0"/>
    </w:pPr>
  </w:style>
  <w:style w:type="paragraph" w:customStyle="1" w:styleId="ListNote">
    <w:name w:val="List Note"/>
    <w:basedOn w:val="List"/>
    <w:rsid w:val="00D81B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1B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1B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1B88"/>
    <w:rPr>
      <w:rFonts w:ascii="Courier New" w:hAnsi="Courier New"/>
    </w:rPr>
  </w:style>
  <w:style w:type="paragraph" w:customStyle="1" w:styleId="NoteBullet">
    <w:name w:val="Note Bullet"/>
    <w:basedOn w:val="Note"/>
    <w:rsid w:val="00D81B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1B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1B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1B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1B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1B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1B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1B88"/>
    <w:rPr>
      <w:b/>
      <w:smallCaps/>
    </w:rPr>
  </w:style>
  <w:style w:type="paragraph" w:customStyle="1" w:styleId="TableListNumber">
    <w:name w:val="Table List Number"/>
    <w:basedOn w:val="ListNumber"/>
    <w:rsid w:val="00D81B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1B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1B88"/>
    <w:pPr>
      <w:numPr>
        <w:numId w:val="9"/>
      </w:numPr>
    </w:pPr>
  </w:style>
  <w:style w:type="paragraph" w:customStyle="1" w:styleId="ListAlpha2">
    <w:name w:val="List Alpha 2"/>
    <w:basedOn w:val="List2"/>
    <w:rsid w:val="00D81B88"/>
    <w:pPr>
      <w:numPr>
        <w:numId w:val="8"/>
      </w:numPr>
    </w:pPr>
  </w:style>
  <w:style w:type="paragraph" w:styleId="List2">
    <w:name w:val="List 2"/>
    <w:basedOn w:val="BodyText"/>
    <w:rsid w:val="00D81B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1B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1B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1B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1B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1B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1B88"/>
    <w:pPr>
      <w:numPr>
        <w:numId w:val="4"/>
      </w:numPr>
    </w:pPr>
  </w:style>
  <w:style w:type="paragraph" w:styleId="ListContinue2">
    <w:name w:val="List Continue 2"/>
    <w:basedOn w:val="List2"/>
    <w:rsid w:val="00D81B88"/>
    <w:pPr>
      <w:ind w:firstLine="0"/>
    </w:pPr>
  </w:style>
  <w:style w:type="paragraph" w:styleId="ListContinue3">
    <w:name w:val="List Continue 3"/>
    <w:basedOn w:val="List3"/>
    <w:rsid w:val="00D81B88"/>
    <w:pPr>
      <w:ind w:left="1021" w:firstLine="0"/>
    </w:pPr>
  </w:style>
  <w:style w:type="paragraph" w:styleId="ListContinue4">
    <w:name w:val="List Continue 4"/>
    <w:basedOn w:val="List4"/>
    <w:rsid w:val="00D81B88"/>
    <w:pPr>
      <w:ind w:firstLine="0"/>
    </w:pPr>
  </w:style>
  <w:style w:type="paragraph" w:styleId="ListContinue5">
    <w:name w:val="List Continue 5"/>
    <w:basedOn w:val="List5"/>
    <w:rsid w:val="00D81B88"/>
    <w:pPr>
      <w:ind w:firstLine="0"/>
    </w:pPr>
  </w:style>
  <w:style w:type="paragraph" w:styleId="ListNumber3">
    <w:name w:val="List Number 3"/>
    <w:basedOn w:val="List3"/>
    <w:rsid w:val="00D81B88"/>
    <w:pPr>
      <w:numPr>
        <w:numId w:val="5"/>
      </w:numPr>
    </w:pPr>
  </w:style>
  <w:style w:type="paragraph" w:styleId="ListNumber4">
    <w:name w:val="List Number 4"/>
    <w:basedOn w:val="List4"/>
    <w:rsid w:val="00D81B88"/>
    <w:pPr>
      <w:numPr>
        <w:numId w:val="6"/>
      </w:numPr>
    </w:pPr>
  </w:style>
  <w:style w:type="paragraph" w:styleId="ListNumber5">
    <w:name w:val="List Number 5"/>
    <w:basedOn w:val="List5"/>
    <w:rsid w:val="00D81B88"/>
    <w:pPr>
      <w:numPr>
        <w:numId w:val="7"/>
      </w:numPr>
    </w:pPr>
  </w:style>
  <w:style w:type="paragraph" w:styleId="BlockText">
    <w:name w:val="Block Text"/>
    <w:basedOn w:val="Normal"/>
    <w:rsid w:val="00D81B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1B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1B88"/>
    <w:rPr>
      <w:sz w:val="16"/>
      <w:vertAlign w:val="superscript"/>
    </w:rPr>
  </w:style>
  <w:style w:type="character" w:customStyle="1" w:styleId="Symbols">
    <w:name w:val="Symbols"/>
    <w:basedOn w:val="DefaultParagraphFont"/>
    <w:rsid w:val="00D81B88"/>
    <w:rPr>
      <w:rFonts w:ascii="Symbol" w:hAnsi="Symbol"/>
    </w:rPr>
  </w:style>
  <w:style w:type="character" w:customStyle="1" w:styleId="MenuOptions">
    <w:name w:val="Menu Options"/>
    <w:basedOn w:val="DefaultParagraphFont"/>
    <w:rsid w:val="00D81B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1B88"/>
    <w:rPr>
      <w:b/>
    </w:rPr>
  </w:style>
  <w:style w:type="character" w:customStyle="1" w:styleId="Underlined">
    <w:name w:val="Underlined"/>
    <w:basedOn w:val="DefaultParagraphFont"/>
    <w:rsid w:val="00D81B88"/>
    <w:rPr>
      <w:u w:val="single"/>
    </w:rPr>
  </w:style>
  <w:style w:type="paragraph" w:customStyle="1" w:styleId="TableBodyTextRight">
    <w:name w:val="Table Body Text Right"/>
    <w:basedOn w:val="TableBodyText"/>
    <w:rsid w:val="00D81B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1B88"/>
    <w:rPr>
      <w:sz w:val="18"/>
    </w:rPr>
  </w:style>
  <w:style w:type="paragraph" w:customStyle="1" w:styleId="BodySmallRight">
    <w:name w:val="Body Small Right"/>
    <w:basedOn w:val="BodyTextRight"/>
    <w:rsid w:val="00D81B88"/>
    <w:rPr>
      <w:sz w:val="18"/>
      <w:szCs w:val="18"/>
    </w:rPr>
  </w:style>
  <w:style w:type="paragraph" w:customStyle="1" w:styleId="MarginEdition">
    <w:name w:val="Margin Edition"/>
    <w:basedOn w:val="MarginNote"/>
    <w:rsid w:val="00D81B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1B88"/>
    <w:rPr>
      <w:sz w:val="2"/>
      <w:szCs w:val="2"/>
    </w:rPr>
  </w:style>
  <w:style w:type="character" w:customStyle="1" w:styleId="Small">
    <w:name w:val="Small"/>
    <w:basedOn w:val="DefaultParagraphFont"/>
    <w:rsid w:val="00D81B88"/>
    <w:rPr>
      <w:sz w:val="16"/>
    </w:rPr>
  </w:style>
  <w:style w:type="paragraph" w:customStyle="1" w:styleId="WideTable">
    <w:name w:val="Wide Table"/>
    <w:basedOn w:val="Normal"/>
    <w:rsid w:val="00D81B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1B88"/>
  </w:style>
  <w:style w:type="paragraph" w:styleId="Quote">
    <w:name w:val="Quote"/>
    <w:basedOn w:val="Heading1"/>
    <w:link w:val="QuoteChar"/>
    <w:qFormat/>
    <w:rsid w:val="00D81B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1B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1B88"/>
    <w:pPr>
      <w:pageBreakBefore/>
    </w:pPr>
  </w:style>
  <w:style w:type="paragraph" w:customStyle="1" w:styleId="Border">
    <w:name w:val="Border"/>
    <w:basedOn w:val="Normal"/>
    <w:qFormat/>
    <w:rsid w:val="00D81B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1B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1B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1B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1B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1B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1B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1B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1B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1B88"/>
    <w:rPr>
      <w:u w:val="single"/>
    </w:rPr>
  </w:style>
  <w:style w:type="character" w:customStyle="1" w:styleId="BoldandItalics">
    <w:name w:val="Bold and Italics"/>
    <w:qFormat/>
    <w:rsid w:val="00D81B88"/>
    <w:rPr>
      <w:b/>
      <w:i/>
      <w:u w:val="none"/>
    </w:rPr>
  </w:style>
  <w:style w:type="paragraph" w:styleId="BalloonText">
    <w:name w:val="Balloon Text"/>
    <w:basedOn w:val="Normal"/>
    <w:link w:val="BalloonTextChar"/>
    <w:rsid w:val="00D81B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1B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1B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1B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1B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1B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1B88"/>
    <w:pPr>
      <w:spacing w:before="0" w:after="0"/>
    </w:pPr>
  </w:style>
  <w:style w:type="paragraph" w:customStyle="1" w:styleId="BodyTextBold">
    <w:name w:val="Body Text Bold"/>
    <w:basedOn w:val="BodyText"/>
    <w:qFormat/>
    <w:rsid w:val="00D81B88"/>
    <w:rPr>
      <w:b/>
    </w:rPr>
  </w:style>
  <w:style w:type="character" w:styleId="Hyperlink">
    <w:name w:val="Hyperlink"/>
    <w:basedOn w:val="DefaultParagraphFont"/>
    <w:uiPriority w:val="99"/>
    <w:unhideWhenUsed/>
    <w:rsid w:val="00DC0F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3650</Characters>
  <Application>Microsoft Office Word</Application>
  <DocSecurity>0</DocSecurity>
  <Lines>86</Lines>
  <Paragraphs>67</Paragraphs>
  <ScaleCrop>false</ScaleCrop>
  <Company>Author-it Software Corporation Ltd.</Company>
  <LinksUpToDate>false</LinksUpToDate>
  <CharactersWithSpaces>4147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MSMPER300 Issue work permits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2023-02-03T05:50:00Z</dcterms:created>
  <dcterms:modified xsi:type="dcterms:W3CDTF">2023-02-03T05:50:00Z</dcterms:modified>
</cp:coreProperties>
</file>