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2B7" w:rsidP="00CA72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MSMPER202 Observe permit work</w:t>
      </w:r>
      <w:r>
        <w:fldChar w:fldCharType="end"/>
      </w:r>
    </w:p>
    <w:p w:rsidR="00CA72B7" w:rsidP="00CA72B7">
      <w:pPr>
        <w:pStyle w:val="Version"/>
        <w:sectPr w:rsidSect="000549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9DE" w:rsidP="000549DE">
      <w:pPr>
        <w:pStyle w:val="SuperHeading"/>
      </w:pPr>
      <w:r w:rsidRPr="000549DE">
        <w:t>Assessment Requirements for MSMPER202 Observe permit work</w:t>
      </w:r>
    </w:p>
    <w:p w:rsidR="00000000" w:rsidRPr="000549DE" w:rsidP="000549DE">
      <w:pPr>
        <w:pStyle w:val="Heading1"/>
      </w:pPr>
      <w:bookmarkStart w:id="1" w:name="O_871224"/>
      <w:bookmarkEnd w:id="1"/>
      <w:r w:rsidRPr="000549DE">
        <w:t>Modification History</w:t>
      </w:r>
    </w:p>
    <w:p w:rsidR="00000000" w:rsidRPr="000549DE" w:rsidP="00CA72B7">
      <w:pPr>
        <w:pStyle w:val="BodyText"/>
      </w:pPr>
      <w:r w:rsidRPr="000549DE">
        <w:t>Release 1. Supersedes and is equivalent to MSAPMPER202A Observe permit work</w:t>
      </w:r>
    </w:p>
    <w:p w:rsidR="00000000" w:rsidRPr="000549DE" w:rsidP="000549DE">
      <w:pPr>
        <w:pStyle w:val="Heading1"/>
      </w:pPr>
      <w:bookmarkStart w:id="2" w:name="O_871227"/>
      <w:bookmarkEnd w:id="2"/>
      <w:r w:rsidRPr="000549DE">
        <w:t>Performance Evidence</w:t>
      </w:r>
    </w:p>
    <w:p w:rsidR="00000000" w:rsidRPr="000549DE" w:rsidP="00CA72B7">
      <w:pPr>
        <w:pStyle w:val="BodyText"/>
      </w:pPr>
      <w:r w:rsidRPr="000549DE">
        <w:t>Evidence required to demonstrate competence in this unit must be relevant to and satisfy the requirements</w:t>
      </w:r>
      <w:r w:rsidRPr="000549DE">
        <w:t xml:space="preserve"> of the elements and performance criteria and demonstrate the ability to:</w:t>
      </w:r>
    </w:p>
    <w:p w:rsidR="00000000" w:rsidRPr="000549DE" w:rsidP="000549DE">
      <w:pPr>
        <w:pStyle w:val="ListBullet"/>
      </w:pPr>
      <w:r w:rsidRPr="000549DE">
        <w:t>read and interpret the safety and hazard control requirements of permit conditions</w:t>
      </w:r>
    </w:p>
    <w:p w:rsidR="00000000" w:rsidRPr="000549DE" w:rsidP="000549DE">
      <w:pPr>
        <w:pStyle w:val="ListBullet"/>
      </w:pPr>
      <w:r w:rsidRPr="000549DE">
        <w:t xml:space="preserve">prepare a rescue/incident response plan in accordance with procedures </w:t>
      </w:r>
    </w:p>
    <w:p w:rsidR="00000000" w:rsidRPr="000549DE" w:rsidP="000549DE">
      <w:pPr>
        <w:pStyle w:val="ListBullet"/>
      </w:pPr>
      <w:r w:rsidRPr="000549DE">
        <w:t>ensure workable rescue/inci</w:t>
      </w:r>
      <w:r w:rsidRPr="000549DE">
        <w:t>dent response plan is in place and aligns with procedures and permit conditions</w:t>
      </w:r>
    </w:p>
    <w:p w:rsidR="00000000" w:rsidRPr="000549DE" w:rsidP="000549DE">
      <w:pPr>
        <w:pStyle w:val="ListBullet"/>
      </w:pPr>
      <w:r w:rsidRPr="000549DE">
        <w:t>ensure first response equipment is available and in working condition</w:t>
      </w:r>
    </w:p>
    <w:p w:rsidR="00000000" w:rsidRPr="000549DE" w:rsidP="000549DE">
      <w:pPr>
        <w:pStyle w:val="ListBullet"/>
      </w:pPr>
      <w:r w:rsidRPr="000549DE">
        <w:t>observe safety and hazard aspects of work activities under the permit and monitor conformance to permit co</w:t>
      </w:r>
      <w:r w:rsidRPr="000549DE">
        <w:t>nditions</w:t>
      </w:r>
    </w:p>
    <w:p w:rsidR="00000000" w:rsidRPr="000549DE" w:rsidP="000549DE">
      <w:pPr>
        <w:pStyle w:val="ListBullet"/>
      </w:pPr>
      <w:r w:rsidRPr="000549DE">
        <w:t>communicate effectively with team/work group and other personnel to:</w:t>
      </w:r>
    </w:p>
    <w:p w:rsidR="00000000" w:rsidRPr="000549DE" w:rsidP="000549DE">
      <w:pPr>
        <w:pStyle w:val="ListBullet2"/>
      </w:pPr>
      <w:r w:rsidRPr="000549DE">
        <w:t>explain and implement safety and incident response procedures</w:t>
      </w:r>
    </w:p>
    <w:p w:rsidR="00000000" w:rsidRPr="000549DE" w:rsidP="000549DE">
      <w:pPr>
        <w:pStyle w:val="ListBullet2"/>
      </w:pPr>
      <w:r w:rsidRPr="000549DE">
        <w:t>explain the requirements of the permit</w:t>
      </w:r>
    </w:p>
    <w:p w:rsidR="00000000" w:rsidRPr="000549DE" w:rsidP="000549DE">
      <w:pPr>
        <w:pStyle w:val="ListBullet2"/>
      </w:pPr>
      <w:r w:rsidRPr="000549DE">
        <w:t xml:space="preserve">withdraw or cause work to cease outside permit conditions </w:t>
      </w:r>
    </w:p>
    <w:p w:rsidR="00000000" w:rsidRPr="000549DE" w:rsidP="000549DE">
      <w:pPr>
        <w:pStyle w:val="ListBullet2"/>
      </w:pPr>
      <w:r w:rsidRPr="000549DE">
        <w:t>control entry to and exit from the job site</w:t>
      </w:r>
    </w:p>
    <w:p w:rsidR="00000000" w:rsidRPr="000549DE" w:rsidP="000549DE">
      <w:pPr>
        <w:pStyle w:val="ListBullet2"/>
      </w:pPr>
      <w:r w:rsidRPr="000549DE">
        <w:t>handover to oncoming safety observer</w:t>
      </w:r>
    </w:p>
    <w:p w:rsidR="00000000" w:rsidRPr="000549DE" w:rsidP="000549DE">
      <w:pPr>
        <w:pStyle w:val="ListBullet"/>
      </w:pPr>
      <w:r w:rsidRPr="000549DE">
        <w:t>speak clearly and unambiguously in the language of the worksite</w:t>
      </w:r>
    </w:p>
    <w:p w:rsidR="00000000" w:rsidRPr="000549DE" w:rsidP="000549DE">
      <w:pPr>
        <w:pStyle w:val="ListBullet"/>
      </w:pPr>
      <w:r w:rsidRPr="000549DE">
        <w:t>complete workplace forms and reports.</w:t>
      </w:r>
    </w:p>
    <w:p w:rsidR="00000000" w:rsidRPr="000549DE" w:rsidP="000549DE">
      <w:pPr>
        <w:pStyle w:val="AllowPageBreak"/>
      </w:pPr>
    </w:p>
    <w:p w:rsidR="00000000" w:rsidRPr="000549DE" w:rsidP="000549DE">
      <w:pPr>
        <w:pStyle w:val="Heading1"/>
      </w:pPr>
      <w:bookmarkStart w:id="3" w:name="O_871226"/>
      <w:bookmarkEnd w:id="3"/>
      <w:r w:rsidRPr="000549DE">
        <w:t>Knowledge Evidence</w:t>
      </w:r>
    </w:p>
    <w:p w:rsidR="00000000" w:rsidRPr="000549DE" w:rsidP="00CA72B7">
      <w:pPr>
        <w:pStyle w:val="BodyText"/>
      </w:pPr>
      <w:r w:rsidRPr="000549DE">
        <w:t>Evidence must be provided that demon</w:t>
      </w:r>
      <w:r w:rsidRPr="000549DE">
        <w:t>strates knowledge of:</w:t>
      </w:r>
    </w:p>
    <w:p w:rsidR="00000000" w:rsidRPr="000549DE" w:rsidP="000549DE">
      <w:pPr>
        <w:pStyle w:val="ListBullet"/>
      </w:pPr>
      <w:r w:rsidRPr="000549DE">
        <w:t>organisation procedures, including:</w:t>
      </w:r>
    </w:p>
    <w:p w:rsidR="00000000" w:rsidRPr="000549DE" w:rsidP="000549DE">
      <w:pPr>
        <w:pStyle w:val="ListBullet2"/>
      </w:pPr>
      <w:r w:rsidRPr="000549DE">
        <w:t>work permit systems</w:t>
      </w:r>
    </w:p>
    <w:p w:rsidR="00000000" w:rsidRPr="000549DE" w:rsidP="000549DE">
      <w:pPr>
        <w:pStyle w:val="ListBullet2"/>
      </w:pPr>
      <w:r w:rsidRPr="000549DE">
        <w:t>safety, emergency and hazard control</w:t>
      </w:r>
    </w:p>
    <w:p w:rsidR="00000000" w:rsidRPr="000549DE" w:rsidP="000549DE">
      <w:pPr>
        <w:pStyle w:val="ListBullet2"/>
      </w:pPr>
      <w:r w:rsidRPr="000549DE">
        <w:t xml:space="preserve">incident response </w:t>
      </w:r>
    </w:p>
    <w:p w:rsidR="00000000" w:rsidRPr="000549DE" w:rsidP="000549DE">
      <w:pPr>
        <w:pStyle w:val="ListBullet2"/>
      </w:pPr>
      <w:r w:rsidRPr="000549DE">
        <w:t>relevant organisation procedures</w:t>
      </w:r>
    </w:p>
    <w:p w:rsidR="00000000" w:rsidRPr="000549DE" w:rsidP="000549DE">
      <w:pPr>
        <w:pStyle w:val="ListBullet"/>
      </w:pPr>
      <w:r w:rsidRPr="000549DE">
        <w:t>hazards that may arise in the job and plant, including:</w:t>
      </w:r>
    </w:p>
    <w:p w:rsidR="00000000" w:rsidRPr="000549DE" w:rsidP="000549DE">
      <w:pPr>
        <w:pStyle w:val="ListBullet2"/>
      </w:pPr>
      <w:r w:rsidRPr="000549DE">
        <w:t xml:space="preserve">their possible causes </w:t>
      </w:r>
    </w:p>
    <w:p w:rsidR="00000000" w:rsidRPr="000549DE" w:rsidP="000549DE">
      <w:pPr>
        <w:pStyle w:val="ListBullet2"/>
      </w:pPr>
      <w:r w:rsidRPr="000549DE">
        <w:t>potential consequences</w:t>
      </w:r>
    </w:p>
    <w:p w:rsidR="00000000" w:rsidRPr="000549DE" w:rsidP="000549DE">
      <w:pPr>
        <w:pStyle w:val="ListBullet2"/>
      </w:pPr>
      <w:r w:rsidRPr="000549DE">
        <w:t xml:space="preserve">appropriate risk controls </w:t>
      </w:r>
    </w:p>
    <w:p w:rsidR="00000000" w:rsidRPr="000549DE" w:rsidP="000549DE">
      <w:pPr>
        <w:pStyle w:val="ListBullet"/>
      </w:pPr>
      <w:r w:rsidRPr="000549DE">
        <w:t>types of permits, what they cover and associated hazards</w:t>
      </w:r>
    </w:p>
    <w:p w:rsidR="00000000" w:rsidRPr="000549DE" w:rsidP="000549DE">
      <w:pPr>
        <w:pStyle w:val="ListBullet"/>
      </w:pPr>
      <w:r w:rsidRPr="000549DE">
        <w:t>scope and limitations of own role and responsibilities.</w:t>
      </w:r>
    </w:p>
    <w:p w:rsidR="00000000" w:rsidRPr="000549DE" w:rsidP="000549DE">
      <w:pPr>
        <w:pStyle w:val="AllowPageBreak"/>
      </w:pPr>
    </w:p>
    <w:p w:rsidR="00000000" w:rsidRPr="000549DE" w:rsidP="000549DE">
      <w:pPr>
        <w:pStyle w:val="Heading1"/>
      </w:pPr>
      <w:bookmarkStart w:id="4" w:name="O_871225"/>
      <w:bookmarkEnd w:id="4"/>
      <w:r w:rsidRPr="000549DE">
        <w:t>Assessment Conditions</w:t>
      </w:r>
    </w:p>
    <w:p w:rsidR="00000000" w:rsidRPr="000549DE" w:rsidP="000549DE">
      <w:pPr>
        <w:pStyle w:val="ListBullet"/>
      </w:pPr>
      <w:r w:rsidRPr="000549DE">
        <w:t>Competency must be achieved before performing this w</w:t>
      </w:r>
      <w:r w:rsidRPr="000549DE">
        <w:t>ork unsupervised. Therefore this unit will typically be assessed off the job. Where assessment is undertaken on the job appropriate supervision and safety precautions must be provided.</w:t>
      </w:r>
    </w:p>
    <w:p w:rsidR="00000000" w:rsidRPr="000549DE" w:rsidP="000549DE">
      <w:pPr>
        <w:pStyle w:val="ListBullet"/>
      </w:pPr>
      <w:r w:rsidRPr="000549DE">
        <w:t>The unit should be assessed holistically and the judgement of competenc</w:t>
      </w:r>
      <w:r w:rsidRPr="000549DE">
        <w:t xml:space="preserve">e based on a holistic assessment of the evidence. </w:t>
      </w:r>
    </w:p>
    <w:p w:rsidR="00000000" w:rsidRPr="000549DE" w:rsidP="000549DE">
      <w:pPr>
        <w:pStyle w:val="ListBullet"/>
      </w:pPr>
      <w:r w:rsidRPr="000549DE">
        <w:t>The collection of performance evidence:</w:t>
      </w:r>
    </w:p>
    <w:p w:rsidR="00000000" w:rsidRPr="000549DE" w:rsidP="000549DE">
      <w:pPr>
        <w:pStyle w:val="ListBullet2"/>
      </w:pPr>
      <w:r w:rsidRPr="000549DE">
        <w:t>should provide evidence of the ability to perform over the range of situations which might be expected to be encountered, including typical disruptions to normal, s</w:t>
      </w:r>
      <w:r w:rsidRPr="000549DE">
        <w:t>mooth work conditions</w:t>
      </w:r>
    </w:p>
    <w:p w:rsidR="00000000" w:rsidRPr="000549DE" w:rsidP="000549DE">
      <w:pPr>
        <w:pStyle w:val="ListBullet2"/>
      </w:pPr>
      <w:r w:rsidRPr="000549DE">
        <w:t>must include the use of typical permits and situations</w:t>
      </w:r>
    </w:p>
    <w:p w:rsidR="00000000" w:rsidRPr="000549DE" w:rsidP="000549DE">
      <w:pPr>
        <w:pStyle w:val="ListBullet2"/>
      </w:pPr>
      <w:r w:rsidRPr="000549DE">
        <w:t>may use industry-based simulation particularly where safety, lack of opportunity or significant cost is an issue.</w:t>
      </w:r>
    </w:p>
    <w:p w:rsidR="00000000" w:rsidRPr="000549DE" w:rsidP="000549DE">
      <w:pPr>
        <w:pStyle w:val="ListBullet"/>
      </w:pPr>
      <w:r w:rsidRPr="000549DE">
        <w:t>Off-the-job assessment must sufficiently reflect realistic opera</w:t>
      </w:r>
      <w:r w:rsidRPr="000549DE">
        <w:t xml:space="preserve">tional workplace conditions that cover all aspects of workplace performance including environment, task skills, task management skills, contingency management skills and job role environment skills.  </w:t>
      </w:r>
    </w:p>
    <w:p w:rsidR="00000000" w:rsidRPr="000549DE" w:rsidP="000549DE">
      <w:pPr>
        <w:pStyle w:val="ListBullet"/>
      </w:pPr>
      <w:r w:rsidRPr="000549DE">
        <w:t xml:space="preserve">Assessment </w:t>
      </w:r>
      <w:r w:rsidRPr="000549DE">
        <w:t xml:space="preserve">in a simulated environment should use evidence collected from one or more of: </w:t>
      </w:r>
    </w:p>
    <w:p w:rsidR="00000000" w:rsidRPr="000549DE" w:rsidP="000549DE">
      <w:pPr>
        <w:pStyle w:val="ListBullet2"/>
      </w:pPr>
      <w:r w:rsidRPr="000549DE">
        <w:t>walk-throughs</w:t>
      </w:r>
    </w:p>
    <w:p w:rsidR="00000000" w:rsidRPr="000549DE" w:rsidP="000549DE">
      <w:pPr>
        <w:pStyle w:val="ListBullet2"/>
      </w:pPr>
      <w:r w:rsidRPr="000549DE">
        <w:t xml:space="preserve">demonstration of skills </w:t>
      </w:r>
    </w:p>
    <w:p w:rsidR="00000000" w:rsidRPr="000549DE" w:rsidP="000549DE">
      <w:pPr>
        <w:pStyle w:val="ListBullet2"/>
      </w:pPr>
      <w:r w:rsidRPr="000549DE">
        <w:t xml:space="preserve">industry-based case studies/scenarios </w:t>
      </w:r>
    </w:p>
    <w:p w:rsidR="00000000" w:rsidRPr="000549DE" w:rsidP="000549DE">
      <w:pPr>
        <w:pStyle w:val="ListBullet2"/>
      </w:pPr>
      <w:r w:rsidRPr="000549DE">
        <w:t>‘what ifs’.</w:t>
      </w:r>
    </w:p>
    <w:p w:rsidR="00000000" w:rsidRPr="000549DE" w:rsidP="000549DE">
      <w:pPr>
        <w:pStyle w:val="ListBullet"/>
      </w:pPr>
      <w:r w:rsidRPr="000549DE">
        <w:t xml:space="preserve">Knowledge evidence may be collected concurrently with performance evidence (provided </w:t>
      </w:r>
      <w:r w:rsidRPr="000549DE">
        <w:t xml:space="preserve">a record is kept) or through an independent process, such as workbooks, written assessments or interviews (provided a record is kept). </w:t>
      </w:r>
    </w:p>
    <w:p w:rsidR="00000000" w:rsidRPr="000549DE" w:rsidP="000549DE">
      <w:pPr>
        <w:pStyle w:val="ListBullet"/>
      </w:pPr>
      <w:r w:rsidRPr="000549DE">
        <w:t xml:space="preserve">Assessment processes and techniques must be appropriate to the language, literacy and numeracy requirements of the work </w:t>
      </w:r>
      <w:r w:rsidRPr="000549DE">
        <w:t>being performed and the needs of the candidate.</w:t>
      </w:r>
    </w:p>
    <w:p w:rsidR="00000000" w:rsidRPr="000549DE" w:rsidP="000549DE">
      <w:pPr>
        <w:pStyle w:val="ListBullet"/>
      </w:pPr>
      <w:r w:rsidRPr="000549DE">
        <w:t>Conditions for assessment must include access to all tools, equipment, materials and documentation required, including relevant workplace procedures, product and manufacturing specifications associated with t</w:t>
      </w:r>
      <w:r w:rsidRPr="000549DE">
        <w:t>his unit.</w:t>
      </w:r>
    </w:p>
    <w:p w:rsidR="00000000" w:rsidRPr="000549DE" w:rsidP="000549DE">
      <w:pPr>
        <w:pStyle w:val="ListBullet"/>
      </w:pPr>
      <w:r w:rsidRPr="000549DE">
        <w:t>The regulatory framework will be reflected in workplace policies and procedures and is not required to be independently assessed.</w:t>
      </w:r>
    </w:p>
    <w:p w:rsidR="00000000" w:rsidRPr="000549DE" w:rsidP="000549DE">
      <w:pPr>
        <w:pStyle w:val="ListBullet"/>
      </w:pPr>
      <w:r w:rsidRPr="000549DE">
        <w:t>Foundation skills are integral to competent performance of the unit and should not be assessed separately.</w:t>
      </w:r>
    </w:p>
    <w:p w:rsidR="00000000" w:rsidRPr="000549DE" w:rsidP="000549DE">
      <w:pPr>
        <w:pStyle w:val="ListBullet"/>
      </w:pPr>
      <w:r w:rsidRPr="000549DE">
        <w:t>As a mini</w:t>
      </w:r>
      <w:r w:rsidRPr="000549DE">
        <w:t>mum, assessors must satisfy the Standards for Registered Training Organisations 2015 assessor requirements.</w:t>
      </w:r>
    </w:p>
    <w:p w:rsidR="00000000" w:rsidRPr="000549DE" w:rsidP="000549DE">
      <w:pPr>
        <w:pStyle w:val="AllowPageBreak"/>
      </w:pPr>
    </w:p>
    <w:p w:rsidR="00000000" w:rsidRPr="000549DE" w:rsidP="000549DE">
      <w:pPr>
        <w:pStyle w:val="Heading1"/>
      </w:pPr>
      <w:bookmarkStart w:id="5" w:name="O_871223"/>
      <w:bookmarkEnd w:id="5"/>
      <w:r w:rsidRPr="000549DE">
        <w:t>Links</w:t>
      </w:r>
    </w:p>
    <w:p w:rsidR="00000000" w:rsidRPr="000549DE" w:rsidP="00CA72B7">
      <w:pPr>
        <w:pStyle w:val="BodyText"/>
      </w:pPr>
      <w:r w:rsidRPr="000549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E212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549DE" w:rsidP="000549DE"/>
    <w:sectPr w:rsidSect="000549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9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9DE" w:rsidRPr="00CA72B7" w:rsidP="00CA72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9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B7" w:rsidP="000549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72B7" w:rsidP="000549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72B7" w:rsidP="000549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9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9DE" w:rsidRPr="00CA72B7" w:rsidP="00CA72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9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B7" w:rsidRPr="002D2AF8" w:rsidP="000549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MSMPER202 Observe permit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A72B7" w:rsidP="000549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2CD9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8A2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6406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9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9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9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9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9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9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9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9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9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9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9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9DE"/>
  </w:style>
  <w:style w:type="character" w:customStyle="1" w:styleId="Heading1Char">
    <w:name w:val="Heading 1 Char"/>
    <w:basedOn w:val="DefaultParagraphFont"/>
    <w:link w:val="Heading1"/>
    <w:rsid w:val="000549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9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9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9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49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49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9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9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9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9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9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9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9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9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9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9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9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9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9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9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9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9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9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49DE"/>
    <w:rPr>
      <w:b/>
      <w:spacing w:val="0"/>
    </w:rPr>
  </w:style>
  <w:style w:type="paragraph" w:customStyle="1" w:styleId="SuperTitle">
    <w:name w:val="SuperTitle"/>
    <w:basedOn w:val="Title"/>
    <w:rsid w:val="000549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9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9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49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9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9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9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9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9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9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9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9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9DE"/>
    <w:rPr>
      <w:i/>
    </w:rPr>
  </w:style>
  <w:style w:type="paragraph" w:styleId="Caption">
    <w:name w:val="caption"/>
    <w:basedOn w:val="BodyText"/>
    <w:next w:val="Normal"/>
    <w:qFormat/>
    <w:rsid w:val="000549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9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9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9DE"/>
  </w:style>
  <w:style w:type="paragraph" w:styleId="TableofFigures">
    <w:name w:val="table of figures"/>
    <w:basedOn w:val="Normal"/>
    <w:next w:val="Normal"/>
    <w:semiHidden/>
    <w:rsid w:val="000549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9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49DE"/>
    <w:rPr>
      <w:rFonts w:ascii="Wingdings" w:hAnsi="Wingdings"/>
    </w:rPr>
  </w:style>
  <w:style w:type="paragraph" w:customStyle="1" w:styleId="TableHeading">
    <w:name w:val="Table Heading"/>
    <w:basedOn w:val="HeadingBase"/>
    <w:rsid w:val="000549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9DE"/>
    <w:rPr>
      <w:color w:val="0033CC"/>
      <w:u w:val="none"/>
    </w:rPr>
  </w:style>
  <w:style w:type="paragraph" w:customStyle="1" w:styleId="BodyTextRight">
    <w:name w:val="Body Text Right"/>
    <w:basedOn w:val="BodyText"/>
    <w:rsid w:val="000549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9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9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9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9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9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9DE"/>
    <w:rPr>
      <w:sz w:val="32"/>
    </w:rPr>
  </w:style>
  <w:style w:type="paragraph" w:customStyle="1" w:styleId="HeadingProcedure">
    <w:name w:val="Heading Procedure"/>
    <w:basedOn w:val="HeadingBase"/>
    <w:next w:val="Normal"/>
    <w:rsid w:val="000549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9DE"/>
    <w:pPr>
      <w:spacing w:before="60" w:after="60"/>
    </w:pPr>
  </w:style>
  <w:style w:type="paragraph" w:styleId="ListContinue">
    <w:name w:val="List Continue"/>
    <w:basedOn w:val="List"/>
    <w:rsid w:val="000549DE"/>
    <w:pPr>
      <w:ind w:firstLine="0"/>
    </w:pPr>
  </w:style>
  <w:style w:type="paragraph" w:customStyle="1" w:styleId="ListNote">
    <w:name w:val="List Note"/>
    <w:basedOn w:val="List"/>
    <w:rsid w:val="000549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9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9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9DE"/>
    <w:rPr>
      <w:rFonts w:ascii="Courier New" w:hAnsi="Courier New"/>
    </w:rPr>
  </w:style>
  <w:style w:type="paragraph" w:customStyle="1" w:styleId="NoteBullet">
    <w:name w:val="Note Bullet"/>
    <w:basedOn w:val="Note"/>
    <w:rsid w:val="000549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9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9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9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9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49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9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9DE"/>
    <w:rPr>
      <w:b/>
      <w:smallCaps/>
    </w:rPr>
  </w:style>
  <w:style w:type="paragraph" w:customStyle="1" w:styleId="TableListNumber">
    <w:name w:val="Table List Number"/>
    <w:basedOn w:val="ListNumber"/>
    <w:rsid w:val="000549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9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9DE"/>
    <w:pPr>
      <w:numPr>
        <w:numId w:val="9"/>
      </w:numPr>
    </w:pPr>
  </w:style>
  <w:style w:type="paragraph" w:customStyle="1" w:styleId="ListAlpha2">
    <w:name w:val="List Alpha 2"/>
    <w:basedOn w:val="List2"/>
    <w:rsid w:val="000549DE"/>
    <w:pPr>
      <w:numPr>
        <w:numId w:val="8"/>
      </w:numPr>
    </w:pPr>
  </w:style>
  <w:style w:type="paragraph" w:styleId="List2">
    <w:name w:val="List 2"/>
    <w:basedOn w:val="BodyText"/>
    <w:rsid w:val="000549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9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9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9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9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9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49DE"/>
    <w:pPr>
      <w:numPr>
        <w:numId w:val="4"/>
      </w:numPr>
    </w:pPr>
  </w:style>
  <w:style w:type="paragraph" w:styleId="ListContinue2">
    <w:name w:val="List Continue 2"/>
    <w:basedOn w:val="List2"/>
    <w:rsid w:val="000549DE"/>
    <w:pPr>
      <w:ind w:firstLine="0"/>
    </w:pPr>
  </w:style>
  <w:style w:type="paragraph" w:styleId="ListContinue3">
    <w:name w:val="List Continue 3"/>
    <w:basedOn w:val="List3"/>
    <w:rsid w:val="000549DE"/>
    <w:pPr>
      <w:ind w:left="1021" w:firstLine="0"/>
    </w:pPr>
  </w:style>
  <w:style w:type="paragraph" w:styleId="ListContinue4">
    <w:name w:val="List Continue 4"/>
    <w:basedOn w:val="List4"/>
    <w:rsid w:val="000549DE"/>
    <w:pPr>
      <w:ind w:firstLine="0"/>
    </w:pPr>
  </w:style>
  <w:style w:type="paragraph" w:styleId="ListContinue5">
    <w:name w:val="List Continue 5"/>
    <w:basedOn w:val="List5"/>
    <w:rsid w:val="000549DE"/>
    <w:pPr>
      <w:ind w:firstLine="0"/>
    </w:pPr>
  </w:style>
  <w:style w:type="paragraph" w:styleId="ListNumber3">
    <w:name w:val="List Number 3"/>
    <w:basedOn w:val="List3"/>
    <w:rsid w:val="000549DE"/>
    <w:pPr>
      <w:numPr>
        <w:numId w:val="5"/>
      </w:numPr>
    </w:pPr>
  </w:style>
  <w:style w:type="paragraph" w:styleId="ListNumber4">
    <w:name w:val="List Number 4"/>
    <w:basedOn w:val="List4"/>
    <w:rsid w:val="000549DE"/>
    <w:pPr>
      <w:numPr>
        <w:numId w:val="6"/>
      </w:numPr>
    </w:pPr>
  </w:style>
  <w:style w:type="paragraph" w:styleId="ListNumber5">
    <w:name w:val="List Number 5"/>
    <w:basedOn w:val="List5"/>
    <w:rsid w:val="000549DE"/>
    <w:pPr>
      <w:numPr>
        <w:numId w:val="7"/>
      </w:numPr>
    </w:pPr>
  </w:style>
  <w:style w:type="paragraph" w:styleId="BlockText">
    <w:name w:val="Block Text"/>
    <w:basedOn w:val="Normal"/>
    <w:rsid w:val="000549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9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9DE"/>
    <w:rPr>
      <w:sz w:val="16"/>
      <w:vertAlign w:val="superscript"/>
    </w:rPr>
  </w:style>
  <w:style w:type="character" w:customStyle="1" w:styleId="Symbols">
    <w:name w:val="Symbols"/>
    <w:basedOn w:val="DefaultParagraphFont"/>
    <w:rsid w:val="000549DE"/>
    <w:rPr>
      <w:rFonts w:ascii="Symbol" w:hAnsi="Symbol"/>
    </w:rPr>
  </w:style>
  <w:style w:type="character" w:customStyle="1" w:styleId="MenuOptions">
    <w:name w:val="Menu Options"/>
    <w:basedOn w:val="DefaultParagraphFont"/>
    <w:rsid w:val="000549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9DE"/>
    <w:rPr>
      <w:b/>
    </w:rPr>
  </w:style>
  <w:style w:type="character" w:customStyle="1" w:styleId="Underlined">
    <w:name w:val="Underlined"/>
    <w:basedOn w:val="DefaultParagraphFont"/>
    <w:rsid w:val="000549DE"/>
    <w:rPr>
      <w:u w:val="single"/>
    </w:rPr>
  </w:style>
  <w:style w:type="paragraph" w:customStyle="1" w:styleId="TableBodyTextRight">
    <w:name w:val="Table Body Text Right"/>
    <w:basedOn w:val="TableBodyText"/>
    <w:rsid w:val="000549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9DE"/>
    <w:rPr>
      <w:sz w:val="18"/>
    </w:rPr>
  </w:style>
  <w:style w:type="paragraph" w:customStyle="1" w:styleId="BodySmallRight">
    <w:name w:val="Body Small Right"/>
    <w:basedOn w:val="BodyTextRight"/>
    <w:rsid w:val="000549DE"/>
    <w:rPr>
      <w:sz w:val="18"/>
      <w:szCs w:val="18"/>
    </w:rPr>
  </w:style>
  <w:style w:type="paragraph" w:customStyle="1" w:styleId="MarginEdition">
    <w:name w:val="Margin Edition"/>
    <w:basedOn w:val="MarginNote"/>
    <w:rsid w:val="000549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9DE"/>
    <w:rPr>
      <w:sz w:val="2"/>
      <w:szCs w:val="2"/>
    </w:rPr>
  </w:style>
  <w:style w:type="character" w:customStyle="1" w:styleId="Small">
    <w:name w:val="Small"/>
    <w:basedOn w:val="DefaultParagraphFont"/>
    <w:rsid w:val="000549DE"/>
    <w:rPr>
      <w:sz w:val="16"/>
    </w:rPr>
  </w:style>
  <w:style w:type="paragraph" w:customStyle="1" w:styleId="WideTable">
    <w:name w:val="Wide Table"/>
    <w:basedOn w:val="Normal"/>
    <w:rsid w:val="000549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9DE"/>
  </w:style>
  <w:style w:type="paragraph" w:styleId="Quote">
    <w:name w:val="Quote"/>
    <w:basedOn w:val="Heading1"/>
    <w:link w:val="QuoteChar"/>
    <w:qFormat/>
    <w:rsid w:val="000549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9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9DE"/>
    <w:pPr>
      <w:pageBreakBefore/>
    </w:pPr>
  </w:style>
  <w:style w:type="paragraph" w:customStyle="1" w:styleId="Border">
    <w:name w:val="Border"/>
    <w:basedOn w:val="Normal"/>
    <w:qFormat/>
    <w:rsid w:val="000549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9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9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9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9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9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9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9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9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9DE"/>
    <w:rPr>
      <w:u w:val="single"/>
    </w:rPr>
  </w:style>
  <w:style w:type="character" w:customStyle="1" w:styleId="BoldandItalics">
    <w:name w:val="Bold and Italics"/>
    <w:qFormat/>
    <w:rsid w:val="000549DE"/>
    <w:rPr>
      <w:b/>
      <w:i/>
      <w:u w:val="none"/>
    </w:rPr>
  </w:style>
  <w:style w:type="paragraph" w:styleId="BalloonText">
    <w:name w:val="Balloon Text"/>
    <w:basedOn w:val="Normal"/>
    <w:link w:val="BalloonTextChar"/>
    <w:rsid w:val="000549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9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9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9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9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9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9DE"/>
    <w:pPr>
      <w:spacing w:before="0" w:after="0"/>
    </w:pPr>
  </w:style>
  <w:style w:type="paragraph" w:customStyle="1" w:styleId="BodyTextBold">
    <w:name w:val="Body Text Bold"/>
    <w:basedOn w:val="BodyText"/>
    <w:qFormat/>
    <w:rsid w:val="000549DE"/>
    <w:rPr>
      <w:b/>
    </w:rPr>
  </w:style>
  <w:style w:type="character" w:styleId="Hyperlink">
    <w:name w:val="Hyperlink"/>
    <w:basedOn w:val="DefaultParagraphFont"/>
    <w:uiPriority w:val="99"/>
    <w:unhideWhenUsed/>
    <w:rsid w:val="00CA72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3682</Characters>
  <Application>Microsoft Office Word</Application>
  <DocSecurity>0</DocSecurity>
  <Lines>85</Lines>
  <Paragraphs>64</Paragraphs>
  <ScaleCrop>false</ScaleCrop>
  <Company>Author-it Software Corporation Ltd.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MSMPER202 Observe permit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