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372" w:rsidP="00BC5372">
      <w:pPr>
        <w:pStyle w:val="Title"/>
      </w:pPr>
      <w:r>
        <w:fldChar w:fldCharType="begin"/>
      </w:r>
      <w:r>
        <w:instrText xml:space="preserve"> TITLE   \* MERGEFORMAT </w:instrText>
      </w:r>
      <w:r>
        <w:fldChar w:fldCharType="separate"/>
      </w:r>
      <w:r>
        <w:t>MSMPER201 Monitor and control work permits</w:t>
      </w:r>
      <w:r>
        <w:fldChar w:fldCharType="end"/>
      </w:r>
    </w:p>
    <w:p w:rsidR="00BC5372" w:rsidP="00BC5372">
      <w:pPr>
        <w:pStyle w:val="Version"/>
        <w:sectPr w:rsidSect="00A51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C90" w:rsidP="00A51C90">
      <w:pPr>
        <w:pStyle w:val="SuperHeading"/>
      </w:pPr>
      <w:r w:rsidRPr="00A51C90">
        <w:t>MSMPER201 Monitor and control work permits</w:t>
      </w:r>
    </w:p>
    <w:p w:rsidR="00000000" w:rsidRPr="00A51C90" w:rsidP="00A51C90">
      <w:pPr>
        <w:pStyle w:val="Heading1"/>
      </w:pPr>
      <w:bookmarkStart w:id="1" w:name="O_871105"/>
      <w:bookmarkEnd w:id="1"/>
      <w:r w:rsidRPr="00A51C90">
        <w:t>Modification History</w:t>
      </w:r>
    </w:p>
    <w:p w:rsidR="00000000" w:rsidRPr="00A51C90" w:rsidP="00BC5372">
      <w:pPr>
        <w:pStyle w:val="BodyText"/>
      </w:pPr>
      <w:r w:rsidRPr="00A51C90">
        <w:t>Release 1. Supersedes and is equivalent to MSAPMPER201A Monitor and control work permits</w:t>
      </w:r>
    </w:p>
    <w:p w:rsidR="00000000" w:rsidRPr="00A51C90" w:rsidP="00A51C90">
      <w:pPr>
        <w:pStyle w:val="Heading1"/>
      </w:pPr>
      <w:bookmarkStart w:id="2" w:name="O_871113"/>
      <w:bookmarkEnd w:id="2"/>
      <w:r w:rsidRPr="00A51C90">
        <w:t>Application</w:t>
      </w:r>
    </w:p>
    <w:p w:rsidR="00000000" w:rsidRPr="00A51C90" w:rsidP="00BC5372">
      <w:pPr>
        <w:pStyle w:val="BodyText"/>
      </w:pPr>
      <w:r w:rsidRPr="00A51C90">
        <w:t>This unit of competency covers the skills and knowledge required to monitor a work situation in which the activity is</w:t>
      </w:r>
      <w:r w:rsidRPr="00A51C90">
        <w:t xml:space="preserve"> conducted under a permit to work. The individual will be required to monitor the work situation for conformance to the permit and immediately intervene if the parameters of the permit are not met or work proceeds outside the boundaries set by the permit. </w:t>
      </w:r>
      <w:r w:rsidRPr="00A51C90">
        <w:t xml:space="preserve"> </w:t>
      </w:r>
    </w:p>
    <w:p w:rsidR="00000000" w:rsidRPr="00A51C90" w:rsidP="00BC5372">
      <w:pPr>
        <w:pStyle w:val="BodyText"/>
      </w:pPr>
      <w:r w:rsidRPr="00A51C90">
        <w:t xml:space="preserve">This role is typically carried out by the plant operator for that area or other suitably qualified person. </w:t>
      </w:r>
    </w:p>
    <w:p w:rsidR="00000000" w:rsidRPr="00A51C90" w:rsidP="00BC5372">
      <w:pPr>
        <w:pStyle w:val="BodyText"/>
      </w:pPr>
      <w:r w:rsidRPr="00A51C90">
        <w:t>The role of ‘hole watcher’ and ‘fire watcher’ are covered by MSMPER202 Observe permit work</w:t>
      </w:r>
    </w:p>
    <w:p w:rsidR="00000000" w:rsidRPr="00A51C90" w:rsidP="00BC5372">
      <w:pPr>
        <w:pStyle w:val="BodyText"/>
      </w:pPr>
      <w:r w:rsidRPr="00A51C90">
        <w:t>This unit of competency carries a high level of resp</w:t>
      </w:r>
      <w:r w:rsidRPr="00A51C90">
        <w:t xml:space="preserve">onsibility and the level and area of responsibility of the role is typically prescribed by the permit process. </w:t>
      </w:r>
    </w:p>
    <w:p w:rsidR="00000000" w:rsidRPr="00A51C90" w:rsidP="00BC5372">
      <w:pPr>
        <w:pStyle w:val="BodyText"/>
      </w:pPr>
      <w:r w:rsidRPr="00A51C90">
        <w:t xml:space="preserve">This unit of competency applies to the activities and functions associated with work carried out in a hazard controlled environment.  </w:t>
      </w:r>
    </w:p>
    <w:p w:rsidR="00000000" w:rsidRPr="00A51C90" w:rsidP="00BC5372">
      <w:pPr>
        <w:pStyle w:val="BodyText"/>
      </w:pPr>
      <w:r w:rsidRPr="00A51C90">
        <w:t>Not all</w:t>
      </w:r>
      <w:r w:rsidRPr="00A51C90">
        <w:t xml:space="preserve"> sites/plants will have all permits. Some sites will call permits by other names, e.g. clearances.</w:t>
      </w:r>
    </w:p>
    <w:p w:rsidR="00000000" w:rsidRPr="00A51C90" w:rsidP="00BC5372">
      <w:pPr>
        <w:pStyle w:val="BodyText"/>
      </w:pPr>
      <w:r w:rsidRPr="00A51C90">
        <w:t>No licensing, legislative or certification requirements apply to this unit at the time of publication.</w:t>
      </w:r>
    </w:p>
    <w:p w:rsidR="00000000" w:rsidRPr="00A51C90" w:rsidP="00A51C90">
      <w:pPr>
        <w:pStyle w:val="Heading1"/>
      </w:pPr>
      <w:bookmarkStart w:id="3" w:name="O_871112"/>
      <w:bookmarkEnd w:id="3"/>
      <w:r w:rsidRPr="00A51C90">
        <w:t>Pre-requisite Unit</w:t>
      </w:r>
    </w:p>
    <w:p w:rsidR="00000000" w:rsidRPr="00A51C90" w:rsidP="00BC5372">
      <w:pPr>
        <w:pStyle w:val="BodyText"/>
      </w:pPr>
      <w:r w:rsidRPr="00A51C90">
        <w:t>Nil</w:t>
      </w:r>
    </w:p>
    <w:p w:rsidR="00000000" w:rsidRPr="00A51C90" w:rsidP="00A51C90">
      <w:pPr>
        <w:pStyle w:val="Heading1"/>
      </w:pPr>
      <w:bookmarkStart w:id="4" w:name="O_871111"/>
      <w:bookmarkEnd w:id="4"/>
      <w:r w:rsidRPr="00A51C90">
        <w:t>Competency Field</w:t>
      </w:r>
    </w:p>
    <w:p w:rsidR="00000000" w:rsidRPr="00A51C90" w:rsidP="00BC5372">
      <w:pPr>
        <w:pStyle w:val="BodyText"/>
      </w:pPr>
      <w:r w:rsidRPr="00A51C90">
        <w:t>Work control systems</w:t>
      </w:r>
    </w:p>
    <w:p w:rsidR="00000000" w:rsidRPr="00A51C90" w:rsidP="00A51C90">
      <w:pPr>
        <w:pStyle w:val="Heading1"/>
      </w:pPr>
      <w:bookmarkStart w:id="5" w:name="O_871110"/>
      <w:bookmarkEnd w:id="5"/>
      <w:r w:rsidRPr="00A51C90">
        <w:t>Unit Sector</w:t>
      </w:r>
    </w:p>
    <w:p w:rsidR="00000000" w:rsidRPr="00A51C90" w:rsidP="00A51C90">
      <w:pPr>
        <w:pStyle w:val="Heading1"/>
      </w:pPr>
      <w:bookmarkStart w:id="6" w:name="O_871109"/>
      <w:bookmarkEnd w:id="6"/>
      <w:r w:rsidRPr="00A51C9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1C9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Performance criteria describe the performance needed to demonstrate achievement of the element</w:t>
            </w:r>
          </w:p>
        </w:tc>
      </w:tr>
      <w:tr w:rsidTr="00A51C9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51C90">
            <w:pPr>
              <w:pStyle w:val="BodyText"/>
              <w:rPr>
                <w:lang w:val="en-NZ"/>
              </w:rPr>
            </w:pP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1</w:t>
            </w:r>
          </w:p>
        </w:tc>
        <w:tc>
          <w:tcPr>
            <w:tcW w:w="1962" w:type="dxa"/>
            <w:vMerge w:val="restart"/>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Identify and monitor permit conditions</w:t>
            </w: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1.1</w:t>
            </w:r>
          </w:p>
        </w:tc>
        <w:tc>
          <w:tcPr>
            <w:tcW w:w="561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Identify permit requirements</w:t>
            </w: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1.2</w:t>
            </w:r>
          </w:p>
        </w:tc>
        <w:tc>
          <w:tcPr>
            <w:tcW w:w="561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Monitor conditions to ensu</w:t>
            </w:r>
            <w:r w:rsidRPr="00A51C90">
              <w:t>re that the work being conducted conforms to the issued permit requirements</w:t>
            </w: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1.3</w:t>
            </w:r>
          </w:p>
        </w:tc>
        <w:tc>
          <w:tcPr>
            <w:tcW w:w="5610" w:type="dxa"/>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Identify and communicate changes in the operating conditions or requirements of the permit to permit holders to ensure they are kept aware of any hazards</w:t>
            </w:r>
          </w:p>
        </w:tc>
      </w:tr>
    </w:tbl>
    <w:p w:rsidR="00000000" w:rsidRPr="00A51C90" w:rsidP="00A51C90">
      <w:pPr>
        <w:pStyle w:val="BodyText"/>
      </w:pPr>
    </w:p>
    <w:tbl>
      <w:tblPr>
        <w:tblW w:w="0" w:type="auto"/>
        <w:tblLayout w:type="fixed"/>
        <w:tblCellMar>
          <w:left w:w="62" w:type="dxa"/>
          <w:right w:w="62" w:type="dxa"/>
        </w:tblCellMar>
        <w:tblLook w:val="0000"/>
      </w:tblPr>
      <w:tblGrid>
        <w:gridCol w:w="678"/>
        <w:gridCol w:w="1962"/>
        <w:gridCol w:w="770"/>
        <w:gridCol w:w="5610"/>
      </w:tblGrid>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2</w:t>
            </w:r>
          </w:p>
        </w:tc>
        <w:tc>
          <w:tcPr>
            <w:tcW w:w="1962" w:type="dxa"/>
            <w:vMerge w:val="restart"/>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Control work pe</w:t>
            </w:r>
            <w:r w:rsidRPr="00A51C90">
              <w:t>rmit systems</w:t>
            </w: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2.1</w:t>
            </w:r>
          </w:p>
        </w:tc>
        <w:tc>
          <w:tcPr>
            <w:tcW w:w="561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Check and verify the permit holder</w:t>
            </w:r>
            <w:r>
              <w:t>’</w:t>
            </w:r>
            <w:r w:rsidRPr="00A51C90">
              <w:t>s knowledge of the issued permit and its requirements before allowing any work to be undertaken</w:t>
            </w: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2.2</w:t>
            </w:r>
          </w:p>
        </w:tc>
        <w:tc>
          <w:tcPr>
            <w:tcW w:w="561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Control work activities to comply with the work permit system and safety procedures</w:t>
            </w: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2.3</w:t>
            </w:r>
          </w:p>
        </w:tc>
        <w:tc>
          <w:tcPr>
            <w:tcW w:w="561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Undertake site inspections to ensure that the work to be undertaken is in sequence and completed in a safe and coordinated manner</w:t>
            </w: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2.4</w:t>
            </w:r>
          </w:p>
        </w:tc>
        <w:tc>
          <w:tcPr>
            <w:tcW w:w="5610" w:type="dxa"/>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Identify hazards, and confirm with those undertaking the permitted work that control measures, as defined in the permit, are established</w:t>
            </w:r>
          </w:p>
        </w:tc>
      </w:tr>
    </w:tbl>
    <w:p w:rsidR="00000000" w:rsidRPr="00A51C90" w:rsidP="00A51C90">
      <w:pPr>
        <w:pStyle w:val="BodyText"/>
      </w:pPr>
    </w:p>
    <w:tbl>
      <w:tblPr>
        <w:tblW w:w="0" w:type="auto"/>
        <w:tblLayout w:type="fixed"/>
        <w:tblCellMar>
          <w:left w:w="62" w:type="dxa"/>
          <w:right w:w="62" w:type="dxa"/>
        </w:tblCellMar>
        <w:tblLook w:val="0000"/>
      </w:tblPr>
      <w:tblGrid>
        <w:gridCol w:w="678"/>
        <w:gridCol w:w="1962"/>
        <w:gridCol w:w="770"/>
        <w:gridCol w:w="5610"/>
      </w:tblGrid>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3</w:t>
            </w:r>
          </w:p>
        </w:tc>
        <w:tc>
          <w:tcPr>
            <w:tcW w:w="1962" w:type="dxa"/>
            <w:vMerge w:val="restart"/>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Identify and action non-compliance</w:t>
            </w: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3.1</w:t>
            </w:r>
          </w:p>
        </w:tc>
        <w:tc>
          <w:tcPr>
            <w:tcW w:w="561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Identify conditions of active permits</w:t>
            </w: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3.2</w:t>
            </w:r>
          </w:p>
        </w:tc>
        <w:tc>
          <w:tcPr>
            <w:tcW w:w="561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Take corrective action upon inc</w:t>
            </w:r>
            <w:r w:rsidRPr="00A51C90">
              <w:t>idences of non-compliance with permit conditions through the withdrawal or suspension of the issued permit</w:t>
            </w: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3.3</w:t>
            </w:r>
          </w:p>
        </w:tc>
        <w:tc>
          <w:tcPr>
            <w:tcW w:w="5610" w:type="dxa"/>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Report and record incidents of non-compliance according to procedures</w:t>
            </w:r>
          </w:p>
        </w:tc>
      </w:tr>
    </w:tbl>
    <w:p w:rsidR="00000000" w:rsidRPr="00A51C90" w:rsidP="00A51C90">
      <w:pPr>
        <w:pStyle w:val="BodyText"/>
      </w:pPr>
    </w:p>
    <w:tbl>
      <w:tblPr>
        <w:tblW w:w="0" w:type="auto"/>
        <w:tblLayout w:type="fixed"/>
        <w:tblCellMar>
          <w:left w:w="62" w:type="dxa"/>
          <w:right w:w="62" w:type="dxa"/>
        </w:tblCellMar>
        <w:tblLook w:val="0000"/>
      </w:tblPr>
      <w:tblGrid>
        <w:gridCol w:w="678"/>
        <w:gridCol w:w="1962"/>
        <w:gridCol w:w="770"/>
        <w:gridCol w:w="5610"/>
      </w:tblGrid>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4</w:t>
            </w:r>
          </w:p>
        </w:tc>
        <w:tc>
          <w:tcPr>
            <w:tcW w:w="1962" w:type="dxa"/>
            <w:vMerge w:val="restart"/>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Confirm compliance with permit</w:t>
            </w: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4.1</w:t>
            </w:r>
          </w:p>
        </w:tc>
        <w:tc>
          <w:tcPr>
            <w:tcW w:w="561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Complete checklists in accordance with standard procedures</w:t>
            </w:r>
          </w:p>
        </w:tc>
      </w:tr>
      <w:tr w:rsidTr="00A51C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4.2</w:t>
            </w:r>
          </w:p>
        </w:tc>
        <w:tc>
          <w:tcPr>
            <w:tcW w:w="5610" w:type="dxa"/>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Document and communicate findings to appropriate personnel</w:t>
            </w:r>
          </w:p>
        </w:tc>
      </w:tr>
    </w:tbl>
    <w:p w:rsidR="00000000" w:rsidRPr="00A51C90" w:rsidP="00A51C90">
      <w:pPr>
        <w:pStyle w:val="BodyText"/>
      </w:pPr>
    </w:p>
    <w:p w:rsidR="00000000" w:rsidRPr="00A51C90" w:rsidP="00A51C90">
      <w:pPr>
        <w:pStyle w:val="AllowPageBreak"/>
      </w:pPr>
    </w:p>
    <w:p w:rsidR="00000000" w:rsidRPr="00A51C90" w:rsidP="00A51C90">
      <w:pPr>
        <w:pStyle w:val="Heading1"/>
      </w:pPr>
      <w:bookmarkStart w:id="7" w:name="O_871108"/>
      <w:bookmarkEnd w:id="7"/>
      <w:r w:rsidRPr="00A51C90">
        <w:t>Foundation Skills</w:t>
      </w:r>
    </w:p>
    <w:p w:rsidR="00000000" w:rsidRPr="00A51C90" w:rsidP="00BC5372">
      <w:pPr>
        <w:pStyle w:val="BodyText"/>
      </w:pPr>
      <w:r w:rsidRPr="00A51C90">
        <w:t>This section describes those language, literacy, numeracy and employment skills that are essential to performance.</w:t>
      </w:r>
    </w:p>
    <w:p w:rsidR="00000000" w:rsidRPr="00A51C90" w:rsidP="00BC5372">
      <w:pPr>
        <w:pStyle w:val="BodyText"/>
      </w:pPr>
      <w:r w:rsidRPr="00A51C90">
        <w:t>Foundation skills essential to performance are explicit in the performance criteria of this unit of competency.</w:t>
      </w:r>
    </w:p>
    <w:p w:rsidR="00000000" w:rsidRPr="00A51C90" w:rsidP="00A51C90">
      <w:pPr>
        <w:pStyle w:val="Heading1"/>
      </w:pPr>
      <w:bookmarkStart w:id="8" w:name="O_871107"/>
      <w:bookmarkEnd w:id="8"/>
      <w:r w:rsidRPr="00A51C90">
        <w:t>Range of Co</w:t>
      </w:r>
      <w:r w:rsidRPr="00A51C90">
        <w:t>nditions</w:t>
      </w:r>
    </w:p>
    <w:tbl>
      <w:tblPr>
        <w:tblW w:w="0" w:type="auto"/>
        <w:tblCellMar>
          <w:left w:w="62" w:type="dxa"/>
          <w:right w:w="62" w:type="dxa"/>
        </w:tblCellMar>
        <w:tblLook w:val="0000"/>
      </w:tblPr>
      <w:tblGrid>
        <w:gridCol w:w="2392"/>
        <w:gridCol w:w="6804"/>
      </w:tblGrid>
      <w:tr w:rsidTr="00BC53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t>This field allows for different work environments and conditions that may affect performance. Essential operating conditions that may be present (depending on the work situation, needs of the candidate, accessibility of the item, and local industr</w:t>
            </w:r>
            <w:r w:rsidRPr="00A51C90">
              <w:t>y and regional contexts) are included.</w:t>
            </w: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The latest version of all legislation, regulations, industry codes of practice and Australian/international standards, or the version specified by the local regulatory authority, must be used, a</w:t>
            </w:r>
            <w:r w:rsidRPr="00A51C90">
              <w:t>nd include one or more of the following:</w:t>
            </w:r>
          </w:p>
          <w:p w:rsidR="00000000" w:rsidRPr="00A51C90" w:rsidP="00A51C90">
            <w:pPr>
              <w:pStyle w:val="ListBullet"/>
            </w:pPr>
            <w:r w:rsidRPr="00A51C90">
              <w:t>legislative requirements, including work health and safety (WHS)</w:t>
            </w:r>
          </w:p>
          <w:p w:rsidR="00000000" w:rsidRPr="00A51C90" w:rsidP="00A51C90">
            <w:pPr>
              <w:pStyle w:val="ListBullet"/>
            </w:pPr>
            <w:r w:rsidRPr="00A51C90">
              <w:t>industry codes of practice and guidelines</w:t>
            </w:r>
          </w:p>
          <w:p w:rsidR="00000000" w:rsidRPr="00A51C90" w:rsidP="00A51C90">
            <w:pPr>
              <w:pStyle w:val="ListBullet"/>
            </w:pPr>
            <w:r w:rsidRPr="00A51C90">
              <w:t xml:space="preserve">environmental regulations and guidelines </w:t>
            </w:r>
          </w:p>
          <w:p w:rsidR="00000000" w:rsidRPr="00A51C90" w:rsidP="00A51C90">
            <w:pPr>
              <w:pStyle w:val="ListBullet"/>
            </w:pPr>
            <w:r w:rsidRPr="00A51C90">
              <w:t>Australian and other standards</w:t>
            </w:r>
          </w:p>
          <w:p w:rsidR="00000000" w:rsidRPr="00A51C90" w:rsidP="00A51C90">
            <w:pPr>
              <w:pStyle w:val="ListBullet"/>
            </w:pPr>
            <w:r w:rsidRPr="00A51C90">
              <w:t>licence and certification requirement</w:t>
            </w:r>
          </w:p>
          <w:p w:rsidR="00000000" w:rsidRPr="00A51C90" w:rsidP="00A51C90">
            <w:pPr>
              <w:pStyle w:val="ListBullet"/>
            </w:pPr>
            <w:r w:rsidRPr="00A51C90">
              <w:t>Dangerous Goods regulations</w:t>
            </w:r>
          </w:p>
          <w:p w:rsidR="00000000" w:rsidRPr="00A51C90" w:rsidP="00A51C90">
            <w:pPr>
              <w:pStyle w:val="ListBullet"/>
            </w:pPr>
            <w:r w:rsidRPr="00A51C90">
              <w:t>Hazardous substances regulations</w:t>
            </w:r>
          </w:p>
          <w:p w:rsidR="00000000" w:rsidRPr="00A51C90" w:rsidP="00A51C90">
            <w:pPr>
              <w:pStyle w:val="ListBullet"/>
            </w:pPr>
            <w:r w:rsidRPr="00A51C90">
              <w:t>Hazardous Substances Information System</w:t>
            </w:r>
          </w:p>
          <w:p w:rsidR="00000000" w:rsidRPr="00A51C90" w:rsidP="00A51C90">
            <w:pPr>
              <w:pStyle w:val="ListBullet"/>
            </w:pPr>
            <w:r w:rsidRPr="00A51C90">
              <w:t>Major hazard facility requirements, if relevant</w:t>
            </w:r>
          </w:p>
          <w:p w:rsidR="00000000" w:rsidRPr="00A51C90" w:rsidP="00A51C90">
            <w:pPr>
              <w:pStyle w:val="ListBullet"/>
            </w:pPr>
            <w:r w:rsidRPr="00A51C90">
              <w:t xml:space="preserve">Australian Standard AS 2865-2009 Confined spaces </w:t>
            </w:r>
          </w:p>
          <w:p w:rsidR="00000000" w:rsidRPr="00A51C90" w:rsidP="00A51C90">
            <w:pPr>
              <w:pStyle w:val="ListBullet"/>
            </w:pPr>
            <w:r w:rsidRPr="00A51C90">
              <w:t>Australian Standard</w:t>
            </w:r>
            <w:r w:rsidRPr="00A51C90">
              <w:t xml:space="preserve"> AS 1674 Set-2007 Safety in welding and allied processes (covers all hot work)</w:t>
            </w:r>
          </w:p>
          <w:p w:rsidR="00000000" w:rsidRPr="00A51C90" w:rsidP="00A51C90">
            <w:pPr>
              <w:pStyle w:val="ListBullet"/>
            </w:pPr>
            <w:r w:rsidRPr="00A51C90">
              <w:t>Australian Standard AS 4024.1-2014 Series - Safety of machinery</w:t>
            </w:r>
          </w:p>
          <w:p w:rsidR="00000000" w:rsidRPr="00A51C90" w:rsidP="00A51C90">
            <w:pPr>
              <w:pStyle w:val="ListBullet"/>
            </w:pPr>
            <w:r w:rsidRPr="00A51C90">
              <w:t>Australian Standard AS/NZ 1715:2009 Selection use and maintenance of respiratory protective equipment</w:t>
            </w:r>
          </w:p>
          <w:p w:rsidR="00000000" w:rsidRPr="00A51C90" w:rsidP="00A51C90">
            <w:pPr>
              <w:pStyle w:val="ListBullet"/>
            </w:pPr>
            <w:r w:rsidRPr="00A51C90">
              <w:t>National St</w:t>
            </w:r>
            <w:r w:rsidRPr="00A51C90">
              <w:t xml:space="preserve">andard for Plant [NOHSC:1010 (1994)] </w:t>
            </w:r>
          </w:p>
          <w:p w:rsidR="00000000" w:rsidRPr="00A51C90" w:rsidP="00A51C90">
            <w:pPr>
              <w:pStyle w:val="ListBullet"/>
            </w:pPr>
            <w:r w:rsidRPr="00A51C90">
              <w:t>National exposure standards for atmospheric contaminants in the occupational environment [NOHSC:1003 (1995)]</w:t>
            </w:r>
          </w:p>
          <w:p w:rsidR="00000000" w:rsidP="00A51C90">
            <w:pPr>
              <w:pStyle w:val="BodyText"/>
              <w:rPr>
                <w:lang w:val="en-NZ"/>
              </w:rPr>
            </w:pP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All operations must be performed in accordance with relevant procedures.</w:t>
            </w:r>
          </w:p>
          <w:p w:rsidR="00000000" w:rsidRPr="00A51C90" w:rsidP="00A51C90">
            <w:pPr>
              <w:pStyle w:val="BodyText"/>
            </w:pPr>
          </w:p>
          <w:p w:rsidR="00000000" w:rsidRPr="00A51C90" w:rsidP="00A51C90">
            <w:pPr>
              <w:pStyle w:val="BodyText"/>
            </w:pPr>
            <w:r w:rsidRPr="00A51C90">
              <w:t xml:space="preserve">Procedures are written, verbal, visual, computer-based or in some other form, and include one or more of the following: </w:t>
            </w:r>
          </w:p>
          <w:p w:rsidR="00000000" w:rsidRPr="00A51C90" w:rsidP="00A51C90">
            <w:pPr>
              <w:pStyle w:val="ListBullet"/>
            </w:pPr>
            <w:r w:rsidRPr="00A51C90">
              <w:t xml:space="preserve">permit control system </w:t>
            </w:r>
          </w:p>
          <w:p w:rsidR="00000000" w:rsidRPr="00A51C90" w:rsidP="00A51C90">
            <w:pPr>
              <w:pStyle w:val="ListBullet"/>
            </w:pPr>
            <w:r w:rsidRPr="00A51C90">
              <w:t>emergency procedures</w:t>
            </w:r>
          </w:p>
          <w:p w:rsidR="00000000" w:rsidRPr="00A51C90" w:rsidP="00A51C90">
            <w:pPr>
              <w:pStyle w:val="ListBullet"/>
            </w:pPr>
            <w:r w:rsidRPr="00A51C90">
              <w:t>work instructions</w:t>
            </w:r>
          </w:p>
          <w:p w:rsidR="00000000" w:rsidRPr="00A51C90" w:rsidP="00A51C90">
            <w:pPr>
              <w:pStyle w:val="ListBullet"/>
            </w:pPr>
            <w:r w:rsidRPr="00A51C90">
              <w:t xml:space="preserve">standard operating procedures (SOPs) </w:t>
            </w:r>
          </w:p>
          <w:p w:rsidR="00000000" w:rsidRPr="00A51C90" w:rsidP="00A51C90">
            <w:pPr>
              <w:pStyle w:val="ListBullet"/>
            </w:pPr>
            <w:r w:rsidRPr="00A51C90">
              <w:t>safe work method statements (SWMS)</w:t>
            </w:r>
          </w:p>
          <w:p w:rsidR="00000000" w:rsidRPr="00A51C90" w:rsidP="00A51C90">
            <w:pPr>
              <w:pStyle w:val="ListBullet"/>
            </w:pPr>
            <w:r w:rsidRPr="00A51C90">
              <w:t>temporary instructions</w:t>
            </w:r>
          </w:p>
          <w:p w:rsidR="00000000" w:rsidRPr="00A51C90" w:rsidP="00A51C90">
            <w:pPr>
              <w:pStyle w:val="ListBullet"/>
            </w:pPr>
            <w:r w:rsidRPr="00A51C90">
              <w:t>any similar instructions provided for the smooth running of the plant</w:t>
            </w:r>
          </w:p>
          <w:p w:rsidR="00000000" w:rsidP="00A51C90">
            <w:pPr>
              <w:pStyle w:val="BodyText"/>
              <w:rPr>
                <w:lang w:val="en-NZ"/>
              </w:rPr>
            </w:pP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SpecialBold"/>
              </w:rPr>
              <w:t>Work permits</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Work permits include one or more of the following:</w:t>
            </w:r>
          </w:p>
          <w:p w:rsidR="00000000" w:rsidRPr="00A51C90" w:rsidP="00A51C90">
            <w:pPr>
              <w:pStyle w:val="ListBullet"/>
            </w:pPr>
            <w:r w:rsidRPr="00A51C90">
              <w:t>cold work</w:t>
            </w:r>
          </w:p>
          <w:p w:rsidR="00000000" w:rsidRPr="00A51C90" w:rsidP="00A51C90">
            <w:pPr>
              <w:pStyle w:val="ListBullet"/>
            </w:pPr>
            <w:r w:rsidRPr="00A51C90">
              <w:t>excavation</w:t>
            </w:r>
          </w:p>
          <w:p w:rsidR="00000000" w:rsidRPr="00A51C90" w:rsidP="00A51C90">
            <w:pPr>
              <w:pStyle w:val="ListBullet"/>
            </w:pPr>
            <w:r w:rsidRPr="00A51C90">
              <w:t>vehicle entry</w:t>
            </w:r>
          </w:p>
          <w:p w:rsidR="00000000" w:rsidRPr="00A51C90" w:rsidP="00A51C90">
            <w:pPr>
              <w:pStyle w:val="ListBullet"/>
            </w:pPr>
            <w:r w:rsidRPr="00A51C90">
              <w:t>minor repairs</w:t>
            </w:r>
          </w:p>
          <w:p w:rsidR="00000000" w:rsidRPr="00A51C90" w:rsidP="00A51C90">
            <w:pPr>
              <w:pStyle w:val="ListBullet"/>
            </w:pPr>
            <w:r w:rsidRPr="00A51C90">
              <w:t>working at heights</w:t>
            </w:r>
          </w:p>
          <w:p w:rsidR="00000000" w:rsidRPr="00A51C90" w:rsidP="00A51C90">
            <w:pPr>
              <w:pStyle w:val="ListBullet"/>
            </w:pPr>
            <w:r w:rsidRPr="00A51C90">
              <w:t>hot work</w:t>
            </w:r>
          </w:p>
          <w:p w:rsidR="00000000" w:rsidRPr="00A51C90" w:rsidP="00A51C90">
            <w:pPr>
              <w:pStyle w:val="ListBullet"/>
            </w:pPr>
            <w:r w:rsidRPr="00A51C90">
              <w:t>confined space</w:t>
            </w:r>
          </w:p>
          <w:p w:rsidR="00000000" w:rsidRPr="00A51C90" w:rsidP="00A51C90">
            <w:pPr>
              <w:pStyle w:val="ListBullet"/>
            </w:pPr>
            <w:r w:rsidRPr="00A51C90">
              <w:t>electrical</w:t>
            </w:r>
          </w:p>
          <w:p w:rsidR="00000000" w:rsidRPr="00A51C90" w:rsidP="00A51C90">
            <w:pPr>
              <w:pStyle w:val="ListBullet"/>
            </w:pPr>
            <w:r w:rsidRPr="00A51C90">
              <w:t>increased hazard</w:t>
            </w:r>
          </w:p>
          <w:p w:rsidR="00000000" w:rsidRPr="00A51C90" w:rsidP="00A51C90">
            <w:pPr>
              <w:pStyle w:val="ListBullet"/>
            </w:pPr>
            <w:r w:rsidRPr="00A51C90">
              <w:t xml:space="preserve">permits covering a single plant item or plant area, such as might be an operator’s scope of responsibility </w:t>
            </w:r>
          </w:p>
          <w:p w:rsidR="00000000" w:rsidRPr="00A51C90" w:rsidP="00A51C90">
            <w:pPr>
              <w:pStyle w:val="ListBullet"/>
            </w:pPr>
            <w:r w:rsidRPr="00A51C90">
              <w:t>other relevant permits</w:t>
            </w:r>
          </w:p>
          <w:p w:rsidR="00000000" w:rsidP="00A51C90">
            <w:pPr>
              <w:pStyle w:val="BodyText"/>
              <w:rPr>
                <w:lang w:val="en-NZ"/>
              </w:rPr>
            </w:pP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BoldandItalics"/>
              </w:rPr>
              <w:t>The work control (permit) system</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The work permit system includes:</w:t>
            </w:r>
          </w:p>
          <w:p w:rsidR="00000000" w:rsidRPr="00A51C90" w:rsidP="00A51C90">
            <w:pPr>
              <w:pStyle w:val="ListBullet"/>
            </w:pPr>
            <w:r w:rsidRPr="00A51C90">
              <w:t>types of permits</w:t>
            </w:r>
          </w:p>
          <w:p w:rsidR="00000000" w:rsidRPr="00A51C90" w:rsidP="00A51C90">
            <w:pPr>
              <w:pStyle w:val="ListBullet"/>
            </w:pPr>
            <w:r w:rsidRPr="00A51C90">
              <w:t>legislative/regulatory/standards framework</w:t>
            </w:r>
          </w:p>
          <w:p w:rsidR="00000000" w:rsidRPr="00A51C90" w:rsidP="00A51C90">
            <w:pPr>
              <w:pStyle w:val="ListBullet"/>
            </w:pPr>
            <w:r w:rsidRPr="00A51C90">
              <w:t>roles and responsibilities of parties under the permit system</w:t>
            </w:r>
          </w:p>
          <w:p w:rsidR="00000000" w:rsidRPr="00A51C90" w:rsidP="00A51C90">
            <w:pPr>
              <w:pStyle w:val="ListBullet"/>
            </w:pPr>
            <w:r w:rsidRPr="00A51C90">
              <w:t xml:space="preserve">specifications for undertaking the work covered by a permit </w:t>
            </w:r>
          </w:p>
          <w:p w:rsidR="00000000" w:rsidRPr="00A51C90" w:rsidP="00A51C90">
            <w:pPr>
              <w:pStyle w:val="ListBullet"/>
            </w:pPr>
            <w:r w:rsidRPr="00A51C90">
              <w:t>alternative ways of conducting a job</w:t>
            </w:r>
          </w:p>
          <w:p w:rsidR="00000000" w:rsidP="00A51C90">
            <w:pPr>
              <w:pStyle w:val="BodyText"/>
              <w:rPr>
                <w:lang w:val="en-NZ"/>
              </w:rPr>
            </w:pP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BoldandItalics"/>
              </w:rPr>
              <w:t>Work specifications</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Work specifications include one</w:t>
            </w:r>
            <w:r w:rsidRPr="00A51C90">
              <w:t xml:space="preserve"> or more of the following:</w:t>
            </w:r>
          </w:p>
          <w:p w:rsidR="00000000" w:rsidRPr="00A51C90" w:rsidP="00A51C90">
            <w:pPr>
              <w:pStyle w:val="ListBullet"/>
            </w:pPr>
            <w:r w:rsidRPr="00A51C90">
              <w:t xml:space="preserve">any requirements for testing of atmospheric conditions and ventilation </w:t>
            </w:r>
          </w:p>
          <w:p w:rsidR="00000000" w:rsidRPr="00A51C90" w:rsidP="00A51C90">
            <w:pPr>
              <w:pStyle w:val="ListBullet"/>
            </w:pPr>
            <w:r w:rsidRPr="00A51C90">
              <w:t xml:space="preserve">safety structures and control measures </w:t>
            </w:r>
          </w:p>
          <w:p w:rsidR="00000000" w:rsidRPr="00A51C90" w:rsidP="00A51C90">
            <w:pPr>
              <w:pStyle w:val="ListBullet"/>
            </w:pPr>
            <w:r w:rsidRPr="00A51C90">
              <w:t>communications</w:t>
            </w:r>
          </w:p>
          <w:p w:rsidR="00000000" w:rsidRPr="00A51C90" w:rsidP="00A51C90">
            <w:pPr>
              <w:pStyle w:val="ListBullet"/>
            </w:pPr>
            <w:r w:rsidRPr="00A51C90">
              <w:t xml:space="preserve">incident response </w:t>
            </w:r>
          </w:p>
          <w:p w:rsidR="00000000" w:rsidRPr="00A51C90" w:rsidP="00A51C90">
            <w:pPr>
              <w:pStyle w:val="ListBullet"/>
            </w:pPr>
            <w:r w:rsidRPr="00A51C90">
              <w:t>equipment which can and cannot be used</w:t>
            </w:r>
          </w:p>
          <w:p w:rsidR="00000000" w:rsidP="00A51C90">
            <w:pPr>
              <w:pStyle w:val="BodyText"/>
              <w:rPr>
                <w:lang w:val="en-NZ"/>
              </w:rPr>
            </w:pP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BoldandItalics"/>
              </w:rPr>
              <w:t>Safety structures and control measures</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Safety structures and control measures include one or more of the following:</w:t>
            </w:r>
          </w:p>
          <w:p w:rsidR="00000000" w:rsidRPr="00A51C90" w:rsidP="00A51C90">
            <w:pPr>
              <w:pStyle w:val="ListBullet"/>
            </w:pPr>
            <w:r w:rsidRPr="00A51C90">
              <w:t>isolations</w:t>
            </w:r>
          </w:p>
          <w:p w:rsidR="00000000" w:rsidRPr="00A51C90" w:rsidP="00A51C90">
            <w:pPr>
              <w:pStyle w:val="ListBullet"/>
            </w:pPr>
            <w:r w:rsidRPr="00A51C90">
              <w:t>lockout/tag out</w:t>
            </w:r>
          </w:p>
          <w:p w:rsidR="00000000" w:rsidRPr="00A51C90" w:rsidP="00A51C90">
            <w:pPr>
              <w:pStyle w:val="ListBullet"/>
            </w:pPr>
            <w:r w:rsidRPr="00A51C90">
              <w:t>barriers and signage</w:t>
            </w:r>
          </w:p>
          <w:p w:rsidR="00000000" w:rsidRPr="00A51C90" w:rsidP="00A51C90">
            <w:pPr>
              <w:pStyle w:val="ListBullet"/>
            </w:pPr>
            <w:r w:rsidRPr="00A51C90">
              <w:t>emergency response</w:t>
            </w:r>
          </w:p>
          <w:p w:rsidR="00000000" w:rsidRPr="00A51C90" w:rsidP="00A51C90">
            <w:pPr>
              <w:pStyle w:val="ListBullet"/>
            </w:pPr>
            <w:r w:rsidRPr="00A51C90">
              <w:t>gas testing/atmosphere monitoring</w:t>
            </w:r>
          </w:p>
          <w:p w:rsidR="00000000" w:rsidRPr="00A51C90" w:rsidP="00A51C90">
            <w:pPr>
              <w:pStyle w:val="ListBullet"/>
            </w:pPr>
            <w:r w:rsidRPr="00A51C90">
              <w:t>standby person</w:t>
            </w:r>
          </w:p>
          <w:p w:rsidR="00000000" w:rsidRPr="00A51C90" w:rsidP="00A51C90">
            <w:pPr>
              <w:pStyle w:val="ListBullet"/>
            </w:pPr>
            <w:r w:rsidRPr="00A51C90">
              <w:t>other measures specified in the permit</w:t>
            </w:r>
          </w:p>
          <w:p w:rsidR="00000000" w:rsidP="00A51C90">
            <w:pPr>
              <w:pStyle w:val="BodyText"/>
              <w:rPr>
                <w:lang w:val="en-NZ"/>
              </w:rPr>
            </w:pP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Monitor includes observing conditions of the workplace at a frequency appropriate to the risk and work practices, and includes one or more of the following:</w:t>
            </w:r>
          </w:p>
          <w:p w:rsidR="00000000" w:rsidRPr="00A51C90" w:rsidP="00A51C90">
            <w:pPr>
              <w:pStyle w:val="ListBullet"/>
            </w:pPr>
            <w:r w:rsidRPr="00A51C90">
              <w:t>supervision/monitoring of contractors and/or employees</w:t>
            </w:r>
          </w:p>
          <w:p w:rsidR="00000000" w:rsidRPr="00A51C90" w:rsidP="00A51C90">
            <w:pPr>
              <w:pStyle w:val="ListBullet"/>
            </w:pPr>
            <w:r w:rsidRPr="00A51C90">
              <w:t>verification of permits, licences and tests</w:t>
            </w:r>
            <w:r w:rsidRPr="00A51C90">
              <w:t xml:space="preserve"> </w:t>
            </w:r>
          </w:p>
          <w:p w:rsidR="00000000" w:rsidRPr="00A51C90" w:rsidP="00A51C90">
            <w:pPr>
              <w:pStyle w:val="ListBullet"/>
            </w:pPr>
            <w:r w:rsidRPr="00A51C90">
              <w:t xml:space="preserve">document control  </w:t>
            </w:r>
          </w:p>
          <w:p w:rsidR="00000000" w:rsidRPr="00A51C90" w:rsidP="00A51C90">
            <w:pPr>
              <w:pStyle w:val="ListBullet"/>
            </w:pPr>
            <w:r w:rsidRPr="00A51C90">
              <w:t xml:space="preserve">checking work activities against permit conditions, site-specific safety procedures and requirements and relevant legislation/codes </w:t>
            </w:r>
          </w:p>
          <w:p w:rsidR="00000000" w:rsidRPr="00A51C90" w:rsidP="00A51C90">
            <w:pPr>
              <w:pStyle w:val="ListBullet"/>
            </w:pPr>
            <w:r w:rsidRPr="00A51C90">
              <w:t>identifying non-compliances</w:t>
            </w:r>
          </w:p>
          <w:p w:rsidR="00000000" w:rsidP="00A51C90">
            <w:pPr>
              <w:pStyle w:val="ListBullet"/>
              <w:rPr>
                <w:lang w:val="en-NZ"/>
              </w:rPr>
            </w:pP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Tools and equipment include one or more of the follo</w:t>
            </w:r>
            <w:r w:rsidRPr="00A51C90">
              <w:t>wing:</w:t>
            </w:r>
          </w:p>
          <w:p w:rsidR="00000000" w:rsidRPr="00A51C90" w:rsidP="00A51C90">
            <w:pPr>
              <w:pStyle w:val="ListBullet"/>
            </w:pPr>
            <w:r w:rsidRPr="00A51C90">
              <w:t xml:space="preserve">locks and tags </w:t>
            </w:r>
          </w:p>
          <w:p w:rsidR="00000000" w:rsidRPr="00A51C90" w:rsidP="00A51C90">
            <w:pPr>
              <w:pStyle w:val="ListBullet"/>
            </w:pPr>
            <w:r w:rsidRPr="00A51C90">
              <w:t>blinds/blanks</w:t>
            </w:r>
          </w:p>
          <w:p w:rsidR="00000000" w:rsidRPr="00A51C90" w:rsidP="00A51C90">
            <w:pPr>
              <w:pStyle w:val="ListBullet"/>
            </w:pPr>
            <w:r w:rsidRPr="00A51C90">
              <w:t>blind/blank list</w:t>
            </w:r>
          </w:p>
          <w:p w:rsidR="00000000" w:rsidRPr="00A51C90" w:rsidP="00A51C90">
            <w:pPr>
              <w:pStyle w:val="ListBullet"/>
            </w:pPr>
            <w:r w:rsidRPr="00A51C90">
              <w:t>gas testers and monitors</w:t>
            </w:r>
          </w:p>
          <w:p w:rsidR="00000000" w:rsidRPr="00A51C90" w:rsidP="00A51C90">
            <w:pPr>
              <w:pStyle w:val="ListBullet"/>
            </w:pPr>
            <w:r w:rsidRPr="00A51C90">
              <w:t>barricades</w:t>
            </w:r>
          </w:p>
          <w:p w:rsidR="00000000" w:rsidRPr="00A51C90" w:rsidP="00A51C90">
            <w:pPr>
              <w:pStyle w:val="ListBullet"/>
            </w:pPr>
            <w:r w:rsidRPr="00A51C90">
              <w:t>signage</w:t>
            </w:r>
          </w:p>
          <w:p w:rsidR="00000000" w:rsidRPr="00A51C90" w:rsidP="00A51C90">
            <w:pPr>
              <w:pStyle w:val="ListBullet"/>
            </w:pPr>
            <w:r w:rsidRPr="00A51C90">
              <w:t>communications equipment</w:t>
            </w:r>
          </w:p>
          <w:p w:rsidR="00000000" w:rsidRPr="00A51C90" w:rsidP="00A51C90">
            <w:pPr>
              <w:pStyle w:val="ListBullet"/>
            </w:pPr>
            <w:r w:rsidRPr="00A51C90">
              <w:t>process and equipment drawings</w:t>
            </w:r>
          </w:p>
          <w:p w:rsidR="00000000" w:rsidP="00A51C90">
            <w:pPr>
              <w:pStyle w:val="ListBullet"/>
              <w:rPr>
                <w:lang w:val="en-NZ"/>
              </w:rPr>
            </w:pPr>
          </w:p>
        </w:tc>
      </w:tr>
      <w:tr w:rsidTr="00BC5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C90">
            <w:pPr>
              <w:pStyle w:val="BodyText"/>
              <w:rPr>
                <w:lang w:val="en-NZ"/>
              </w:rPr>
            </w:pPr>
            <w:r w:rsidRPr="00A51C9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51C90" w:rsidP="00A51C90">
            <w:pPr>
              <w:pStyle w:val="BodyText"/>
            </w:pPr>
            <w:r w:rsidRPr="00A51C90">
              <w:t>Hazards include one or more of:</w:t>
            </w:r>
          </w:p>
          <w:p w:rsidR="00000000" w:rsidRPr="00A51C90" w:rsidP="00A51C90">
            <w:pPr>
              <w:pStyle w:val="ListBullet"/>
            </w:pPr>
            <w:r w:rsidRPr="00A51C90">
              <w:t>process isolations incomplete</w:t>
            </w:r>
          </w:p>
          <w:p w:rsidR="00000000" w:rsidRPr="00A51C90" w:rsidP="00A51C90">
            <w:pPr>
              <w:pStyle w:val="ListBullet"/>
            </w:pPr>
            <w:r w:rsidRPr="00A51C90">
              <w:t>mechanical a</w:t>
            </w:r>
            <w:r w:rsidRPr="00A51C90">
              <w:t>nd electrical isolations not in place</w:t>
            </w:r>
          </w:p>
          <w:p w:rsidR="00000000" w:rsidRPr="00A51C90" w:rsidP="00A51C90">
            <w:pPr>
              <w:pStyle w:val="ListBullet"/>
            </w:pPr>
            <w:r w:rsidRPr="00A51C90">
              <w:t>atmospheric testing incomplete and atmosphere not safe</w:t>
            </w:r>
          </w:p>
          <w:p w:rsidR="00000000" w:rsidRPr="00A51C90" w:rsidP="00A51C90">
            <w:pPr>
              <w:pStyle w:val="ListBullet"/>
            </w:pPr>
            <w:r w:rsidRPr="00A51C90">
              <w:t>electricity</w:t>
            </w:r>
          </w:p>
          <w:p w:rsidR="00000000" w:rsidRPr="00A51C90" w:rsidP="00A51C90">
            <w:pPr>
              <w:pStyle w:val="ListBullet"/>
            </w:pPr>
            <w:r w:rsidRPr="00A51C90">
              <w:t>gas</w:t>
            </w:r>
          </w:p>
          <w:p w:rsidR="00000000" w:rsidRPr="00A51C90" w:rsidP="00A51C90">
            <w:pPr>
              <w:pStyle w:val="ListBullet"/>
            </w:pPr>
            <w:r w:rsidRPr="00A51C90">
              <w:t xml:space="preserve">gases and liquids under pressure </w:t>
            </w:r>
          </w:p>
          <w:p w:rsidR="00000000" w:rsidRPr="00A51C90" w:rsidP="00A51C90">
            <w:pPr>
              <w:pStyle w:val="ListBullet"/>
            </w:pPr>
            <w:r w:rsidRPr="00A51C90">
              <w:t>structural hazards</w:t>
            </w:r>
          </w:p>
          <w:p w:rsidR="00000000" w:rsidRPr="00A51C90" w:rsidP="00A51C90">
            <w:pPr>
              <w:pStyle w:val="ListBullet"/>
            </w:pPr>
            <w:r w:rsidRPr="00A51C90">
              <w:t>structural collapse</w:t>
            </w:r>
          </w:p>
          <w:p w:rsidR="00000000" w:rsidRPr="00A51C90" w:rsidP="00A51C90">
            <w:pPr>
              <w:pStyle w:val="ListBullet"/>
            </w:pPr>
            <w:r w:rsidRPr="00A51C90">
              <w:t>equipment failures</w:t>
            </w:r>
          </w:p>
          <w:p w:rsidR="00000000" w:rsidRPr="00A51C90" w:rsidP="00A51C90">
            <w:pPr>
              <w:pStyle w:val="ListBullet"/>
            </w:pPr>
            <w:r w:rsidRPr="00A51C90">
              <w:t>industrial (machinery, equipment and product)</w:t>
            </w:r>
          </w:p>
          <w:p w:rsidR="00000000" w:rsidRPr="00A51C90" w:rsidP="00A51C90">
            <w:pPr>
              <w:pStyle w:val="ListBullet"/>
            </w:pPr>
            <w:r w:rsidRPr="00A51C90">
              <w:t>equipment or product mass</w:t>
            </w:r>
          </w:p>
          <w:p w:rsidR="00000000" w:rsidRPr="00A51C90" w:rsidP="00A51C90">
            <w:pPr>
              <w:pStyle w:val="ListBullet"/>
            </w:pPr>
            <w:r w:rsidRPr="00A51C90">
              <w:t>noise, rotational equipment or vibration</w:t>
            </w:r>
          </w:p>
          <w:p w:rsidR="00000000" w:rsidRPr="00A51C90" w:rsidP="00A51C90">
            <w:pPr>
              <w:pStyle w:val="ListBullet"/>
            </w:pPr>
            <w:r w:rsidRPr="00A51C90">
              <w:t xml:space="preserve">limited head spaces or overhangs </w:t>
            </w:r>
          </w:p>
          <w:p w:rsidR="00000000" w:rsidRPr="00A51C90" w:rsidP="00A51C90">
            <w:pPr>
              <w:pStyle w:val="ListBullet"/>
            </w:pPr>
            <w:r w:rsidRPr="00A51C90">
              <w:t>working where a fall is reasonably likely, in restricted or confined spaces, or in environments subjected to heat, noise, dusts, smoke, darkness, vapours o</w:t>
            </w:r>
            <w:r w:rsidRPr="00A51C90">
              <w:t xml:space="preserve">r other atmospheric hazards </w:t>
            </w:r>
          </w:p>
          <w:p w:rsidR="00000000" w:rsidRPr="00A51C90" w:rsidP="00A51C90">
            <w:pPr>
              <w:pStyle w:val="ListBullet"/>
            </w:pPr>
            <w:r w:rsidRPr="00A51C90">
              <w:t>flammability and explosivity</w:t>
            </w:r>
          </w:p>
          <w:p w:rsidR="00000000" w:rsidRPr="00A51C90" w:rsidP="00A51C90">
            <w:pPr>
              <w:pStyle w:val="ListBullet"/>
            </w:pPr>
            <w:r w:rsidRPr="00A51C90">
              <w:t>hazardous products and materials</w:t>
            </w:r>
          </w:p>
          <w:p w:rsidR="00000000" w:rsidRPr="00A51C90" w:rsidP="00A51C90">
            <w:pPr>
              <w:pStyle w:val="ListBullet"/>
            </w:pPr>
            <w:r w:rsidRPr="00A51C90">
              <w:t>unauthorised personnel</w:t>
            </w:r>
          </w:p>
          <w:p w:rsidR="00000000" w:rsidRPr="00A51C90" w:rsidP="00A51C90">
            <w:pPr>
              <w:pStyle w:val="ListBullet"/>
            </w:pPr>
            <w:r w:rsidRPr="00A51C90">
              <w:t>sharp edges, protrusions or obstructions</w:t>
            </w:r>
          </w:p>
          <w:p w:rsidR="00000000" w:rsidRPr="00A51C90" w:rsidP="00A51C90">
            <w:pPr>
              <w:pStyle w:val="ListBullet"/>
            </w:pPr>
            <w:r w:rsidRPr="00A51C90">
              <w:t>slippery surfaces, spills or leaks</w:t>
            </w:r>
          </w:p>
          <w:p w:rsidR="00000000" w:rsidRPr="00A51C90" w:rsidP="00A51C90">
            <w:pPr>
              <w:pStyle w:val="ListBullet"/>
            </w:pPr>
            <w:r w:rsidRPr="00A51C90">
              <w:t>extreme weather</w:t>
            </w:r>
          </w:p>
          <w:p w:rsidR="00000000" w:rsidRPr="00A51C90" w:rsidP="00A51C90">
            <w:pPr>
              <w:pStyle w:val="ListBullet"/>
            </w:pPr>
            <w:r w:rsidRPr="00A51C90">
              <w:t>other hazards that might arise</w:t>
            </w:r>
          </w:p>
        </w:tc>
      </w:tr>
    </w:tbl>
    <w:p w:rsidR="00000000" w:rsidRPr="00A51C90" w:rsidP="00A51C90">
      <w:pPr>
        <w:pStyle w:val="BodyText"/>
      </w:pPr>
    </w:p>
    <w:p w:rsidR="00000000" w:rsidRPr="00A51C90" w:rsidP="00A51C90">
      <w:pPr>
        <w:pStyle w:val="AllowPageBreak"/>
      </w:pPr>
    </w:p>
    <w:p w:rsidR="00000000" w:rsidRPr="00A51C90" w:rsidP="00A51C90">
      <w:pPr>
        <w:pStyle w:val="Heading1"/>
      </w:pPr>
      <w:bookmarkStart w:id="9" w:name="O_871106"/>
      <w:bookmarkEnd w:id="9"/>
      <w:r w:rsidRPr="00A51C90">
        <w:t>Unit Mapping Information</w:t>
      </w:r>
    </w:p>
    <w:p w:rsidR="00000000" w:rsidRPr="00A51C90" w:rsidP="00BC5372">
      <w:pPr>
        <w:pStyle w:val="BodyText"/>
      </w:pPr>
      <w:r w:rsidRPr="00A51C90">
        <w:t>Release 1. Supersedes and is equivalent to MSAPMPER201A Monitor and control work permits</w:t>
      </w:r>
    </w:p>
    <w:p w:rsidR="00000000" w:rsidRPr="00A51C90" w:rsidP="00A51C90">
      <w:pPr>
        <w:pStyle w:val="Heading1"/>
      </w:pPr>
      <w:bookmarkStart w:id="10" w:name="O_871099"/>
      <w:bookmarkEnd w:id="10"/>
      <w:r w:rsidRPr="00A51C90">
        <w:t>Links</w:t>
      </w:r>
    </w:p>
    <w:p w:rsidR="00000000" w:rsidRPr="00A51C90" w:rsidP="00BC5372">
      <w:pPr>
        <w:pStyle w:val="BodyText"/>
      </w:pPr>
      <w:r w:rsidRPr="00A51C9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83E36">
        <w:rPr>
          <w:rStyle w:val="Hyperlink"/>
        </w:rPr>
        <w:t>https://vetnet.gov.au/Pages/TrainingDocs.aspx?q=d1287d36-dff4-4e9f-ad2c-9d6270054027</w:t>
      </w:r>
      <w:r>
        <w:fldChar w:fldCharType="end"/>
      </w:r>
    </w:p>
    <w:p w:rsidR="00000000" w:rsidRPr="00A51C90" w:rsidP="00BC5372">
      <w:pPr>
        <w:pStyle w:val="BodyText"/>
        <w:sectPr w:rsidSect="00A51C90">
          <w:headerReference w:type="default" r:id="rId10"/>
          <w:footerReference w:type="default" r:id="rId11"/>
          <w:pgSz w:w="11908" w:h="16833"/>
          <w:pgMar w:top="1702" w:right="1418" w:bottom="1702" w:left="1418" w:header="992" w:footer="992" w:gutter="0"/>
          <w:cols w:space="720"/>
          <w:noEndnote/>
          <w:docGrid w:linePitch="299"/>
        </w:sectPr>
      </w:pPr>
    </w:p>
    <w:p w:rsidR="00000000" w:rsidRPr="00A51C90" w:rsidP="00A51C90">
      <w:pPr>
        <w:pStyle w:val="SuperHeading"/>
      </w:pPr>
      <w:r w:rsidRPr="00A51C90">
        <w:t>Assessment Requirements for MSMPER201 Monitor and control work permits</w:t>
      </w:r>
    </w:p>
    <w:p w:rsidR="00000000" w:rsidRPr="00A51C90" w:rsidP="00A51C90">
      <w:pPr>
        <w:pStyle w:val="Heading1"/>
      </w:pPr>
      <w:bookmarkStart w:id="11" w:name="O_871101"/>
      <w:bookmarkEnd w:id="11"/>
      <w:r w:rsidRPr="00A51C90">
        <w:t>Modification History</w:t>
      </w:r>
    </w:p>
    <w:p w:rsidR="00000000" w:rsidRPr="00A51C90" w:rsidP="00BC5372">
      <w:pPr>
        <w:pStyle w:val="BodyText"/>
      </w:pPr>
      <w:r w:rsidRPr="00A51C90">
        <w:t>Release 1. Supersedes and is equiv</w:t>
      </w:r>
      <w:r w:rsidRPr="00A51C90">
        <w:t>alent to MSAPMPER201A Monitor and control work permits</w:t>
      </w:r>
    </w:p>
    <w:p w:rsidR="00000000" w:rsidRPr="00A51C90" w:rsidP="00A51C90">
      <w:pPr>
        <w:pStyle w:val="Heading1"/>
      </w:pPr>
      <w:bookmarkStart w:id="12" w:name="O_871104"/>
      <w:bookmarkEnd w:id="12"/>
      <w:r w:rsidRPr="00A51C90">
        <w:t>Performance Evidence</w:t>
      </w:r>
    </w:p>
    <w:p w:rsidR="00000000" w:rsidRPr="00A51C90" w:rsidP="00BC5372">
      <w:pPr>
        <w:pStyle w:val="BodyText"/>
      </w:pPr>
      <w:r w:rsidRPr="00A51C90">
        <w:t xml:space="preserve">Evidence required to demonstrate competence in this unit must be relevant to and satisfy the requirements of the elements and performance criteria and demonstrate </w:t>
      </w:r>
      <w:r w:rsidRPr="00A51C90">
        <w:t>the ability to:</w:t>
      </w:r>
    </w:p>
    <w:p w:rsidR="00000000" w:rsidRPr="00A51C90" w:rsidP="00A51C90">
      <w:pPr>
        <w:pStyle w:val="ListBullet"/>
      </w:pPr>
      <w:r w:rsidRPr="00A51C90">
        <w:t xml:space="preserve">identify activities requiring a permit and type of permit required </w:t>
      </w:r>
    </w:p>
    <w:p w:rsidR="00000000" w:rsidRPr="00A51C90" w:rsidP="00A51C90">
      <w:pPr>
        <w:pStyle w:val="ListBullet"/>
      </w:pPr>
      <w:r w:rsidRPr="00A51C90">
        <w:t xml:space="preserve">monitor the conditions of work under the permit </w:t>
      </w:r>
    </w:p>
    <w:p w:rsidR="00000000" w:rsidRPr="00A51C90" w:rsidP="00A51C90">
      <w:pPr>
        <w:pStyle w:val="ListBullet"/>
      </w:pPr>
      <w:r w:rsidRPr="00A51C90">
        <w:t xml:space="preserve">identify changes in work and site circumstances that affect permit </w:t>
      </w:r>
    </w:p>
    <w:p w:rsidR="00000000" w:rsidRPr="00A51C90" w:rsidP="00A51C90">
      <w:pPr>
        <w:pStyle w:val="ListBullet"/>
      </w:pPr>
      <w:r w:rsidRPr="00A51C90">
        <w:t>com</w:t>
      </w:r>
      <w:r w:rsidRPr="00A51C90">
        <w:t xml:space="preserve">municate effectively with team/work group and other personnel to: </w:t>
      </w:r>
    </w:p>
    <w:p w:rsidR="00000000" w:rsidRPr="00A51C90" w:rsidP="00A51C90">
      <w:pPr>
        <w:pStyle w:val="ListBullet2"/>
      </w:pPr>
      <w:r w:rsidRPr="00A51C90">
        <w:t>explain the requirements of the permit</w:t>
      </w:r>
    </w:p>
    <w:p w:rsidR="00000000" w:rsidRPr="00A51C90" w:rsidP="00A51C90">
      <w:pPr>
        <w:pStyle w:val="ListBullet2"/>
      </w:pPr>
      <w:r w:rsidRPr="00A51C90">
        <w:t>explain and verify complex issues and requirements relevant to permit conditions</w:t>
      </w:r>
    </w:p>
    <w:p w:rsidR="00000000" w:rsidRPr="00A51C90" w:rsidP="00A51C90">
      <w:pPr>
        <w:pStyle w:val="ListBullet2"/>
      </w:pPr>
      <w:r w:rsidRPr="00A51C90">
        <w:t>withdraw or cause work to cease outside permit conditions</w:t>
      </w:r>
    </w:p>
    <w:p w:rsidR="00000000" w:rsidRPr="00A51C90" w:rsidP="00A51C90">
      <w:pPr>
        <w:pStyle w:val="ListBullet2"/>
      </w:pPr>
      <w:r w:rsidRPr="00A51C90">
        <w:t>explain an</w:t>
      </w:r>
      <w:r w:rsidRPr="00A51C90">
        <w:t>d implement safety and incident response procedures</w:t>
      </w:r>
    </w:p>
    <w:p w:rsidR="00000000" w:rsidRPr="00A51C90" w:rsidP="00A51C90">
      <w:pPr>
        <w:pStyle w:val="ListBullet"/>
      </w:pPr>
      <w:r w:rsidRPr="00A51C90">
        <w:t>identify and report any non-conformance with permit conditions</w:t>
      </w:r>
    </w:p>
    <w:p w:rsidR="00000000" w:rsidRPr="00A51C90" w:rsidP="00A51C90">
      <w:pPr>
        <w:pStyle w:val="ListBullet"/>
      </w:pPr>
      <w:r w:rsidRPr="00A51C90">
        <w:t>speak clearly and unambiguously in the language of the worksite</w:t>
      </w:r>
    </w:p>
    <w:p w:rsidR="00000000" w:rsidRPr="00A51C90" w:rsidP="00A51C90">
      <w:pPr>
        <w:pStyle w:val="ListBullet"/>
      </w:pPr>
      <w:r w:rsidRPr="00A51C90">
        <w:t>complete workplace forms and reports</w:t>
      </w:r>
    </w:p>
    <w:p w:rsidR="00000000" w:rsidRPr="00A51C90" w:rsidP="00BC5372">
      <w:pPr>
        <w:pStyle w:val="BodyText"/>
      </w:pPr>
      <w:r w:rsidRPr="00A51C90">
        <w:t>differentiate between acceptable and un</w:t>
      </w:r>
      <w:r w:rsidRPr="00A51C90">
        <w:t>acceptable conditions</w:t>
      </w:r>
      <w:r>
        <w:t xml:space="preserve"> </w:t>
      </w:r>
      <w:r w:rsidRPr="00A51C90">
        <w:t>identify hazards and apply relevant hazard controls.</w:t>
      </w:r>
    </w:p>
    <w:p w:rsidR="00000000" w:rsidRPr="00A51C90" w:rsidP="00A51C90">
      <w:pPr>
        <w:pStyle w:val="AllowPageBreak"/>
      </w:pPr>
    </w:p>
    <w:p w:rsidR="00000000" w:rsidRPr="00A51C90" w:rsidP="00A51C90">
      <w:pPr>
        <w:pStyle w:val="Heading1"/>
      </w:pPr>
      <w:bookmarkStart w:id="13" w:name="O_871103"/>
      <w:bookmarkEnd w:id="13"/>
      <w:r w:rsidRPr="00A51C90">
        <w:t>Knowledge Evidence</w:t>
      </w:r>
    </w:p>
    <w:p w:rsidR="00000000" w:rsidRPr="00A51C90" w:rsidP="00BC5372">
      <w:pPr>
        <w:pStyle w:val="BodyText"/>
      </w:pPr>
      <w:r w:rsidRPr="00A51C90">
        <w:t>Evidence must be provided that demonstrates knowledge of:</w:t>
      </w:r>
    </w:p>
    <w:p w:rsidR="00000000" w:rsidRPr="00A51C90" w:rsidP="00A51C90">
      <w:pPr>
        <w:pStyle w:val="ListBullet"/>
      </w:pPr>
      <w:r w:rsidRPr="00A51C90">
        <w:t>organisation procedures, including:</w:t>
      </w:r>
    </w:p>
    <w:p w:rsidR="00000000" w:rsidRPr="00A51C90" w:rsidP="00A51C90">
      <w:pPr>
        <w:pStyle w:val="ListBullet2"/>
      </w:pPr>
      <w:r w:rsidRPr="00A51C90">
        <w:t>work permit systems</w:t>
      </w:r>
    </w:p>
    <w:p w:rsidR="00000000" w:rsidRPr="00A51C90" w:rsidP="00A51C90">
      <w:pPr>
        <w:pStyle w:val="ListBullet2"/>
      </w:pPr>
      <w:r w:rsidRPr="00A51C90">
        <w:t>safety, emergency and hazard control</w:t>
      </w:r>
    </w:p>
    <w:p w:rsidR="00000000" w:rsidRPr="00A51C90" w:rsidP="00A51C90">
      <w:pPr>
        <w:pStyle w:val="ListBullet2"/>
      </w:pPr>
      <w:r w:rsidRPr="00A51C90">
        <w:t xml:space="preserve">incident response </w:t>
      </w:r>
    </w:p>
    <w:p w:rsidR="00000000" w:rsidRPr="00A51C90" w:rsidP="00A51C90">
      <w:pPr>
        <w:pStyle w:val="ListBullet2"/>
      </w:pPr>
      <w:r w:rsidRPr="00A51C90">
        <w:t>plant isolation and preparation requirements</w:t>
      </w:r>
    </w:p>
    <w:p w:rsidR="00000000" w:rsidRPr="00A51C90" w:rsidP="00A51C90">
      <w:pPr>
        <w:pStyle w:val="ListBullet2"/>
      </w:pPr>
      <w:r w:rsidRPr="00A51C90">
        <w:t>relevant organisation procedures</w:t>
      </w:r>
    </w:p>
    <w:p w:rsidR="00000000" w:rsidRPr="00A51C90" w:rsidP="00A51C90">
      <w:pPr>
        <w:pStyle w:val="ListBullet"/>
      </w:pPr>
      <w:r w:rsidRPr="00A51C90">
        <w:t>hazards that may arise in the job and plant, including:</w:t>
      </w:r>
    </w:p>
    <w:p w:rsidR="00000000" w:rsidRPr="00A51C90" w:rsidP="00A51C90">
      <w:pPr>
        <w:pStyle w:val="ListBullet2"/>
      </w:pPr>
      <w:r w:rsidRPr="00A51C90">
        <w:t xml:space="preserve">their possible causes </w:t>
      </w:r>
    </w:p>
    <w:p w:rsidR="00000000" w:rsidRPr="00A51C90" w:rsidP="00A51C90">
      <w:pPr>
        <w:pStyle w:val="ListBullet2"/>
      </w:pPr>
      <w:r w:rsidRPr="00A51C90">
        <w:t>potential consequences</w:t>
      </w:r>
    </w:p>
    <w:p w:rsidR="00000000" w:rsidRPr="00A51C90" w:rsidP="00A51C90">
      <w:pPr>
        <w:pStyle w:val="ListBullet2"/>
      </w:pPr>
      <w:r w:rsidRPr="00A51C90">
        <w:t>appropriate risk c</w:t>
      </w:r>
      <w:r w:rsidRPr="00A51C90">
        <w:t xml:space="preserve">ontrols </w:t>
      </w:r>
    </w:p>
    <w:p w:rsidR="00000000" w:rsidRPr="00A51C90" w:rsidP="00A51C90">
      <w:pPr>
        <w:pStyle w:val="ListBullet"/>
      </w:pPr>
      <w:r w:rsidRPr="00A51C90">
        <w:t>functions and components of a permit system</w:t>
      </w:r>
    </w:p>
    <w:p w:rsidR="00000000" w:rsidRPr="00A51C90" w:rsidP="00A51C90">
      <w:pPr>
        <w:pStyle w:val="ListBullet"/>
      </w:pPr>
      <w:r w:rsidRPr="00A51C90">
        <w:t>types of permits, what they cover, limitations and associated hazards.</w:t>
      </w:r>
    </w:p>
    <w:p w:rsidR="00000000" w:rsidRPr="00A51C90" w:rsidP="00A51C90">
      <w:pPr>
        <w:pStyle w:val="AllowPageBreak"/>
      </w:pPr>
    </w:p>
    <w:p w:rsidR="00000000" w:rsidRPr="00A51C90" w:rsidP="00A51C90">
      <w:pPr>
        <w:pStyle w:val="Heading1"/>
      </w:pPr>
      <w:bookmarkStart w:id="14" w:name="O_871102"/>
      <w:bookmarkEnd w:id="14"/>
      <w:r w:rsidRPr="00A51C90">
        <w:t>Assessment Conditions</w:t>
      </w:r>
    </w:p>
    <w:p w:rsidR="00000000" w:rsidRPr="00A51C90" w:rsidP="00A51C90">
      <w:pPr>
        <w:pStyle w:val="ListBullet"/>
      </w:pPr>
      <w:r w:rsidRPr="00A51C90">
        <w:t>Competency must be achieved before performing this work unsupervised. Therefore this unit will typically be assessed off the job. Where assessment is undertaken on the job appropriate supervision and safety precautions must be provided.</w:t>
      </w:r>
    </w:p>
    <w:p w:rsidR="00000000" w:rsidRPr="00A51C90" w:rsidP="00A51C90">
      <w:pPr>
        <w:pStyle w:val="ListBullet"/>
      </w:pPr>
      <w:r w:rsidRPr="00A51C90">
        <w:t xml:space="preserve">The unit should be </w:t>
      </w:r>
      <w:r w:rsidRPr="00A51C90">
        <w:t xml:space="preserve">assessed holistically and the judgement of competence shall be based on a holistic assessment of the evidence. </w:t>
      </w:r>
    </w:p>
    <w:p w:rsidR="00000000" w:rsidRPr="00A51C90" w:rsidP="00A51C90">
      <w:pPr>
        <w:pStyle w:val="ListBullet"/>
      </w:pPr>
      <w:r w:rsidRPr="00A51C90">
        <w:t>The collection of performance evidence:</w:t>
      </w:r>
    </w:p>
    <w:p w:rsidR="00000000" w:rsidRPr="00A51C90" w:rsidP="00A51C90">
      <w:pPr>
        <w:pStyle w:val="ListBullet2"/>
      </w:pPr>
      <w:r w:rsidRPr="00A51C90">
        <w:t xml:space="preserve">should provide evidence of the ability to perform over the range of situations which might be expected </w:t>
      </w:r>
      <w:r w:rsidRPr="00A51C90">
        <w:t>to be encountered, including typical disruptions to normal, smooth work conditions</w:t>
      </w:r>
    </w:p>
    <w:p w:rsidR="00000000" w:rsidRPr="00A51C90" w:rsidP="00A51C90">
      <w:pPr>
        <w:pStyle w:val="ListBullet2"/>
      </w:pPr>
      <w:r w:rsidRPr="00A51C90">
        <w:t>must include the use of typical permits</w:t>
      </w:r>
    </w:p>
    <w:p w:rsidR="00000000" w:rsidRPr="00A51C90" w:rsidP="00A51C90">
      <w:pPr>
        <w:pStyle w:val="ListBullet2"/>
      </w:pPr>
      <w:r w:rsidRPr="00A51C90">
        <w:t>may use industry-based simulation particularly where safety, lack of opportunity or significant cost is an issue.</w:t>
      </w:r>
    </w:p>
    <w:p w:rsidR="00000000" w:rsidRPr="00A51C90" w:rsidP="00A51C90">
      <w:pPr>
        <w:pStyle w:val="ListBullet"/>
      </w:pPr>
      <w:r w:rsidRPr="00A51C90">
        <w:t>Off-the-job assess</w:t>
      </w:r>
      <w:r w:rsidRPr="00A51C90">
        <w:t xml:space="preserve">ment must sufficiently reflect realistic operational workplace conditions that cover all aspects of workplace performance, including environment, task skills, task management skills, contingency management skills and job role environment skills.  </w:t>
      </w:r>
    </w:p>
    <w:p w:rsidR="00000000" w:rsidRPr="00A51C90" w:rsidP="00A51C90">
      <w:pPr>
        <w:pStyle w:val="ListBullet"/>
      </w:pPr>
      <w:r w:rsidRPr="00A51C90">
        <w:t>Assessme</w:t>
      </w:r>
      <w:r w:rsidRPr="00A51C90">
        <w:t xml:space="preserve">nt in a simulated environment should use evidence collected from one or more of: </w:t>
      </w:r>
    </w:p>
    <w:p w:rsidR="00000000" w:rsidRPr="00A51C90" w:rsidP="00A51C90">
      <w:pPr>
        <w:pStyle w:val="ListBullet2"/>
      </w:pPr>
      <w:r w:rsidRPr="00A51C90">
        <w:t>walk-throughs</w:t>
      </w:r>
    </w:p>
    <w:p w:rsidR="00000000" w:rsidRPr="00A51C90" w:rsidP="00A51C90">
      <w:pPr>
        <w:pStyle w:val="ListBullet2"/>
      </w:pPr>
      <w:r w:rsidRPr="00A51C90">
        <w:t>demonstration of skills</w:t>
      </w:r>
    </w:p>
    <w:p w:rsidR="00000000" w:rsidRPr="00A51C90" w:rsidP="00A51C90">
      <w:pPr>
        <w:pStyle w:val="ListBullet2"/>
      </w:pPr>
      <w:r w:rsidRPr="00A51C90">
        <w:t xml:space="preserve">industry-based case studies/scenarios </w:t>
      </w:r>
    </w:p>
    <w:p w:rsidR="00000000" w:rsidRPr="00A51C90" w:rsidP="00A51C90">
      <w:pPr>
        <w:pStyle w:val="ListBullet2"/>
      </w:pPr>
      <w:r w:rsidRPr="00A51C90">
        <w:t>‘what ifs’.</w:t>
      </w:r>
    </w:p>
    <w:p w:rsidR="00000000" w:rsidRPr="00A51C90" w:rsidP="00A51C90">
      <w:pPr>
        <w:pStyle w:val="ListBullet"/>
      </w:pPr>
      <w:r w:rsidRPr="00A51C90">
        <w:t xml:space="preserve">Knowledge evidence may be collected concurrently with performance evidence (provided a record is kept) or through an independent process, such as workbooks, written assessments or interviews (provided a record is kept). </w:t>
      </w:r>
    </w:p>
    <w:p w:rsidR="00000000" w:rsidRPr="00A51C90" w:rsidP="00A51C90">
      <w:pPr>
        <w:pStyle w:val="ListBullet"/>
      </w:pPr>
      <w:r w:rsidRPr="00A51C90">
        <w:t>Assessment processes and techniques</w:t>
      </w:r>
      <w:r w:rsidRPr="00A51C90">
        <w:t xml:space="preserve"> must be appropriate to the language, literacy and numeracy requirements of the work being performed and the needs of the candidate.</w:t>
      </w:r>
    </w:p>
    <w:p w:rsidR="00000000" w:rsidRPr="00A51C90" w:rsidP="00A51C90">
      <w:pPr>
        <w:pStyle w:val="ListBullet"/>
      </w:pPr>
      <w:r w:rsidRPr="00A51C90">
        <w:t>Conditions for assessment must include access to all tools, equipment, materials and documentation required, including rele</w:t>
      </w:r>
      <w:r w:rsidRPr="00A51C90">
        <w:t>vant workplace procedures, product and manufacturing specifications associated with this unit.</w:t>
      </w:r>
    </w:p>
    <w:p w:rsidR="00000000" w:rsidRPr="00A51C90" w:rsidP="00A51C90">
      <w:pPr>
        <w:pStyle w:val="ListBullet"/>
      </w:pPr>
      <w:r w:rsidRPr="00A51C90">
        <w:t>The regulatory framework will be reflected in workplace policies and procedures and is not required to be independently assessed.</w:t>
      </w:r>
    </w:p>
    <w:p w:rsidR="00000000" w:rsidRPr="00A51C90" w:rsidP="00A51C90">
      <w:pPr>
        <w:pStyle w:val="ListBullet"/>
      </w:pPr>
      <w:r w:rsidRPr="00A51C90">
        <w:t xml:space="preserve">Foundation skills are integral </w:t>
      </w:r>
      <w:r w:rsidRPr="00A51C90">
        <w:t>to competent performance of the unit and should not be assessed separately.</w:t>
      </w:r>
    </w:p>
    <w:p w:rsidR="00000000" w:rsidRPr="00A51C90" w:rsidP="00A51C90">
      <w:pPr>
        <w:pStyle w:val="ListBullet"/>
      </w:pPr>
      <w:r w:rsidRPr="00A51C90">
        <w:t>As a minimum, assessors must satisfy the Standards for Registered Training Organisations 2015 assessor requirements.</w:t>
      </w:r>
    </w:p>
    <w:p w:rsidR="00000000" w:rsidRPr="00A51C90" w:rsidP="00A51C90">
      <w:pPr>
        <w:pStyle w:val="AllowPageBreak"/>
      </w:pPr>
    </w:p>
    <w:p w:rsidR="00000000" w:rsidRPr="00A51C90" w:rsidP="00A51C90">
      <w:pPr>
        <w:pStyle w:val="Heading1"/>
      </w:pPr>
      <w:bookmarkStart w:id="15" w:name="O_871100"/>
      <w:bookmarkEnd w:id="15"/>
      <w:r w:rsidRPr="00A51C90">
        <w:t>Links</w:t>
      </w:r>
    </w:p>
    <w:p w:rsidR="00000000" w:rsidRPr="00A51C90" w:rsidP="00BC5372">
      <w:pPr>
        <w:pStyle w:val="BodyText"/>
      </w:pPr>
      <w:r w:rsidRPr="00A51C90">
        <w:t>Companion Volume implementation guides a</w:t>
      </w:r>
      <w:r w:rsidRPr="00A51C90">
        <w:t xml:space="preserve">re found in VETNet - </w:t>
      </w:r>
      <w:r>
        <w:fldChar w:fldCharType="begin"/>
      </w:r>
      <w:r>
        <w:instrText xml:space="preserve"> HYPERLINK "https://vetnet.gov.au/Pages/TrainingDocs.aspx?q=d1287d36-dff4-4e9f-ad2c-9d6270054027" </w:instrText>
      </w:r>
      <w:r>
        <w:fldChar w:fldCharType="separate"/>
      </w:r>
      <w:r w:rsidRPr="00D83E36">
        <w:rPr>
          <w:rStyle w:val="Hyperlink"/>
        </w:rPr>
        <w:t>https://vetnet.gov.au/Pages/TrainingDocs.aspx?q=d1287d36-dff4-4e9f-ad2c-9d6270054027</w:t>
      </w:r>
      <w:r>
        <w:fldChar w:fldCharType="end"/>
      </w:r>
    </w:p>
    <w:p w:rsidR="00000000" w:rsidRPr="00A51C90" w:rsidP="00A51C90"/>
    <w:sectPr w:rsidSect="00A51C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90" w:rsidRPr="00BC5372" w:rsidP="00BC5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72" w:rsidP="00A51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C5372" w:rsidP="00A51C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C5372" w:rsidP="00A51C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90" w:rsidP="00A51C90">
    <w:pPr>
      <w:pStyle w:val="Footer"/>
      <w:framePr w:wrap="around"/>
    </w:pPr>
    <w:r>
      <w:fldChar w:fldCharType="begin"/>
    </w:r>
    <w:r>
      <w:instrText xml:space="preserve"> DOCPROPERTY  Subject  \* MERGEFORMAT </w:instrText>
    </w:r>
    <w:r>
      <w:fldChar w:fldCharType="separate"/>
    </w:r>
    <w:r w:rsidR="00BC5372">
      <w:t>Approved</w:t>
    </w:r>
    <w:r w:rsidR="00BC5372">
      <w:fldChar w:fldCharType="end"/>
    </w:r>
    <w:r>
      <w:tab/>
      <w:t xml:space="preserve">Page </w:t>
    </w:r>
    <w:r>
      <w:fldChar w:fldCharType="begin"/>
    </w:r>
    <w:r>
      <w:instrText xml:space="preserve"> PAGE  \* Arabic  \* MERGEFORMAT </w:instrText>
    </w:r>
    <w:r>
      <w:fldChar w:fldCharType="separate"/>
    </w:r>
    <w:r w:rsidR="00BC537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5372">
      <w:rPr>
        <w:noProof/>
      </w:rPr>
      <w:t>7</w:t>
    </w:r>
    <w:r>
      <w:rPr>
        <w:noProof/>
      </w:rPr>
      <w:fldChar w:fldCharType="end"/>
    </w:r>
  </w:p>
  <w:p w:rsidR="00A51C90" w:rsidP="00A51C90">
    <w:pPr>
      <w:pStyle w:val="Footer"/>
      <w:framePr w:wrap="around"/>
    </w:pPr>
    <w:r>
      <w:t xml:space="preserve">© Commonwealth of Australia, </w:t>
    </w:r>
    <w:r>
      <w:fldChar w:fldCharType="begin"/>
    </w:r>
    <w:r>
      <w:instrText xml:space="preserve"> DATE  \@ "yyyy"  \* MERGEFORMAT </w:instrText>
    </w:r>
    <w:r>
      <w:fldChar w:fldCharType="separate"/>
    </w:r>
    <w:r w:rsidR="00BC5372">
      <w:rPr>
        <w:noProof/>
      </w:rPr>
      <w:t>2025</w:t>
    </w:r>
    <w:r>
      <w:fldChar w:fldCharType="end"/>
    </w:r>
    <w:r>
      <w:tab/>
    </w:r>
    <w:r>
      <w:fldChar w:fldCharType="begin"/>
    </w:r>
    <w:r>
      <w:instrText xml:space="preserve"> DOCPROPERTY  Author  \* MERGEFORMAT </w:instrText>
    </w:r>
    <w:r>
      <w:fldChar w:fldCharType="separate"/>
    </w:r>
    <w:r w:rsidR="00BC5372">
      <w:t>Manufacturing Industry Skills Alliance</w:t>
    </w:r>
    <w:r w:rsidR="00BC5372">
      <w:fldChar w:fldCharType="end"/>
    </w:r>
  </w:p>
  <w:p w:rsidR="00A51C90" w:rsidP="00A51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C90" w:rsidRPr="00BC5372" w:rsidP="00BC53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372" w:rsidRPr="002D2AF8" w:rsidP="00A51C90">
    <w:pPr>
      <w:pStyle w:val="Header"/>
      <w:framePr w:wrap="around"/>
    </w:pPr>
    <w:r>
      <w:fldChar w:fldCharType="begin"/>
    </w:r>
    <w:r>
      <w:instrText xml:space="preserve"> TITLE   \* MERGEFORMAT </w:instrText>
    </w:r>
    <w:r>
      <w:fldChar w:fldCharType="separate"/>
    </w:r>
    <w:r>
      <w:t>MSMPER201 Monitor and control work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5372" w:rsidP="00A51C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90" w:rsidRPr="002D2AF8" w:rsidP="00A51C90">
    <w:pPr>
      <w:pStyle w:val="Header"/>
      <w:framePr w:wrap="around"/>
    </w:pPr>
    <w:r>
      <w:fldChar w:fldCharType="begin"/>
    </w:r>
    <w:r>
      <w:instrText xml:space="preserve"> TITLE   \* MERGEFORMAT </w:instrText>
    </w:r>
    <w:r>
      <w:fldChar w:fldCharType="separate"/>
    </w:r>
    <w:r w:rsidR="00BC5372">
      <w:t>MSMPER201 Monitor and control work permits</w:t>
    </w:r>
    <w:r w:rsidR="00BC5372">
      <w:fldChar w:fldCharType="end"/>
    </w:r>
    <w:r>
      <w:tab/>
      <w:t xml:space="preserve">Date this document was generated: </w:t>
    </w:r>
    <w:r>
      <w:fldChar w:fldCharType="begin"/>
    </w:r>
    <w:r>
      <w:instrText xml:space="preserve"> CREATEDATE  \@ "d MMMM yyyy"  \* MERGEFORMAT </w:instrText>
    </w:r>
    <w:r>
      <w:fldChar w:fldCharType="separate"/>
    </w:r>
    <w:r w:rsidR="00BC5372">
      <w:rPr>
        <w:noProof/>
      </w:rPr>
      <w:t>2 March 2025</w:t>
    </w:r>
    <w:r>
      <w:fldChar w:fldCharType="end"/>
    </w:r>
  </w:p>
  <w:p w:rsidR="00A51C90" w:rsidP="00A51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44F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AA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422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C90"/>
    <w:pPr>
      <w:spacing w:before="360" w:after="60"/>
      <w:outlineLvl w:val="0"/>
    </w:pPr>
    <w:rPr>
      <w:sz w:val="32"/>
    </w:rPr>
  </w:style>
  <w:style w:type="paragraph" w:styleId="Heading2">
    <w:name w:val="heading 2"/>
    <w:basedOn w:val="HeadingBase"/>
    <w:next w:val="BodyText"/>
    <w:link w:val="Heading2Char"/>
    <w:qFormat/>
    <w:rsid w:val="00A51C90"/>
    <w:pPr>
      <w:keepLines/>
      <w:spacing w:before="240" w:after="120"/>
      <w:outlineLvl w:val="1"/>
    </w:pPr>
    <w:rPr>
      <w:sz w:val="28"/>
      <w:szCs w:val="40"/>
    </w:rPr>
  </w:style>
  <w:style w:type="paragraph" w:styleId="Heading3">
    <w:name w:val="heading 3"/>
    <w:basedOn w:val="HeadingBase"/>
    <w:next w:val="BodyText"/>
    <w:link w:val="Heading3Char"/>
    <w:qFormat/>
    <w:rsid w:val="00A51C90"/>
    <w:pPr>
      <w:spacing w:before="180" w:after="120"/>
      <w:outlineLvl w:val="2"/>
    </w:pPr>
    <w:rPr>
      <w:spacing w:val="-10"/>
      <w:kern w:val="32"/>
    </w:rPr>
  </w:style>
  <w:style w:type="paragraph" w:styleId="Heading4">
    <w:name w:val="heading 4"/>
    <w:basedOn w:val="HeadingBase"/>
    <w:next w:val="BodyText"/>
    <w:link w:val="Heading4Char"/>
    <w:qFormat/>
    <w:rsid w:val="00A51C90"/>
    <w:pPr>
      <w:spacing w:before="160" w:after="120"/>
      <w:outlineLvl w:val="3"/>
    </w:pPr>
    <w:rPr>
      <w:sz w:val="22"/>
    </w:rPr>
  </w:style>
  <w:style w:type="paragraph" w:styleId="Heading5">
    <w:name w:val="heading 5"/>
    <w:basedOn w:val="HeadingBase"/>
    <w:next w:val="Normal"/>
    <w:link w:val="Heading5Char"/>
    <w:qFormat/>
    <w:rsid w:val="00A51C90"/>
    <w:pPr>
      <w:spacing w:before="80"/>
      <w:outlineLvl w:val="4"/>
    </w:pPr>
    <w:rPr>
      <w:color w:val="918585"/>
      <w:sz w:val="20"/>
    </w:rPr>
  </w:style>
  <w:style w:type="paragraph" w:styleId="Heading6">
    <w:name w:val="heading 6"/>
    <w:basedOn w:val="HeadingBase"/>
    <w:next w:val="Normal"/>
    <w:link w:val="Heading6Char"/>
    <w:qFormat/>
    <w:rsid w:val="00A51C90"/>
    <w:pPr>
      <w:spacing w:before="60"/>
      <w:outlineLvl w:val="5"/>
    </w:pPr>
    <w:rPr>
      <w:color w:val="918585"/>
      <w:sz w:val="20"/>
    </w:rPr>
  </w:style>
  <w:style w:type="paragraph" w:styleId="Heading7">
    <w:name w:val="heading 7"/>
    <w:basedOn w:val="Normal"/>
    <w:next w:val="Normal"/>
    <w:link w:val="Heading7Char"/>
    <w:qFormat/>
    <w:rsid w:val="00A51C90"/>
    <w:pPr>
      <w:ind w:left="720"/>
      <w:outlineLvl w:val="6"/>
    </w:pPr>
    <w:rPr>
      <w:i/>
    </w:rPr>
  </w:style>
  <w:style w:type="paragraph" w:styleId="Heading8">
    <w:name w:val="heading 8"/>
    <w:basedOn w:val="Normal"/>
    <w:next w:val="Normal"/>
    <w:link w:val="Heading8Char"/>
    <w:qFormat/>
    <w:rsid w:val="00A51C90"/>
    <w:pPr>
      <w:ind w:left="720"/>
      <w:outlineLvl w:val="7"/>
    </w:pPr>
    <w:rPr>
      <w:i/>
    </w:rPr>
  </w:style>
  <w:style w:type="paragraph" w:styleId="Heading9">
    <w:name w:val="heading 9"/>
    <w:basedOn w:val="Normal"/>
    <w:next w:val="Normal"/>
    <w:link w:val="Heading9Char"/>
    <w:qFormat/>
    <w:rsid w:val="00A51C90"/>
    <w:pPr>
      <w:ind w:left="720"/>
      <w:outlineLvl w:val="8"/>
    </w:pPr>
    <w:rPr>
      <w:i/>
    </w:rPr>
  </w:style>
  <w:style w:type="character" w:default="1" w:styleId="DefaultParagraphFont">
    <w:name w:val="Default Paragraph Font"/>
    <w:uiPriority w:val="1"/>
    <w:unhideWhenUsed/>
    <w:rsid w:val="00A51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C90"/>
  </w:style>
  <w:style w:type="character" w:customStyle="1" w:styleId="Heading1Char">
    <w:name w:val="Heading 1 Char"/>
    <w:basedOn w:val="DefaultParagraphFont"/>
    <w:link w:val="Heading1"/>
    <w:rsid w:val="00A51C90"/>
    <w:rPr>
      <w:rFonts w:ascii="Times New Roman" w:eastAsia="Times New Roman" w:hAnsi="Times New Roman" w:cs="Times New Roman"/>
      <w:b/>
      <w:sz w:val="32"/>
      <w:szCs w:val="20"/>
      <w:lang w:eastAsia="en-US"/>
    </w:rPr>
  </w:style>
  <w:style w:type="paragraph" w:styleId="BodyText">
    <w:name w:val="Body Text"/>
    <w:basedOn w:val="Normal"/>
    <w:link w:val="BodyTextChar"/>
    <w:rsid w:val="00A51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C90"/>
    <w:rPr>
      <w:rFonts w:ascii="Times New Roman" w:eastAsia="Times New Roman" w:hAnsi="Times New Roman" w:cs="Times New Roman"/>
      <w:sz w:val="24"/>
      <w:lang w:eastAsia="en-US"/>
    </w:rPr>
  </w:style>
  <w:style w:type="paragraph" w:styleId="ListBullet">
    <w:name w:val="List Bullet"/>
    <w:basedOn w:val="List"/>
    <w:rsid w:val="00A51C90"/>
    <w:pPr>
      <w:numPr>
        <w:numId w:val="12"/>
      </w:numPr>
      <w:tabs>
        <w:tab w:val="clear" w:pos="340"/>
      </w:tabs>
      <w:spacing w:before="40" w:after="40"/>
    </w:pPr>
  </w:style>
  <w:style w:type="character" w:customStyle="1" w:styleId="SpecialBold">
    <w:name w:val="Special Bold"/>
    <w:basedOn w:val="DefaultParagraphFont"/>
    <w:rsid w:val="00A51C90"/>
    <w:rPr>
      <w:b/>
      <w:spacing w:val="0"/>
    </w:rPr>
  </w:style>
  <w:style w:type="paragraph" w:styleId="ListBullet2">
    <w:name w:val="List Bullet 2"/>
    <w:basedOn w:val="List2"/>
    <w:rsid w:val="00A51C90"/>
    <w:pPr>
      <w:numPr>
        <w:numId w:val="13"/>
      </w:numPr>
      <w:tabs>
        <w:tab w:val="clear" w:pos="680"/>
      </w:tabs>
    </w:pPr>
  </w:style>
  <w:style w:type="paragraph" w:customStyle="1" w:styleId="SuperHeading">
    <w:name w:val="SuperHeading"/>
    <w:basedOn w:val="Normal"/>
    <w:rsid w:val="00A51C90"/>
    <w:pPr>
      <w:spacing w:before="240" w:after="120"/>
      <w:outlineLvl w:val="0"/>
    </w:pPr>
    <w:rPr>
      <w:rFonts w:ascii="Times New Roman" w:hAnsi="Times New Roman"/>
      <w:b/>
      <w:sz w:val="32"/>
    </w:rPr>
  </w:style>
  <w:style w:type="paragraph" w:customStyle="1" w:styleId="AllowPageBreak">
    <w:name w:val="AllowPageBreak"/>
    <w:rsid w:val="00A51C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1C90"/>
    <w:rPr>
      <w:b/>
      <w:i/>
      <w:u w:val="none"/>
    </w:rPr>
  </w:style>
  <w:style w:type="character" w:customStyle="1" w:styleId="Heading2Char">
    <w:name w:val="Heading 2 Char"/>
    <w:basedOn w:val="DefaultParagraphFont"/>
    <w:link w:val="Heading2"/>
    <w:rsid w:val="00A51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C90"/>
    <w:rPr>
      <w:rFonts w:ascii="Courier New" w:eastAsia="Times New Roman" w:hAnsi="Courier New" w:cs="Times New Roman"/>
      <w:i/>
      <w:szCs w:val="20"/>
      <w:lang w:eastAsia="en-US"/>
    </w:rPr>
  </w:style>
  <w:style w:type="paragraph" w:customStyle="1" w:styleId="HeadingBase">
    <w:name w:val="Heading Base"/>
    <w:rsid w:val="00A51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C90"/>
    <w:pPr>
      <w:tabs>
        <w:tab w:val="right" w:leader="dot" w:pos="9072"/>
      </w:tabs>
      <w:ind w:left="567"/>
    </w:pPr>
    <w:rPr>
      <w:szCs w:val="22"/>
    </w:rPr>
  </w:style>
  <w:style w:type="paragraph" w:customStyle="1" w:styleId="TOCBase">
    <w:name w:val="TOC Base"/>
    <w:rsid w:val="00A51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C90"/>
    <w:pPr>
      <w:tabs>
        <w:tab w:val="right" w:leader="dot" w:pos="9072"/>
      </w:tabs>
      <w:spacing w:before="40" w:after="40"/>
      <w:ind w:left="284"/>
    </w:pPr>
    <w:rPr>
      <w:rFonts w:ascii="Times New Roman" w:hAnsi="Times New Roman"/>
    </w:rPr>
  </w:style>
  <w:style w:type="paragraph" w:styleId="TOC1">
    <w:name w:val="toc 1"/>
    <w:basedOn w:val="TOCBase"/>
    <w:next w:val="Normal"/>
    <w:rsid w:val="00A51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C90"/>
    <w:rPr>
      <w:rFonts w:ascii="Times New Roman" w:eastAsia="Times New Roman" w:hAnsi="Times New Roman" w:cs="Times New Roman"/>
      <w:sz w:val="16"/>
      <w:lang w:eastAsia="en-US"/>
    </w:rPr>
  </w:style>
  <w:style w:type="paragraph" w:styleId="Title">
    <w:name w:val="Title"/>
    <w:basedOn w:val="HeadingBase"/>
    <w:link w:val="TitleChar"/>
    <w:qFormat/>
    <w:rsid w:val="00A51C90"/>
    <w:pPr>
      <w:spacing w:before="5040"/>
      <w:jc w:val="center"/>
    </w:pPr>
    <w:rPr>
      <w:sz w:val="48"/>
      <w:szCs w:val="72"/>
      <w:lang w:val="en-US"/>
    </w:rPr>
  </w:style>
  <w:style w:type="character" w:customStyle="1" w:styleId="TitleChar">
    <w:name w:val="Title Char"/>
    <w:basedOn w:val="DefaultParagraphFont"/>
    <w:link w:val="Title"/>
    <w:rsid w:val="00A51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C90"/>
    <w:pPr>
      <w:tabs>
        <w:tab w:val="left" w:pos="3600"/>
        <w:tab w:val="left" w:pos="3958"/>
      </w:tabs>
    </w:pPr>
  </w:style>
  <w:style w:type="paragraph" w:styleId="List">
    <w:name w:val="List"/>
    <w:basedOn w:val="BodyText"/>
    <w:next w:val="BodyText"/>
    <w:rsid w:val="00A51C90"/>
    <w:pPr>
      <w:tabs>
        <w:tab w:val="left" w:pos="340"/>
      </w:tabs>
      <w:spacing w:before="60" w:after="60"/>
      <w:ind w:left="340" w:hanging="340"/>
    </w:pPr>
  </w:style>
  <w:style w:type="paragraph" w:customStyle="1" w:styleId="Note">
    <w:name w:val="Note"/>
    <w:basedOn w:val="BodyText"/>
    <w:rsid w:val="00A51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C90"/>
    <w:pPr>
      <w:framePr w:wrap="auto" w:hAnchor="text" w:y="6049"/>
    </w:pPr>
    <w:rPr>
      <w:color w:val="000000"/>
      <w:sz w:val="40"/>
    </w:rPr>
  </w:style>
  <w:style w:type="paragraph" w:customStyle="1" w:styleId="TOCTitle">
    <w:name w:val="TOCTitle"/>
    <w:basedOn w:val="Heading1"/>
    <w:rsid w:val="00A51C90"/>
    <w:pPr>
      <w:spacing w:after="240"/>
      <w:jc w:val="center"/>
      <w:outlineLvl w:val="9"/>
    </w:pPr>
    <w:rPr>
      <w:caps/>
    </w:rPr>
  </w:style>
  <w:style w:type="paragraph" w:customStyle="1" w:styleId="Version">
    <w:name w:val="Version"/>
    <w:rsid w:val="00A51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C90"/>
    <w:pPr>
      <w:keepNext w:val="0"/>
      <w:tabs>
        <w:tab w:val="right" w:pos="4176"/>
      </w:tabs>
      <w:ind w:left="198" w:hanging="198"/>
    </w:pPr>
    <w:rPr>
      <w:rFonts w:ascii="Garamond" w:hAnsi="Garamond"/>
    </w:rPr>
  </w:style>
  <w:style w:type="paragraph" w:styleId="IndexHeading">
    <w:name w:val="index heading"/>
    <w:basedOn w:val="Normal"/>
    <w:next w:val="Index1"/>
    <w:semiHidden/>
    <w:rsid w:val="00A51C90"/>
    <w:pPr>
      <w:spacing w:before="120" w:after="120"/>
    </w:pPr>
    <w:rPr>
      <w:rFonts w:ascii="Arial" w:hAnsi="Arial"/>
      <w:b/>
      <w:color w:val="918585"/>
      <w:sz w:val="24"/>
    </w:rPr>
  </w:style>
  <w:style w:type="paragraph" w:styleId="Header">
    <w:name w:val="header"/>
    <w:basedOn w:val="Normal"/>
    <w:link w:val="HeaderChar"/>
    <w:rsid w:val="00A51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C90"/>
    <w:rPr>
      <w:rFonts w:ascii="Times New Roman" w:eastAsia="Times New Roman" w:hAnsi="Times New Roman" w:cs="Times New Roman"/>
      <w:sz w:val="16"/>
      <w:szCs w:val="20"/>
      <w:lang w:val="en-GB" w:eastAsia="en-US"/>
    </w:rPr>
  </w:style>
  <w:style w:type="paragraph" w:customStyle="1" w:styleId="Chapter">
    <w:name w:val="Chapter"/>
    <w:basedOn w:val="Normal"/>
    <w:rsid w:val="00A51C90"/>
    <w:pPr>
      <w:spacing w:before="240"/>
    </w:pPr>
    <w:rPr>
      <w:rFonts w:ascii="Times New Roman" w:hAnsi="Times New Roman"/>
      <w:smallCaps/>
      <w:spacing w:val="80"/>
      <w:sz w:val="28"/>
    </w:rPr>
  </w:style>
  <w:style w:type="paragraph" w:customStyle="1" w:styleId="InChapter">
    <w:name w:val="InChapter"/>
    <w:basedOn w:val="Heading3"/>
    <w:rsid w:val="00A51C90"/>
    <w:pPr>
      <w:spacing w:after="240"/>
      <w:outlineLvl w:val="9"/>
    </w:pPr>
    <w:rPr>
      <w:noProof/>
    </w:rPr>
  </w:style>
  <w:style w:type="paragraph" w:styleId="Index2">
    <w:name w:val="index 2"/>
    <w:basedOn w:val="Normal"/>
    <w:next w:val="Normal"/>
    <w:semiHidden/>
    <w:rsid w:val="00A51C90"/>
    <w:pPr>
      <w:tabs>
        <w:tab w:val="right" w:pos="4176"/>
      </w:tabs>
      <w:ind w:left="568" w:hanging="284"/>
    </w:pPr>
    <w:rPr>
      <w:rFonts w:ascii="Garamond" w:hAnsi="Garamond"/>
    </w:rPr>
  </w:style>
  <w:style w:type="paragraph" w:customStyle="1" w:styleId="Byline">
    <w:name w:val="Byline"/>
    <w:rsid w:val="00A51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C90"/>
    <w:pPr>
      <w:tabs>
        <w:tab w:val="clear" w:pos="3600"/>
        <w:tab w:val="clear" w:pos="3958"/>
      </w:tabs>
      <w:jc w:val="right"/>
    </w:pPr>
  </w:style>
  <w:style w:type="character" w:styleId="Emphasis">
    <w:name w:val="Emphasis"/>
    <w:basedOn w:val="DefaultParagraphFont"/>
    <w:qFormat/>
    <w:rsid w:val="00A51C90"/>
    <w:rPr>
      <w:i/>
    </w:rPr>
  </w:style>
  <w:style w:type="paragraph" w:styleId="Caption">
    <w:name w:val="caption"/>
    <w:basedOn w:val="BodyText"/>
    <w:next w:val="Normal"/>
    <w:qFormat/>
    <w:rsid w:val="00A51C90"/>
    <w:pPr>
      <w:framePr w:w="2268" w:hSpace="181" w:vSpace="181" w:wrap="around" w:vAnchor="text" w:hAnchor="page" w:x="1135" w:y="285" w:anchorLock="1"/>
    </w:pPr>
    <w:rPr>
      <w:i/>
    </w:rPr>
  </w:style>
  <w:style w:type="paragraph" w:customStyle="1" w:styleId="MiniTOCTitle">
    <w:name w:val="MiniTOCTitle"/>
    <w:basedOn w:val="Heading4"/>
    <w:rsid w:val="00A51C90"/>
    <w:pPr>
      <w:spacing w:before="240"/>
      <w:outlineLvl w:val="9"/>
    </w:pPr>
    <w:rPr>
      <w:noProof/>
      <w:sz w:val="24"/>
    </w:rPr>
  </w:style>
  <w:style w:type="paragraph" w:customStyle="1" w:styleId="MiniTOCItem">
    <w:name w:val="MiniTOCItem"/>
    <w:basedOn w:val="ListBullet"/>
    <w:rsid w:val="00A51C90"/>
    <w:pPr>
      <w:numPr>
        <w:numId w:val="0"/>
      </w:numPr>
      <w:tabs>
        <w:tab w:val="right" w:leader="dot" w:pos="6521"/>
      </w:tabs>
      <w:spacing w:before="0" w:after="0"/>
    </w:pPr>
  </w:style>
  <w:style w:type="paragraph" w:customStyle="1" w:styleId="TOFTitle">
    <w:name w:val="TOFTitle"/>
    <w:basedOn w:val="TOCTitle"/>
    <w:rsid w:val="00A51C90"/>
  </w:style>
  <w:style w:type="paragraph" w:styleId="TableofFigures">
    <w:name w:val="table of figures"/>
    <w:basedOn w:val="Normal"/>
    <w:next w:val="Normal"/>
    <w:semiHidden/>
    <w:rsid w:val="00A51C90"/>
    <w:pPr>
      <w:tabs>
        <w:tab w:val="right" w:leader="dot" w:pos="9072"/>
      </w:tabs>
      <w:ind w:left="970" w:hanging="403"/>
    </w:pPr>
    <w:rPr>
      <w:rFonts w:ascii="Times New Roman" w:hAnsi="Times New Roman"/>
      <w:b/>
    </w:rPr>
  </w:style>
  <w:style w:type="paragraph" w:styleId="ListNumber">
    <w:name w:val="List Number"/>
    <w:basedOn w:val="List"/>
    <w:rsid w:val="00A51C90"/>
    <w:pPr>
      <w:numPr>
        <w:numId w:val="15"/>
      </w:numPr>
      <w:tabs>
        <w:tab w:val="clear" w:pos="340"/>
      </w:tabs>
    </w:pPr>
  </w:style>
  <w:style w:type="character" w:customStyle="1" w:styleId="WingdingSymbols">
    <w:name w:val="Wingding Symbols"/>
    <w:rsid w:val="00A51C90"/>
    <w:rPr>
      <w:rFonts w:ascii="Wingdings" w:hAnsi="Wingdings"/>
    </w:rPr>
  </w:style>
  <w:style w:type="paragraph" w:customStyle="1" w:styleId="TableHeading">
    <w:name w:val="Table Heading"/>
    <w:basedOn w:val="HeadingBase"/>
    <w:rsid w:val="00A51C90"/>
    <w:pPr>
      <w:keepLines/>
      <w:pBdr>
        <w:bottom w:val="single" w:sz="6" w:space="1" w:color="918585"/>
      </w:pBdr>
      <w:spacing w:before="240"/>
    </w:pPr>
  </w:style>
  <w:style w:type="character" w:customStyle="1" w:styleId="HotSpot">
    <w:name w:val="HotSpot"/>
    <w:rsid w:val="00A51C90"/>
    <w:rPr>
      <w:color w:val="0033CC"/>
      <w:u w:val="none"/>
    </w:rPr>
  </w:style>
  <w:style w:type="paragraph" w:customStyle="1" w:styleId="BodyTextRight">
    <w:name w:val="Body Text Right"/>
    <w:basedOn w:val="BodyText"/>
    <w:rsid w:val="00A51C90"/>
    <w:pPr>
      <w:spacing w:before="0" w:after="0"/>
      <w:jc w:val="right"/>
    </w:pPr>
  </w:style>
  <w:style w:type="paragraph" w:styleId="Index3">
    <w:name w:val="index 3"/>
    <w:basedOn w:val="ListNumber2"/>
    <w:next w:val="Normal"/>
    <w:semiHidden/>
    <w:rsid w:val="00A51C90"/>
    <w:pPr>
      <w:numPr>
        <w:numId w:val="0"/>
      </w:numPr>
      <w:tabs>
        <w:tab w:val="right" w:leader="dot" w:pos="4176"/>
      </w:tabs>
    </w:pPr>
  </w:style>
  <w:style w:type="paragraph" w:styleId="ListNumber2">
    <w:name w:val="List Number 2"/>
    <w:basedOn w:val="List2"/>
    <w:rsid w:val="00A51C90"/>
    <w:pPr>
      <w:numPr>
        <w:numId w:val="10"/>
      </w:numPr>
      <w:tabs>
        <w:tab w:val="clear" w:pos="1060"/>
      </w:tabs>
    </w:pPr>
  </w:style>
  <w:style w:type="paragraph" w:customStyle="1" w:styleId="MarginNote">
    <w:name w:val="Margin Note"/>
    <w:basedOn w:val="BodyText"/>
    <w:rsid w:val="00A51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C90"/>
    <w:rPr>
      <w:sz w:val="32"/>
    </w:rPr>
  </w:style>
  <w:style w:type="paragraph" w:customStyle="1" w:styleId="HeadingProcedure">
    <w:name w:val="Heading Procedure"/>
    <w:basedOn w:val="HeadingBase"/>
    <w:next w:val="Normal"/>
    <w:rsid w:val="00A51C90"/>
    <w:pPr>
      <w:tabs>
        <w:tab w:val="left" w:pos="0"/>
      </w:tabs>
      <w:spacing w:before="120" w:after="60"/>
    </w:pPr>
    <w:rPr>
      <w:i/>
      <w:color w:val="918585"/>
      <w:sz w:val="22"/>
    </w:rPr>
  </w:style>
  <w:style w:type="paragraph" w:customStyle="1" w:styleId="TableBodyText">
    <w:name w:val="Table Body Text"/>
    <w:basedOn w:val="BodyText"/>
    <w:rsid w:val="00A51C90"/>
    <w:pPr>
      <w:spacing w:before="60" w:after="60"/>
    </w:pPr>
  </w:style>
  <w:style w:type="paragraph" w:styleId="ListContinue">
    <w:name w:val="List Continue"/>
    <w:basedOn w:val="List"/>
    <w:rsid w:val="00A51C90"/>
    <w:pPr>
      <w:ind w:firstLine="0"/>
    </w:pPr>
  </w:style>
  <w:style w:type="paragraph" w:customStyle="1" w:styleId="ListNote">
    <w:name w:val="List Note"/>
    <w:basedOn w:val="List"/>
    <w:rsid w:val="00A51C90"/>
    <w:pPr>
      <w:pBdr>
        <w:top w:val="single" w:sz="6" w:space="2" w:color="918585"/>
        <w:bottom w:val="single" w:sz="6" w:space="2" w:color="918585"/>
      </w:pBdr>
      <w:tabs>
        <w:tab w:val="left" w:pos="1021"/>
      </w:tabs>
      <w:ind w:firstLine="0"/>
    </w:pPr>
  </w:style>
  <w:style w:type="paragraph" w:customStyle="1" w:styleId="Warning">
    <w:name w:val="Warning"/>
    <w:basedOn w:val="BodyText"/>
    <w:rsid w:val="00A51C90"/>
    <w:pPr>
      <w:shd w:val="clear" w:color="auto" w:fill="D9D9D9"/>
      <w:tabs>
        <w:tab w:val="left" w:pos="992"/>
      </w:tabs>
      <w:ind w:left="119" w:right="119"/>
    </w:pPr>
    <w:rPr>
      <w:sz w:val="20"/>
    </w:rPr>
  </w:style>
  <w:style w:type="paragraph" w:customStyle="1" w:styleId="MarginIcons">
    <w:name w:val="Margin Icons"/>
    <w:basedOn w:val="BodyText"/>
    <w:rsid w:val="00A51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C90"/>
    <w:rPr>
      <w:rFonts w:ascii="Courier New" w:hAnsi="Courier New"/>
    </w:rPr>
  </w:style>
  <w:style w:type="paragraph" w:customStyle="1" w:styleId="NoteBullet">
    <w:name w:val="Note Bullet"/>
    <w:basedOn w:val="Note"/>
    <w:rsid w:val="00A51C90"/>
    <w:pPr>
      <w:tabs>
        <w:tab w:val="clear" w:pos="680"/>
      </w:tabs>
      <w:spacing w:before="60" w:after="60"/>
    </w:pPr>
  </w:style>
  <w:style w:type="paragraph" w:customStyle="1" w:styleId="SubHeading2">
    <w:name w:val="SubHeading2"/>
    <w:basedOn w:val="HeadingBase"/>
    <w:rsid w:val="00A51C90"/>
    <w:pPr>
      <w:spacing w:before="240" w:after="60"/>
    </w:pPr>
    <w:rPr>
      <w:sz w:val="20"/>
    </w:rPr>
  </w:style>
  <w:style w:type="paragraph" w:customStyle="1" w:styleId="SubHeading1">
    <w:name w:val="SubHeading1"/>
    <w:basedOn w:val="HeadingBase"/>
    <w:rsid w:val="00A51C90"/>
    <w:pPr>
      <w:spacing w:before="240" w:after="60"/>
    </w:pPr>
    <w:rPr>
      <w:color w:val="918585"/>
      <w:sz w:val="22"/>
    </w:rPr>
  </w:style>
  <w:style w:type="paragraph" w:customStyle="1" w:styleId="SideHeading">
    <w:name w:val="Side Heading"/>
    <w:basedOn w:val="HeadingBase"/>
    <w:rsid w:val="00A51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C90"/>
    <w:pPr>
      <w:tabs>
        <w:tab w:val="num" w:pos="360"/>
      </w:tabs>
    </w:pPr>
  </w:style>
  <w:style w:type="paragraph" w:styleId="PlainText">
    <w:name w:val="Plain Text"/>
    <w:basedOn w:val="Normal"/>
    <w:link w:val="PlainTextChar"/>
    <w:rsid w:val="00A51C90"/>
    <w:rPr>
      <w:sz w:val="20"/>
    </w:rPr>
  </w:style>
  <w:style w:type="character" w:customStyle="1" w:styleId="PlainTextChar">
    <w:name w:val="Plain Text Char"/>
    <w:basedOn w:val="DefaultParagraphFont"/>
    <w:link w:val="PlainText"/>
    <w:rsid w:val="00A51C90"/>
    <w:rPr>
      <w:rFonts w:ascii="Courier New" w:eastAsia="Times New Roman" w:hAnsi="Courier New" w:cs="Times New Roman"/>
      <w:sz w:val="20"/>
      <w:szCs w:val="20"/>
      <w:lang w:eastAsia="en-US"/>
    </w:rPr>
  </w:style>
  <w:style w:type="character" w:customStyle="1" w:styleId="MenuOption">
    <w:name w:val="Menu Option"/>
    <w:basedOn w:val="DefaultParagraphFont"/>
    <w:rsid w:val="00A51C90"/>
    <w:rPr>
      <w:b/>
      <w:smallCaps/>
    </w:rPr>
  </w:style>
  <w:style w:type="paragraph" w:customStyle="1" w:styleId="TableListNumber">
    <w:name w:val="Table List Number"/>
    <w:basedOn w:val="ListNumber"/>
    <w:rsid w:val="00A51C90"/>
    <w:pPr>
      <w:numPr>
        <w:numId w:val="0"/>
      </w:numPr>
    </w:pPr>
  </w:style>
  <w:style w:type="paragraph" w:styleId="TOC4">
    <w:name w:val="toc 4"/>
    <w:basedOn w:val="TOCBase"/>
    <w:next w:val="Normal"/>
    <w:semiHidden/>
    <w:rsid w:val="00A51C90"/>
    <w:pPr>
      <w:tabs>
        <w:tab w:val="right" w:leader="dot" w:pos="9071"/>
      </w:tabs>
      <w:ind w:left="1701"/>
    </w:pPr>
  </w:style>
  <w:style w:type="paragraph" w:customStyle="1" w:styleId="ListAlpha">
    <w:name w:val="List Alpha"/>
    <w:basedOn w:val="List"/>
    <w:rsid w:val="00A51C90"/>
    <w:pPr>
      <w:numPr>
        <w:numId w:val="9"/>
      </w:numPr>
    </w:pPr>
  </w:style>
  <w:style w:type="paragraph" w:customStyle="1" w:styleId="ListAlpha2">
    <w:name w:val="List Alpha 2"/>
    <w:basedOn w:val="List2"/>
    <w:rsid w:val="00A51C90"/>
    <w:pPr>
      <w:numPr>
        <w:numId w:val="8"/>
      </w:numPr>
    </w:pPr>
  </w:style>
  <w:style w:type="paragraph" w:styleId="List2">
    <w:name w:val="List 2"/>
    <w:basedOn w:val="BodyText"/>
    <w:rsid w:val="00A51C90"/>
    <w:pPr>
      <w:tabs>
        <w:tab w:val="left" w:pos="680"/>
      </w:tabs>
      <w:spacing w:before="60" w:after="60"/>
      <w:ind w:left="680" w:hanging="340"/>
    </w:pPr>
  </w:style>
  <w:style w:type="paragraph" w:styleId="List3">
    <w:name w:val="List 3"/>
    <w:basedOn w:val="BodyText"/>
    <w:rsid w:val="00A51C90"/>
    <w:pPr>
      <w:tabs>
        <w:tab w:val="left" w:pos="1021"/>
      </w:tabs>
      <w:spacing w:before="60" w:after="60"/>
      <w:ind w:left="1020" w:hanging="340"/>
    </w:pPr>
  </w:style>
  <w:style w:type="paragraph" w:styleId="List4">
    <w:name w:val="List 4"/>
    <w:basedOn w:val="BodyText"/>
    <w:rsid w:val="00A51C90"/>
    <w:pPr>
      <w:tabs>
        <w:tab w:val="left" w:pos="1361"/>
      </w:tabs>
      <w:spacing w:before="60" w:after="60"/>
      <w:ind w:left="1361" w:hanging="340"/>
    </w:pPr>
  </w:style>
  <w:style w:type="paragraph" w:styleId="List5">
    <w:name w:val="List 5"/>
    <w:basedOn w:val="BodyText"/>
    <w:rsid w:val="00A51C90"/>
    <w:pPr>
      <w:tabs>
        <w:tab w:val="left" w:pos="1701"/>
      </w:tabs>
      <w:spacing w:before="60" w:after="60"/>
      <w:ind w:left="1701" w:hanging="340"/>
    </w:pPr>
  </w:style>
  <w:style w:type="paragraph" w:styleId="ListBullet3">
    <w:name w:val="List Bullet 3"/>
    <w:basedOn w:val="List3"/>
    <w:rsid w:val="00A51C90"/>
    <w:pPr>
      <w:numPr>
        <w:numId w:val="14"/>
      </w:numPr>
      <w:tabs>
        <w:tab w:val="clear" w:pos="1021"/>
      </w:tabs>
      <w:ind w:left="1037" w:hanging="357"/>
    </w:pPr>
  </w:style>
  <w:style w:type="paragraph" w:styleId="ListBullet4">
    <w:name w:val="List Bullet 4"/>
    <w:basedOn w:val="List4"/>
    <w:rsid w:val="00A51C90"/>
    <w:pPr>
      <w:numPr>
        <w:numId w:val="3"/>
      </w:numPr>
      <w:tabs>
        <w:tab w:val="clear" w:pos="1361"/>
      </w:tabs>
    </w:pPr>
  </w:style>
  <w:style w:type="paragraph" w:styleId="ListBullet5">
    <w:name w:val="List Bullet 5"/>
    <w:basedOn w:val="List5"/>
    <w:rsid w:val="00A51C90"/>
    <w:pPr>
      <w:numPr>
        <w:numId w:val="4"/>
      </w:numPr>
    </w:pPr>
  </w:style>
  <w:style w:type="paragraph" w:styleId="ListContinue2">
    <w:name w:val="List Continue 2"/>
    <w:basedOn w:val="List2"/>
    <w:rsid w:val="00A51C90"/>
    <w:pPr>
      <w:ind w:firstLine="0"/>
    </w:pPr>
  </w:style>
  <w:style w:type="paragraph" w:styleId="ListContinue3">
    <w:name w:val="List Continue 3"/>
    <w:basedOn w:val="List3"/>
    <w:rsid w:val="00A51C90"/>
    <w:pPr>
      <w:ind w:left="1021" w:firstLine="0"/>
    </w:pPr>
  </w:style>
  <w:style w:type="paragraph" w:styleId="ListContinue4">
    <w:name w:val="List Continue 4"/>
    <w:basedOn w:val="List4"/>
    <w:rsid w:val="00A51C90"/>
    <w:pPr>
      <w:ind w:firstLine="0"/>
    </w:pPr>
  </w:style>
  <w:style w:type="paragraph" w:styleId="ListContinue5">
    <w:name w:val="List Continue 5"/>
    <w:basedOn w:val="List5"/>
    <w:rsid w:val="00A51C90"/>
    <w:pPr>
      <w:ind w:firstLine="0"/>
    </w:pPr>
  </w:style>
  <w:style w:type="paragraph" w:styleId="ListNumber3">
    <w:name w:val="List Number 3"/>
    <w:basedOn w:val="List3"/>
    <w:rsid w:val="00A51C90"/>
    <w:pPr>
      <w:numPr>
        <w:numId w:val="5"/>
      </w:numPr>
    </w:pPr>
  </w:style>
  <w:style w:type="paragraph" w:styleId="ListNumber4">
    <w:name w:val="List Number 4"/>
    <w:basedOn w:val="List4"/>
    <w:rsid w:val="00A51C90"/>
    <w:pPr>
      <w:numPr>
        <w:numId w:val="6"/>
      </w:numPr>
    </w:pPr>
  </w:style>
  <w:style w:type="paragraph" w:styleId="ListNumber5">
    <w:name w:val="List Number 5"/>
    <w:basedOn w:val="List5"/>
    <w:rsid w:val="00A51C90"/>
    <w:pPr>
      <w:numPr>
        <w:numId w:val="7"/>
      </w:numPr>
    </w:pPr>
  </w:style>
  <w:style w:type="paragraph" w:styleId="BlockText">
    <w:name w:val="Block Text"/>
    <w:basedOn w:val="Normal"/>
    <w:rsid w:val="00A51C90"/>
    <w:pPr>
      <w:spacing w:after="120"/>
      <w:ind w:left="1440" w:right="1440"/>
    </w:pPr>
  </w:style>
  <w:style w:type="character" w:customStyle="1" w:styleId="Subscript">
    <w:name w:val="Subscript"/>
    <w:basedOn w:val="DefaultParagraphFont"/>
    <w:rsid w:val="00A51C90"/>
    <w:rPr>
      <w:sz w:val="16"/>
      <w:vertAlign w:val="subscript"/>
    </w:rPr>
  </w:style>
  <w:style w:type="character" w:customStyle="1" w:styleId="Superscript">
    <w:name w:val="Superscript"/>
    <w:basedOn w:val="DefaultParagraphFont"/>
    <w:rsid w:val="00A51C90"/>
    <w:rPr>
      <w:sz w:val="16"/>
      <w:vertAlign w:val="superscript"/>
    </w:rPr>
  </w:style>
  <w:style w:type="character" w:customStyle="1" w:styleId="Symbols">
    <w:name w:val="Symbols"/>
    <w:basedOn w:val="DefaultParagraphFont"/>
    <w:rsid w:val="00A51C90"/>
    <w:rPr>
      <w:rFonts w:ascii="Symbol" w:hAnsi="Symbol"/>
    </w:rPr>
  </w:style>
  <w:style w:type="character" w:customStyle="1" w:styleId="MenuOptions">
    <w:name w:val="Menu Options"/>
    <w:basedOn w:val="DefaultParagraphFont"/>
    <w:rsid w:val="00A51C90"/>
    <w:rPr>
      <w:rFonts w:ascii="Arial Narrow" w:hAnsi="Arial Narrow"/>
      <w:smallCaps/>
    </w:rPr>
  </w:style>
  <w:style w:type="character" w:customStyle="1" w:styleId="Buttons">
    <w:name w:val="Buttons"/>
    <w:basedOn w:val="DefaultParagraphFont"/>
    <w:rsid w:val="00A51C90"/>
    <w:rPr>
      <w:b/>
    </w:rPr>
  </w:style>
  <w:style w:type="character" w:customStyle="1" w:styleId="Underlined">
    <w:name w:val="Underlined"/>
    <w:basedOn w:val="DefaultParagraphFont"/>
    <w:rsid w:val="00A51C90"/>
    <w:rPr>
      <w:u w:val="single"/>
    </w:rPr>
  </w:style>
  <w:style w:type="paragraph" w:customStyle="1" w:styleId="TableBodyTextRight">
    <w:name w:val="Table Body Text Right"/>
    <w:basedOn w:val="TableBodyText"/>
    <w:rsid w:val="00A51C90"/>
    <w:pPr>
      <w:widowControl w:val="0"/>
      <w:autoSpaceDE w:val="0"/>
      <w:autoSpaceDN w:val="0"/>
      <w:adjustRightInd w:val="0"/>
      <w:jc w:val="right"/>
    </w:pPr>
    <w:rPr>
      <w:rFonts w:cs="Arial"/>
      <w:szCs w:val="18"/>
    </w:rPr>
  </w:style>
  <w:style w:type="paragraph" w:customStyle="1" w:styleId="CopyrightText">
    <w:name w:val="Copyright Text"/>
    <w:basedOn w:val="BodyText"/>
    <w:rsid w:val="00A51C90"/>
    <w:rPr>
      <w:sz w:val="18"/>
    </w:rPr>
  </w:style>
  <w:style w:type="paragraph" w:customStyle="1" w:styleId="BodySmallRight">
    <w:name w:val="Body Small Right"/>
    <w:basedOn w:val="BodyTextRight"/>
    <w:rsid w:val="00A51C90"/>
    <w:rPr>
      <w:sz w:val="18"/>
      <w:szCs w:val="18"/>
    </w:rPr>
  </w:style>
  <w:style w:type="paragraph" w:customStyle="1" w:styleId="MarginEdition">
    <w:name w:val="Margin Edition"/>
    <w:basedOn w:val="MarginNote"/>
    <w:rsid w:val="00A51C90"/>
    <w:pPr>
      <w:spacing w:before="0" w:after="0"/>
    </w:pPr>
    <w:rPr>
      <w:rFonts w:ascii="Times New Roman" w:hAnsi="Times New Roman"/>
      <w:color w:val="999999"/>
    </w:rPr>
  </w:style>
  <w:style w:type="paragraph" w:customStyle="1" w:styleId="Spacer">
    <w:name w:val="Spacer"/>
    <w:basedOn w:val="Normal"/>
    <w:rsid w:val="00A51C90"/>
    <w:rPr>
      <w:sz w:val="2"/>
      <w:szCs w:val="2"/>
    </w:rPr>
  </w:style>
  <w:style w:type="character" w:customStyle="1" w:styleId="Small">
    <w:name w:val="Small"/>
    <w:basedOn w:val="DefaultParagraphFont"/>
    <w:rsid w:val="00A51C90"/>
    <w:rPr>
      <w:sz w:val="16"/>
    </w:rPr>
  </w:style>
  <w:style w:type="paragraph" w:customStyle="1" w:styleId="WideTable">
    <w:name w:val="Wide Table"/>
    <w:basedOn w:val="Normal"/>
    <w:rsid w:val="00A51C90"/>
    <w:pPr>
      <w:ind w:left="-1418"/>
    </w:pPr>
    <w:rPr>
      <w:sz w:val="2"/>
      <w:szCs w:val="2"/>
    </w:rPr>
  </w:style>
  <w:style w:type="character" w:styleId="PageNumber">
    <w:name w:val="page number"/>
    <w:basedOn w:val="DefaultParagraphFont"/>
    <w:rsid w:val="00A51C90"/>
  </w:style>
  <w:style w:type="paragraph" w:styleId="Quote">
    <w:name w:val="Quote"/>
    <w:basedOn w:val="Heading1"/>
    <w:link w:val="QuoteChar"/>
    <w:qFormat/>
    <w:rsid w:val="00A51C90"/>
    <w:rPr>
      <w:b w:val="0"/>
      <w:sz w:val="72"/>
      <w:szCs w:val="72"/>
      <w:lang w:val="en-NZ"/>
    </w:rPr>
  </w:style>
  <w:style w:type="character" w:customStyle="1" w:styleId="QuoteChar">
    <w:name w:val="Quote Char"/>
    <w:basedOn w:val="DefaultParagraphFont"/>
    <w:link w:val="Quote"/>
    <w:rsid w:val="00A51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C90"/>
    <w:pPr>
      <w:pageBreakBefore/>
    </w:pPr>
  </w:style>
  <w:style w:type="paragraph" w:customStyle="1" w:styleId="Border">
    <w:name w:val="Border"/>
    <w:basedOn w:val="Normal"/>
    <w:qFormat/>
    <w:rsid w:val="00A51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C90"/>
    <w:rPr>
      <w:b/>
      <w:bCs/>
      <w:i/>
      <w:iCs/>
      <w:color w:val="auto"/>
    </w:rPr>
  </w:style>
  <w:style w:type="paragraph" w:styleId="IntenseQuote">
    <w:name w:val="Intense Quote"/>
    <w:basedOn w:val="Normal"/>
    <w:next w:val="Normal"/>
    <w:link w:val="IntenseQuoteChar"/>
    <w:uiPriority w:val="30"/>
    <w:qFormat/>
    <w:rsid w:val="00A51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C90"/>
    <w:rPr>
      <w:smallCaps/>
      <w:color w:val="auto"/>
      <w:u w:val="single"/>
    </w:rPr>
  </w:style>
  <w:style w:type="character" w:styleId="IntenseReference">
    <w:name w:val="Intense Reference"/>
    <w:basedOn w:val="DefaultParagraphFont"/>
    <w:uiPriority w:val="32"/>
    <w:qFormat/>
    <w:rsid w:val="00A51C90"/>
    <w:rPr>
      <w:b/>
      <w:bCs/>
      <w:smallCaps/>
      <w:color w:val="auto"/>
      <w:spacing w:val="5"/>
      <w:u w:val="single"/>
    </w:rPr>
  </w:style>
  <w:style w:type="paragraph" w:customStyle="1" w:styleId="2ColumnHeading">
    <w:name w:val="2Column Heading"/>
    <w:basedOn w:val="BodyText"/>
    <w:qFormat/>
    <w:rsid w:val="00A51C90"/>
    <w:pPr>
      <w:spacing w:after="60"/>
      <w:ind w:left="-2268"/>
    </w:pPr>
    <w:rPr>
      <w:b/>
    </w:rPr>
  </w:style>
  <w:style w:type="paragraph" w:customStyle="1" w:styleId="Heading1TOC">
    <w:name w:val="Heading1 TOC"/>
    <w:basedOn w:val="Normal"/>
    <w:qFormat/>
    <w:rsid w:val="00A51C90"/>
    <w:pPr>
      <w:spacing w:before="240" w:after="120"/>
    </w:pPr>
    <w:rPr>
      <w:rFonts w:ascii="Times New Roman" w:hAnsi="Times New Roman"/>
      <w:b/>
      <w:sz w:val="32"/>
    </w:rPr>
  </w:style>
  <w:style w:type="paragraph" w:customStyle="1" w:styleId="Heading2TOC">
    <w:name w:val="Heading2 TOC"/>
    <w:basedOn w:val="Normal"/>
    <w:qFormat/>
    <w:rsid w:val="00A51C90"/>
    <w:pPr>
      <w:spacing w:before="240" w:after="60"/>
    </w:pPr>
    <w:rPr>
      <w:rFonts w:ascii="Times New Roman" w:hAnsi="Times New Roman"/>
      <w:b/>
      <w:sz w:val="28"/>
    </w:rPr>
  </w:style>
  <w:style w:type="character" w:customStyle="1" w:styleId="Underline">
    <w:name w:val="Underline"/>
    <w:basedOn w:val="DefaultParagraphFont"/>
    <w:qFormat/>
    <w:rsid w:val="00A51C90"/>
    <w:rPr>
      <w:u w:val="single"/>
    </w:rPr>
  </w:style>
  <w:style w:type="paragraph" w:styleId="BalloonText">
    <w:name w:val="Balloon Text"/>
    <w:basedOn w:val="Normal"/>
    <w:link w:val="BalloonTextChar"/>
    <w:rsid w:val="00A51C90"/>
    <w:rPr>
      <w:rFonts w:ascii="Tahoma" w:hAnsi="Tahoma" w:cs="Tahoma"/>
      <w:sz w:val="16"/>
      <w:szCs w:val="16"/>
    </w:rPr>
  </w:style>
  <w:style w:type="character" w:customStyle="1" w:styleId="BalloonTextChar">
    <w:name w:val="Balloon Text Char"/>
    <w:basedOn w:val="DefaultParagraphFont"/>
    <w:link w:val="BalloonText"/>
    <w:rsid w:val="00A51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C90"/>
    <w:rPr>
      <w:b/>
      <w:color w:val="660033"/>
      <w:spacing w:val="0"/>
    </w:rPr>
  </w:style>
  <w:style w:type="paragraph" w:customStyle="1" w:styleId="Nameditemlist">
    <w:name w:val="Named item list"/>
    <w:basedOn w:val="BodyText"/>
    <w:qFormat/>
    <w:rsid w:val="00A51C90"/>
    <w:pPr>
      <w:tabs>
        <w:tab w:val="left" w:pos="2835"/>
      </w:tabs>
      <w:ind w:left="2835" w:hanging="2835"/>
    </w:pPr>
  </w:style>
  <w:style w:type="paragraph" w:customStyle="1" w:styleId="BodyTextnopadding">
    <w:name w:val="Body Text no padding"/>
    <w:basedOn w:val="BodyText"/>
    <w:qFormat/>
    <w:rsid w:val="00A51C90"/>
    <w:pPr>
      <w:spacing w:before="0" w:after="0"/>
    </w:pPr>
  </w:style>
  <w:style w:type="paragraph" w:customStyle="1" w:styleId="BodyTextBold">
    <w:name w:val="Body Text Bold"/>
    <w:basedOn w:val="BodyText"/>
    <w:qFormat/>
    <w:rsid w:val="00A51C90"/>
    <w:rPr>
      <w:b/>
    </w:rPr>
  </w:style>
  <w:style w:type="character" w:styleId="Hyperlink">
    <w:name w:val="Hyperlink"/>
    <w:basedOn w:val="DefaultParagraphFont"/>
    <w:uiPriority w:val="99"/>
    <w:unhideWhenUsed/>
    <w:rsid w:val="00BC53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1659</Words>
  <Characters>10504</Characters>
  <Application>Microsoft Office Word</Application>
  <DocSecurity>0</DocSecurity>
  <Lines>362</Lines>
  <Paragraphs>253</Paragraphs>
  <ScaleCrop>false</ScaleCrop>
  <Company>Author-it Software Corporation Ltd.</Company>
  <LinksUpToDate>false</LinksUpToDate>
  <CharactersWithSpaces>11910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MSMPER201 Monitor and control work permits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