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FBD" w:rsidP="004D3F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MSMPER200 Work in accordance with an issued permit</w:t>
      </w:r>
      <w:r>
        <w:fldChar w:fldCharType="end"/>
      </w:r>
    </w:p>
    <w:p w:rsidR="004D3FBD" w:rsidP="004D3FBD">
      <w:pPr>
        <w:pStyle w:val="Version"/>
        <w:sectPr w:rsidSect="00F906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0637" w:rsidP="00F90637">
      <w:pPr>
        <w:pStyle w:val="SuperHeading"/>
      </w:pPr>
      <w:r w:rsidRPr="00F90637">
        <w:t>Assessment Requirements for MSMPER200 Work in accordance with an issued permit</w:t>
      </w:r>
    </w:p>
    <w:p w:rsidR="00000000" w:rsidRPr="00F90637" w:rsidP="00F90637">
      <w:pPr>
        <w:pStyle w:val="Heading1"/>
      </w:pPr>
      <w:bookmarkStart w:id="1" w:name="O_852251"/>
      <w:bookmarkEnd w:id="1"/>
      <w:r w:rsidRPr="00F90637">
        <w:t>Modification History</w:t>
      </w:r>
    </w:p>
    <w:p w:rsidR="00000000" w:rsidRPr="00F90637" w:rsidP="004D3FBD">
      <w:pPr>
        <w:pStyle w:val="BodyText"/>
      </w:pPr>
      <w:r w:rsidRPr="00F90637">
        <w:t>Release 1. Supersedes and is equivalent to MSAPMPER200C Work in accordance with an issued permit</w:t>
      </w:r>
    </w:p>
    <w:p w:rsidR="00000000" w:rsidRPr="00F90637" w:rsidP="00F90637">
      <w:pPr>
        <w:pStyle w:val="Heading1"/>
      </w:pPr>
      <w:bookmarkStart w:id="2" w:name="O_852254"/>
      <w:bookmarkEnd w:id="2"/>
      <w:r w:rsidRPr="00F90637">
        <w:t>Performance Evidence</w:t>
      </w:r>
    </w:p>
    <w:p w:rsidR="00000000" w:rsidRPr="00F90637" w:rsidP="004D3FBD">
      <w:pPr>
        <w:pStyle w:val="BodyText"/>
      </w:pPr>
      <w:r w:rsidRPr="00F90637">
        <w:t>Evidence required to demonstrate competence in this unit must be relevant to and satisfy all of the requirements of the elements and performance criteria, and demonstrate the ability to:</w:t>
      </w:r>
    </w:p>
    <w:p w:rsidR="00000000" w:rsidRPr="00F90637" w:rsidP="00F90637">
      <w:pPr>
        <w:pStyle w:val="ListBullet"/>
      </w:pPr>
      <w:r w:rsidRPr="00F90637">
        <w:t>identify type and scope of permit relevant to the job</w:t>
      </w:r>
    </w:p>
    <w:p w:rsidR="00000000" w:rsidRPr="00F90637" w:rsidP="00F90637">
      <w:pPr>
        <w:pStyle w:val="ListBullet"/>
      </w:pPr>
      <w:r w:rsidRPr="00F90637">
        <w:t xml:space="preserve">interpret and </w:t>
      </w:r>
      <w:r w:rsidRPr="00F90637">
        <w:t>implement permit conditions</w:t>
      </w:r>
    </w:p>
    <w:p w:rsidR="00000000" w:rsidRPr="00F90637" w:rsidP="00F90637">
      <w:pPr>
        <w:pStyle w:val="ListBullet"/>
      </w:pPr>
      <w:r w:rsidRPr="00F90637">
        <w:t>identify changes to conditions which may lead to the permit being revoked before the job is completed</w:t>
      </w:r>
    </w:p>
    <w:p w:rsidR="00000000" w:rsidRPr="00F90637" w:rsidP="00F90637">
      <w:pPr>
        <w:pStyle w:val="ListBullet"/>
      </w:pPr>
      <w:r w:rsidRPr="00F90637">
        <w:t>monitor hazards and hazard controls.</w:t>
      </w:r>
    </w:p>
    <w:p w:rsidR="00000000" w:rsidRPr="00F90637" w:rsidP="00F90637">
      <w:pPr>
        <w:pStyle w:val="AllowPageBreak"/>
      </w:pPr>
    </w:p>
    <w:p w:rsidR="00000000" w:rsidRPr="00F90637" w:rsidP="00F90637">
      <w:pPr>
        <w:pStyle w:val="Heading1"/>
      </w:pPr>
      <w:bookmarkStart w:id="3" w:name="O_852253"/>
      <w:bookmarkEnd w:id="3"/>
      <w:r w:rsidRPr="00F90637">
        <w:t>Knowledge Evidence</w:t>
      </w:r>
    </w:p>
    <w:p w:rsidR="00000000" w:rsidRPr="00F90637" w:rsidP="004D3FBD">
      <w:pPr>
        <w:pStyle w:val="BodyText"/>
      </w:pPr>
      <w:r w:rsidRPr="00F90637">
        <w:t>Evidence must be provided that demonstrates knowledge</w:t>
      </w:r>
      <w:r w:rsidRPr="00F90637">
        <w:t xml:space="preserve"> of:</w:t>
      </w:r>
    </w:p>
    <w:p w:rsidR="00000000" w:rsidRPr="00F90637" w:rsidP="00F90637">
      <w:pPr>
        <w:pStyle w:val="ListBullet"/>
      </w:pPr>
      <w:r w:rsidRPr="00F90637">
        <w:t>different types of permits and the work they cover, including three (3) or more of:</w:t>
      </w:r>
    </w:p>
    <w:p w:rsidR="00000000" w:rsidRPr="00F90637" w:rsidP="00F90637">
      <w:pPr>
        <w:pStyle w:val="ListBullet2"/>
      </w:pPr>
      <w:r w:rsidRPr="00F90637">
        <w:t>cold work/general permit to work</w:t>
      </w:r>
    </w:p>
    <w:p w:rsidR="00000000" w:rsidRPr="00F90637" w:rsidP="00F90637">
      <w:pPr>
        <w:pStyle w:val="ListBullet2"/>
      </w:pPr>
      <w:r w:rsidRPr="00F90637">
        <w:t>excavation</w:t>
      </w:r>
    </w:p>
    <w:p w:rsidR="00000000" w:rsidRPr="00F90637" w:rsidP="00F90637">
      <w:pPr>
        <w:pStyle w:val="ListBullet2"/>
      </w:pPr>
      <w:r w:rsidRPr="00F90637">
        <w:t>hot work</w:t>
      </w:r>
    </w:p>
    <w:p w:rsidR="00000000" w:rsidRPr="00F90637" w:rsidP="00F90637">
      <w:pPr>
        <w:pStyle w:val="ListBullet2"/>
      </w:pPr>
      <w:r w:rsidRPr="00F90637">
        <w:t>vehicle entry</w:t>
      </w:r>
    </w:p>
    <w:p w:rsidR="00000000" w:rsidRPr="00F90637" w:rsidP="00F90637">
      <w:pPr>
        <w:pStyle w:val="ListBullet2"/>
      </w:pPr>
      <w:r w:rsidRPr="00F90637">
        <w:t>minor repairs</w:t>
      </w:r>
    </w:p>
    <w:p w:rsidR="00000000" w:rsidRPr="00F90637" w:rsidP="00F90637">
      <w:pPr>
        <w:pStyle w:val="ListBullet2"/>
      </w:pPr>
      <w:r w:rsidRPr="00F90637">
        <w:t>working at heights</w:t>
      </w:r>
    </w:p>
    <w:p w:rsidR="00000000" w:rsidRPr="00F90637" w:rsidP="00F90637">
      <w:pPr>
        <w:pStyle w:val="ListBullet2"/>
      </w:pPr>
      <w:r w:rsidRPr="00F90637">
        <w:t>confined space entry</w:t>
      </w:r>
    </w:p>
    <w:p w:rsidR="00000000" w:rsidRPr="00F90637" w:rsidP="00F90637">
      <w:pPr>
        <w:pStyle w:val="ListBullet2"/>
      </w:pPr>
      <w:r w:rsidRPr="00F90637">
        <w:t>other permit types as used on site</w:t>
      </w:r>
    </w:p>
    <w:p w:rsidR="00000000" w:rsidRPr="00F90637" w:rsidP="00F90637">
      <w:pPr>
        <w:pStyle w:val="ListBullet"/>
      </w:pPr>
      <w:r w:rsidRPr="00F90637">
        <w:t>the impact of the regulatory framework and organisation procedures under which the permit operates upon the particular job requiring the permit</w:t>
      </w:r>
    </w:p>
    <w:p w:rsidR="00000000" w:rsidRPr="00F90637" w:rsidP="00F90637">
      <w:pPr>
        <w:pStyle w:val="ListBullet"/>
      </w:pPr>
      <w:r w:rsidRPr="00F90637">
        <w:t>hazards associated with tasks covered by the permit and related hazard controls</w:t>
      </w:r>
    </w:p>
    <w:p w:rsidR="00000000" w:rsidRPr="00F90637" w:rsidP="00F90637">
      <w:pPr>
        <w:pStyle w:val="ListBullet"/>
      </w:pPr>
      <w:r w:rsidRPr="00F90637">
        <w:t>types of tests/inspections requi</w:t>
      </w:r>
      <w:r w:rsidRPr="00F90637">
        <w:t>red for the issue of work permits including one (1) or more of:</w:t>
      </w:r>
    </w:p>
    <w:p w:rsidR="00000000" w:rsidRPr="00F90637" w:rsidP="00F90637">
      <w:pPr>
        <w:pStyle w:val="ListBullet2"/>
      </w:pPr>
      <w:r w:rsidRPr="00F90637">
        <w:t>atmospheric, oxygen/breathability</w:t>
      </w:r>
    </w:p>
    <w:p w:rsidR="00000000" w:rsidRPr="00F90637" w:rsidP="00F90637">
      <w:pPr>
        <w:pStyle w:val="ListBullet2"/>
      </w:pPr>
      <w:r w:rsidRPr="00F90637">
        <w:t xml:space="preserve">temperature </w:t>
      </w:r>
    </w:p>
    <w:p w:rsidR="00000000" w:rsidRPr="00F90637" w:rsidP="00F90637">
      <w:pPr>
        <w:pStyle w:val="ListBullet2"/>
      </w:pPr>
      <w:r w:rsidRPr="00F90637">
        <w:t xml:space="preserve">humidity </w:t>
      </w:r>
    </w:p>
    <w:p w:rsidR="00000000" w:rsidRPr="00F90637" w:rsidP="00F90637">
      <w:pPr>
        <w:pStyle w:val="ListBullet2"/>
      </w:pPr>
      <w:r w:rsidRPr="00F90637">
        <w:t>combustibles, oxygen, enriched or reduced</w:t>
      </w:r>
    </w:p>
    <w:p w:rsidR="00000000" w:rsidRPr="00F90637" w:rsidP="00F90637">
      <w:pPr>
        <w:pStyle w:val="ListBullet2"/>
      </w:pPr>
      <w:r w:rsidRPr="00F90637">
        <w:t>electricity</w:t>
      </w:r>
    </w:p>
    <w:p w:rsidR="00000000" w:rsidRPr="00F90637" w:rsidP="00F90637">
      <w:pPr>
        <w:pStyle w:val="ListBullet2"/>
      </w:pPr>
      <w:r w:rsidRPr="00F90637">
        <w:t>stored pressure/energy</w:t>
      </w:r>
    </w:p>
    <w:p w:rsidR="00000000" w:rsidRPr="00F90637" w:rsidP="00F90637">
      <w:pPr>
        <w:pStyle w:val="ListBullet2"/>
      </w:pPr>
      <w:r w:rsidRPr="00F90637">
        <w:t>flammability/explosivity</w:t>
      </w:r>
    </w:p>
    <w:p w:rsidR="00000000" w:rsidRPr="00F90637" w:rsidP="00F90637">
      <w:pPr>
        <w:pStyle w:val="ListBullet2"/>
      </w:pPr>
      <w:r w:rsidRPr="00F90637">
        <w:t>toxicity</w:t>
      </w:r>
    </w:p>
    <w:p w:rsidR="00000000" w:rsidRPr="00F90637" w:rsidP="00F90637">
      <w:pPr>
        <w:pStyle w:val="ListBullet2"/>
      </w:pPr>
      <w:r w:rsidRPr="00F90637">
        <w:t>electricity</w:t>
      </w:r>
    </w:p>
    <w:p w:rsidR="00000000" w:rsidRPr="00F90637" w:rsidP="00F90637">
      <w:pPr>
        <w:pStyle w:val="ListBullet2"/>
      </w:pPr>
      <w:r w:rsidRPr="00F90637">
        <w:t>stored energy/pressure.</w:t>
      </w:r>
    </w:p>
    <w:p w:rsidR="00000000" w:rsidRPr="00F90637" w:rsidP="00F90637">
      <w:pPr>
        <w:pStyle w:val="AllowPageBreak"/>
      </w:pPr>
    </w:p>
    <w:p w:rsidR="00000000" w:rsidRPr="00F90637" w:rsidP="00F90637">
      <w:pPr>
        <w:pStyle w:val="Heading1"/>
      </w:pPr>
      <w:bookmarkStart w:id="4" w:name="O_852252"/>
      <w:bookmarkEnd w:id="4"/>
      <w:r w:rsidRPr="00F90637">
        <w:t>Assessment Conditions</w:t>
      </w:r>
    </w:p>
    <w:p w:rsidR="00000000" w:rsidRPr="00F90637" w:rsidP="00F90637">
      <w:pPr>
        <w:pStyle w:val="ListBullet"/>
      </w:pPr>
      <w:r w:rsidRPr="00F90637">
        <w:t>Competency must be achieved before performing this work unsupervised. Therefore this unit will typically be assessed off the job. Where assessment is undertaken on the job, appropriate supervi</w:t>
      </w:r>
      <w:r w:rsidRPr="00F90637">
        <w:t>sion and safety precautions must be provided.</w:t>
      </w:r>
    </w:p>
    <w:p w:rsidR="00000000" w:rsidRPr="00F90637" w:rsidP="00F90637">
      <w:pPr>
        <w:pStyle w:val="ListBullet"/>
      </w:pPr>
      <w:r w:rsidRPr="00F90637">
        <w:t xml:space="preserve">The unit should be assessed holistically and the judgement of competence based on a holistic assessment of the evidence. </w:t>
      </w:r>
    </w:p>
    <w:p w:rsidR="00000000" w:rsidRPr="00F90637" w:rsidP="00F90637">
      <w:pPr>
        <w:pStyle w:val="ListBullet"/>
      </w:pPr>
      <w:r w:rsidRPr="00F90637">
        <w:t>The collection of performance evidence:</w:t>
      </w:r>
    </w:p>
    <w:p w:rsidR="00000000" w:rsidRPr="00F90637" w:rsidP="00F90637">
      <w:pPr>
        <w:pStyle w:val="ListBullet2"/>
      </w:pPr>
      <w:r w:rsidRPr="00F90637">
        <w:t>should provide evidence of the ability to perfo</w:t>
      </w:r>
      <w:r w:rsidRPr="00F90637">
        <w:t>rm over the range of situations which might be expected to be encountered, including typical disruptions to normal, smooth work conditions</w:t>
      </w:r>
    </w:p>
    <w:p w:rsidR="00000000" w:rsidRPr="00F90637" w:rsidP="00F90637">
      <w:pPr>
        <w:pStyle w:val="ListBullet2"/>
      </w:pPr>
      <w:r w:rsidRPr="00F90637">
        <w:t>will typically include the use of appropriate tools, equipment and safety gear requiring demonstration of preparation</w:t>
      </w:r>
      <w:r w:rsidRPr="00F90637">
        <w:t>, operation, completion and responding to problems</w:t>
      </w:r>
    </w:p>
    <w:p w:rsidR="00000000" w:rsidRPr="00F90637" w:rsidP="00F90637">
      <w:pPr>
        <w:pStyle w:val="ListBullet2"/>
      </w:pPr>
      <w:r w:rsidRPr="00F90637">
        <w:t>may use industry-based simulation particularly where safety, lack of opportunity or significant cost is an issue.</w:t>
      </w:r>
    </w:p>
    <w:p w:rsidR="00000000" w:rsidRPr="00F90637" w:rsidP="00F90637">
      <w:pPr>
        <w:pStyle w:val="ListBullet"/>
      </w:pPr>
      <w:r w:rsidRPr="00F90637">
        <w:t>Off-the-job assessment must sufficiently reflect realistic operational workplace condition</w:t>
      </w:r>
      <w:r w:rsidRPr="00F90637">
        <w:t xml:space="preserve">s that cover all aspects of workplace performance, including environment, task skills, task management skills, contingency management skills and job role environment skills.  </w:t>
      </w:r>
    </w:p>
    <w:p w:rsidR="00000000" w:rsidRPr="00F90637" w:rsidP="00F90637">
      <w:pPr>
        <w:pStyle w:val="ListBullet"/>
      </w:pPr>
      <w:r w:rsidRPr="00F90637">
        <w:t xml:space="preserve">Assessment in a simulated environment should </w:t>
      </w:r>
      <w:r w:rsidRPr="00F90637">
        <w:t xml:space="preserve">use evidence collected from one or more of: </w:t>
      </w:r>
    </w:p>
    <w:p w:rsidR="00000000" w:rsidRPr="00F90637" w:rsidP="00F90637">
      <w:pPr>
        <w:pStyle w:val="ListBullet2"/>
      </w:pPr>
      <w:r w:rsidRPr="00F90637">
        <w:t>walk-throughs</w:t>
      </w:r>
    </w:p>
    <w:p w:rsidR="00000000" w:rsidRPr="00F90637" w:rsidP="00F90637">
      <w:pPr>
        <w:pStyle w:val="ListBullet2"/>
      </w:pPr>
      <w:r w:rsidRPr="00F90637">
        <w:t xml:space="preserve">demonstration of skills </w:t>
      </w:r>
    </w:p>
    <w:p w:rsidR="00000000" w:rsidRPr="00F90637" w:rsidP="00F90637">
      <w:pPr>
        <w:pStyle w:val="ListBullet2"/>
      </w:pPr>
      <w:r w:rsidRPr="00F90637">
        <w:t xml:space="preserve">industry-based case studies/scenarios </w:t>
      </w:r>
    </w:p>
    <w:p w:rsidR="00000000" w:rsidRPr="00F90637" w:rsidP="00F90637">
      <w:pPr>
        <w:pStyle w:val="ListBullet2"/>
      </w:pPr>
      <w:r w:rsidRPr="00F90637">
        <w:t>‘what ifs’.</w:t>
      </w:r>
    </w:p>
    <w:p w:rsidR="00000000" w:rsidRPr="00F90637" w:rsidP="00F90637">
      <w:pPr>
        <w:pStyle w:val="ListBullet"/>
      </w:pPr>
      <w:r w:rsidRPr="00F90637">
        <w:t>Knowledge evidence may be collected concurrently with performance evidence (provided a record is kept) or through an in</w:t>
      </w:r>
      <w:r w:rsidRPr="00F90637">
        <w:t xml:space="preserve">dependent process, such as workbooks, written assessments or interviews (provided a record is kept). </w:t>
      </w:r>
    </w:p>
    <w:p w:rsidR="00000000" w:rsidRPr="00F90637" w:rsidP="00F90637">
      <w:pPr>
        <w:pStyle w:val="ListBullet"/>
      </w:pPr>
      <w:r w:rsidRPr="00F90637">
        <w:t>Assessment processes and techniques must be appropriate to the language, literacy and numeracy requirements of the work being performed and the needs of t</w:t>
      </w:r>
      <w:r w:rsidRPr="00F90637">
        <w:t>he candidate.</w:t>
      </w:r>
    </w:p>
    <w:p w:rsidR="00000000" w:rsidRPr="00F90637" w:rsidP="00F90637">
      <w:pPr>
        <w:pStyle w:val="ListBullet"/>
      </w:pPr>
      <w:r w:rsidRPr="00F90637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F90637" w:rsidP="00F90637">
      <w:pPr>
        <w:pStyle w:val="ListBullet"/>
      </w:pPr>
      <w:r w:rsidRPr="00F90637">
        <w:t>The regulatory framework</w:t>
      </w:r>
      <w:r w:rsidRPr="00F90637">
        <w:t xml:space="preserve"> will be reflected in workplace policies and procedures and is not required to be independently assessed.</w:t>
      </w:r>
    </w:p>
    <w:p w:rsidR="00000000" w:rsidRPr="00F90637" w:rsidP="00F90637">
      <w:pPr>
        <w:pStyle w:val="ListBullet"/>
      </w:pPr>
      <w:r w:rsidRPr="00F90637">
        <w:t>Foundation skills are integral to competent performance of the unit and should not be assessed separately.</w:t>
      </w:r>
    </w:p>
    <w:p w:rsidR="00000000" w:rsidRPr="00F90637" w:rsidP="00F90637">
      <w:pPr>
        <w:pStyle w:val="ListBullet"/>
      </w:pPr>
      <w:r w:rsidRPr="00F90637">
        <w:t>As a minimum, assessors must satisfy the St</w:t>
      </w:r>
      <w:r w:rsidRPr="00F90637">
        <w:t>andards for Registered Training Organisations 2015 assessor requirements.</w:t>
      </w:r>
    </w:p>
    <w:p w:rsidR="00000000" w:rsidRPr="00F90637" w:rsidP="00F90637">
      <w:pPr>
        <w:pStyle w:val="AllowPageBreak"/>
      </w:pPr>
    </w:p>
    <w:p w:rsidR="00000000" w:rsidRPr="00F90637" w:rsidP="00F90637">
      <w:pPr>
        <w:pStyle w:val="Heading1"/>
      </w:pPr>
      <w:bookmarkStart w:id="5" w:name="O_852250"/>
      <w:bookmarkEnd w:id="5"/>
      <w:r w:rsidRPr="00F90637">
        <w:t>Links</w:t>
      </w:r>
    </w:p>
    <w:p w:rsidR="00000000" w:rsidRPr="00F90637" w:rsidP="004D3FBD">
      <w:pPr>
        <w:pStyle w:val="BodyText"/>
      </w:pPr>
      <w:r w:rsidRPr="00F906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F623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90637" w:rsidP="00F90637"/>
    <w:sectPr w:rsidSect="00F906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6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637" w:rsidRPr="004D3FBD" w:rsidP="004D3F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6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FBD" w:rsidP="00F906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FBD" w:rsidP="00F906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D3FBD" w:rsidP="00F906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6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F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0637" w:rsidRPr="004D3FBD" w:rsidP="004D3F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6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FBD" w:rsidRPr="002D2AF8" w:rsidP="00F906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MSMPER200 Work in accordance with an issued permit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4D3FBD" w:rsidP="00F906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E430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FA2B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50E2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6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06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6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6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6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6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6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6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6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6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6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637"/>
  </w:style>
  <w:style w:type="character" w:customStyle="1" w:styleId="Heading1Char">
    <w:name w:val="Heading 1 Char"/>
    <w:basedOn w:val="DefaultParagraphFont"/>
    <w:link w:val="Heading1"/>
    <w:rsid w:val="00F906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6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6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06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06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06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06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06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6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6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6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6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6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06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06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06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6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6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6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6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06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6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06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6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6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06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06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0637"/>
    <w:rPr>
      <w:b/>
      <w:spacing w:val="0"/>
    </w:rPr>
  </w:style>
  <w:style w:type="paragraph" w:customStyle="1" w:styleId="SuperTitle">
    <w:name w:val="SuperTitle"/>
    <w:basedOn w:val="Title"/>
    <w:rsid w:val="00F906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6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6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06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6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06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6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06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6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6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6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6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0637"/>
    <w:rPr>
      <w:i/>
    </w:rPr>
  </w:style>
  <w:style w:type="paragraph" w:styleId="Caption">
    <w:name w:val="caption"/>
    <w:basedOn w:val="BodyText"/>
    <w:next w:val="Normal"/>
    <w:qFormat/>
    <w:rsid w:val="00F906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6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6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637"/>
  </w:style>
  <w:style w:type="paragraph" w:styleId="TableofFigures">
    <w:name w:val="table of figures"/>
    <w:basedOn w:val="Normal"/>
    <w:next w:val="Normal"/>
    <w:semiHidden/>
    <w:rsid w:val="00F906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6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0637"/>
    <w:rPr>
      <w:rFonts w:ascii="Wingdings" w:hAnsi="Wingdings"/>
    </w:rPr>
  </w:style>
  <w:style w:type="paragraph" w:customStyle="1" w:styleId="TableHeading">
    <w:name w:val="Table Heading"/>
    <w:basedOn w:val="HeadingBase"/>
    <w:rsid w:val="00F906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0637"/>
    <w:rPr>
      <w:color w:val="0033CC"/>
      <w:u w:val="none"/>
    </w:rPr>
  </w:style>
  <w:style w:type="paragraph" w:customStyle="1" w:styleId="BodyTextRight">
    <w:name w:val="Body Text Right"/>
    <w:basedOn w:val="BodyText"/>
    <w:rsid w:val="00F906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6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6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6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6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6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0637"/>
    <w:rPr>
      <w:sz w:val="32"/>
    </w:rPr>
  </w:style>
  <w:style w:type="paragraph" w:customStyle="1" w:styleId="HeadingProcedure">
    <w:name w:val="Heading Procedure"/>
    <w:basedOn w:val="HeadingBase"/>
    <w:next w:val="Normal"/>
    <w:rsid w:val="00F906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637"/>
    <w:pPr>
      <w:spacing w:before="60" w:after="60"/>
    </w:pPr>
  </w:style>
  <w:style w:type="paragraph" w:styleId="ListContinue">
    <w:name w:val="List Continue"/>
    <w:basedOn w:val="List"/>
    <w:rsid w:val="00F90637"/>
    <w:pPr>
      <w:ind w:firstLine="0"/>
    </w:pPr>
  </w:style>
  <w:style w:type="paragraph" w:customStyle="1" w:styleId="ListNote">
    <w:name w:val="List Note"/>
    <w:basedOn w:val="List"/>
    <w:rsid w:val="00F906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6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6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637"/>
    <w:rPr>
      <w:rFonts w:ascii="Courier New" w:hAnsi="Courier New"/>
    </w:rPr>
  </w:style>
  <w:style w:type="paragraph" w:customStyle="1" w:styleId="NoteBullet">
    <w:name w:val="Note Bullet"/>
    <w:basedOn w:val="Note"/>
    <w:rsid w:val="00F906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6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6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6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6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06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6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0637"/>
    <w:rPr>
      <w:b/>
      <w:smallCaps/>
    </w:rPr>
  </w:style>
  <w:style w:type="paragraph" w:customStyle="1" w:styleId="TableListNumber">
    <w:name w:val="Table List Number"/>
    <w:basedOn w:val="ListNumber"/>
    <w:rsid w:val="00F906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6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637"/>
    <w:pPr>
      <w:numPr>
        <w:numId w:val="9"/>
      </w:numPr>
    </w:pPr>
  </w:style>
  <w:style w:type="paragraph" w:customStyle="1" w:styleId="ListAlpha2">
    <w:name w:val="List Alpha 2"/>
    <w:basedOn w:val="List2"/>
    <w:rsid w:val="00F90637"/>
    <w:pPr>
      <w:numPr>
        <w:numId w:val="8"/>
      </w:numPr>
    </w:pPr>
  </w:style>
  <w:style w:type="paragraph" w:styleId="List2">
    <w:name w:val="List 2"/>
    <w:basedOn w:val="BodyText"/>
    <w:rsid w:val="00F906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6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6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6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06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06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0637"/>
    <w:pPr>
      <w:numPr>
        <w:numId w:val="4"/>
      </w:numPr>
    </w:pPr>
  </w:style>
  <w:style w:type="paragraph" w:styleId="ListContinue2">
    <w:name w:val="List Continue 2"/>
    <w:basedOn w:val="List2"/>
    <w:rsid w:val="00F90637"/>
    <w:pPr>
      <w:ind w:firstLine="0"/>
    </w:pPr>
  </w:style>
  <w:style w:type="paragraph" w:styleId="ListContinue3">
    <w:name w:val="List Continue 3"/>
    <w:basedOn w:val="List3"/>
    <w:rsid w:val="00F90637"/>
    <w:pPr>
      <w:ind w:left="1021" w:firstLine="0"/>
    </w:pPr>
  </w:style>
  <w:style w:type="paragraph" w:styleId="ListContinue4">
    <w:name w:val="List Continue 4"/>
    <w:basedOn w:val="List4"/>
    <w:rsid w:val="00F90637"/>
    <w:pPr>
      <w:ind w:firstLine="0"/>
    </w:pPr>
  </w:style>
  <w:style w:type="paragraph" w:styleId="ListContinue5">
    <w:name w:val="List Continue 5"/>
    <w:basedOn w:val="List5"/>
    <w:rsid w:val="00F90637"/>
    <w:pPr>
      <w:ind w:firstLine="0"/>
    </w:pPr>
  </w:style>
  <w:style w:type="paragraph" w:styleId="ListNumber3">
    <w:name w:val="List Number 3"/>
    <w:basedOn w:val="List3"/>
    <w:rsid w:val="00F90637"/>
    <w:pPr>
      <w:numPr>
        <w:numId w:val="5"/>
      </w:numPr>
    </w:pPr>
  </w:style>
  <w:style w:type="paragraph" w:styleId="ListNumber4">
    <w:name w:val="List Number 4"/>
    <w:basedOn w:val="List4"/>
    <w:rsid w:val="00F90637"/>
    <w:pPr>
      <w:numPr>
        <w:numId w:val="6"/>
      </w:numPr>
    </w:pPr>
  </w:style>
  <w:style w:type="paragraph" w:styleId="ListNumber5">
    <w:name w:val="List Number 5"/>
    <w:basedOn w:val="List5"/>
    <w:rsid w:val="00F90637"/>
    <w:pPr>
      <w:numPr>
        <w:numId w:val="7"/>
      </w:numPr>
    </w:pPr>
  </w:style>
  <w:style w:type="paragraph" w:styleId="BlockText">
    <w:name w:val="Block Text"/>
    <w:basedOn w:val="Normal"/>
    <w:rsid w:val="00F906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6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637"/>
    <w:rPr>
      <w:sz w:val="16"/>
      <w:vertAlign w:val="superscript"/>
    </w:rPr>
  </w:style>
  <w:style w:type="character" w:customStyle="1" w:styleId="Symbols">
    <w:name w:val="Symbols"/>
    <w:basedOn w:val="DefaultParagraphFont"/>
    <w:rsid w:val="00F90637"/>
    <w:rPr>
      <w:rFonts w:ascii="Symbol" w:hAnsi="Symbol"/>
    </w:rPr>
  </w:style>
  <w:style w:type="character" w:customStyle="1" w:styleId="MenuOptions">
    <w:name w:val="Menu Options"/>
    <w:basedOn w:val="DefaultParagraphFont"/>
    <w:rsid w:val="00F906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637"/>
    <w:rPr>
      <w:b/>
    </w:rPr>
  </w:style>
  <w:style w:type="character" w:customStyle="1" w:styleId="Underlined">
    <w:name w:val="Underlined"/>
    <w:basedOn w:val="DefaultParagraphFont"/>
    <w:rsid w:val="00F90637"/>
    <w:rPr>
      <w:u w:val="single"/>
    </w:rPr>
  </w:style>
  <w:style w:type="paragraph" w:customStyle="1" w:styleId="TableBodyTextRight">
    <w:name w:val="Table Body Text Right"/>
    <w:basedOn w:val="TableBodyText"/>
    <w:rsid w:val="00F906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637"/>
    <w:rPr>
      <w:sz w:val="18"/>
    </w:rPr>
  </w:style>
  <w:style w:type="paragraph" w:customStyle="1" w:styleId="BodySmallRight">
    <w:name w:val="Body Small Right"/>
    <w:basedOn w:val="BodyTextRight"/>
    <w:rsid w:val="00F90637"/>
    <w:rPr>
      <w:sz w:val="18"/>
      <w:szCs w:val="18"/>
    </w:rPr>
  </w:style>
  <w:style w:type="paragraph" w:customStyle="1" w:styleId="MarginEdition">
    <w:name w:val="Margin Edition"/>
    <w:basedOn w:val="MarginNote"/>
    <w:rsid w:val="00F906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637"/>
    <w:rPr>
      <w:sz w:val="2"/>
      <w:szCs w:val="2"/>
    </w:rPr>
  </w:style>
  <w:style w:type="character" w:customStyle="1" w:styleId="Small">
    <w:name w:val="Small"/>
    <w:basedOn w:val="DefaultParagraphFont"/>
    <w:rsid w:val="00F90637"/>
    <w:rPr>
      <w:sz w:val="16"/>
    </w:rPr>
  </w:style>
  <w:style w:type="paragraph" w:customStyle="1" w:styleId="WideTable">
    <w:name w:val="Wide Table"/>
    <w:basedOn w:val="Normal"/>
    <w:rsid w:val="00F906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637"/>
  </w:style>
  <w:style w:type="paragraph" w:styleId="Quote">
    <w:name w:val="Quote"/>
    <w:basedOn w:val="Heading1"/>
    <w:link w:val="QuoteChar"/>
    <w:qFormat/>
    <w:rsid w:val="00F906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6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637"/>
    <w:pPr>
      <w:pageBreakBefore/>
    </w:pPr>
  </w:style>
  <w:style w:type="paragraph" w:customStyle="1" w:styleId="Border">
    <w:name w:val="Border"/>
    <w:basedOn w:val="Normal"/>
    <w:qFormat/>
    <w:rsid w:val="00F906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6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6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6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06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6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6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6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6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0637"/>
    <w:rPr>
      <w:u w:val="single"/>
    </w:rPr>
  </w:style>
  <w:style w:type="character" w:customStyle="1" w:styleId="BoldandItalics">
    <w:name w:val="Bold and Italics"/>
    <w:qFormat/>
    <w:rsid w:val="00F90637"/>
    <w:rPr>
      <w:b/>
      <w:i/>
      <w:u w:val="none"/>
    </w:rPr>
  </w:style>
  <w:style w:type="paragraph" w:styleId="BalloonText">
    <w:name w:val="Balloon Text"/>
    <w:basedOn w:val="Normal"/>
    <w:link w:val="BalloonTextChar"/>
    <w:rsid w:val="00F906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6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06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6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06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06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0637"/>
    <w:pPr>
      <w:spacing w:before="0" w:after="0"/>
    </w:pPr>
  </w:style>
  <w:style w:type="paragraph" w:customStyle="1" w:styleId="BodyTextBold">
    <w:name w:val="Body Text Bold"/>
    <w:basedOn w:val="BodyText"/>
    <w:qFormat/>
    <w:rsid w:val="00F90637"/>
    <w:rPr>
      <w:b/>
    </w:rPr>
  </w:style>
  <w:style w:type="character" w:styleId="Hyperlink">
    <w:name w:val="Hyperlink"/>
    <w:basedOn w:val="DefaultParagraphFont"/>
    <w:uiPriority w:val="99"/>
    <w:unhideWhenUsed/>
    <w:rsid w:val="004D3F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567</Words>
  <Characters>3627</Characters>
  <Application>Microsoft Office Word</Application>
  <DocSecurity>0</DocSecurity>
  <Lines>90</Lines>
  <Paragraphs>66</Paragraphs>
  <ScaleCrop>false</ScaleCrop>
  <Company>Author-it Software Corporation Ltd.</Company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MSMPER200 Work in accordance with an issued permit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2024-11-22T08:05:00Z</dcterms:created>
  <dcterms:modified xsi:type="dcterms:W3CDTF">2024-11-22T08:05:00Z</dcterms:modified>
</cp:coreProperties>
</file>