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953A1" w:rsidP="006953A1">
      <w:pPr>
        <w:pStyle w:val="Title"/>
      </w:pPr>
      <w:r>
        <w:fldChar w:fldCharType="begin"/>
      </w:r>
      <w:r>
        <w:instrText xml:space="preserve"> TITLE   \* MERGEFORMAT </w:instrText>
      </w:r>
      <w:r>
        <w:fldChar w:fldCharType="separate"/>
      </w:r>
      <w:r>
        <w:t>MSMOPS401 Trial new process or product</w:t>
      </w:r>
      <w:r>
        <w:fldChar w:fldCharType="end"/>
      </w:r>
    </w:p>
    <w:p w:rsidR="006953A1" w:rsidP="006953A1">
      <w:pPr>
        <w:pStyle w:val="Version"/>
        <w:sectPr w:rsidSect="00DA0EE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A0EEA" w:rsidP="00DA0EEA">
      <w:pPr>
        <w:pStyle w:val="SuperHeading"/>
      </w:pPr>
      <w:r w:rsidRPr="00DA0EEA">
        <w:t>MSMOPS401 Trial new process or product</w:t>
      </w:r>
    </w:p>
    <w:p w:rsidR="00000000" w:rsidRPr="00DA0EEA" w:rsidP="00DA0EEA">
      <w:pPr>
        <w:pStyle w:val="Heading1"/>
      </w:pPr>
      <w:bookmarkStart w:id="1" w:name="O_870925"/>
      <w:bookmarkEnd w:id="1"/>
      <w:r w:rsidRPr="00DA0EEA">
        <w:t>Modification History</w:t>
      </w:r>
    </w:p>
    <w:p w:rsidR="00000000" w:rsidRPr="00DA0EEA" w:rsidP="006953A1">
      <w:pPr>
        <w:pStyle w:val="BodyText"/>
      </w:pPr>
      <w:r w:rsidRPr="00DA0EEA">
        <w:t>Release 1. Supersedes and is equivalent to MSAPMOPS401A Trial new process or product</w:t>
      </w:r>
    </w:p>
    <w:p w:rsidR="00000000" w:rsidRPr="00DA0EEA" w:rsidP="00DA0EEA">
      <w:pPr>
        <w:pStyle w:val="Heading1"/>
      </w:pPr>
      <w:bookmarkStart w:id="2" w:name="O_870933"/>
      <w:bookmarkEnd w:id="2"/>
      <w:r w:rsidRPr="00DA0EEA">
        <w:t>Application</w:t>
      </w:r>
    </w:p>
    <w:p w:rsidR="00000000" w:rsidRPr="00DA0EEA" w:rsidP="006953A1">
      <w:pPr>
        <w:pStyle w:val="BodyText"/>
      </w:pPr>
      <w:r w:rsidRPr="00DA0EEA">
        <w:t xml:space="preserve">This unit of competency covers the skills and knowledge required to take a lead technical role in the trialling of a new </w:t>
      </w:r>
      <w:r w:rsidRPr="00DA0EEA">
        <w:t>or significantly altered product or process. The new/changed product/process has been independently developed and its development is not part of this unit.</w:t>
      </w:r>
    </w:p>
    <w:p w:rsidR="00000000" w:rsidRPr="00DA0EEA" w:rsidP="006953A1">
      <w:pPr>
        <w:pStyle w:val="BodyText"/>
      </w:pPr>
      <w:r w:rsidRPr="00DA0EEA">
        <w:t>The unit of competency applies to a person in a technician role in a plant or a similar role. The t</w:t>
      </w:r>
      <w:r w:rsidRPr="00DA0EEA">
        <w:t>echnician is expected already to be a technical expert in that part of the plant/process where the trial is being conducted and be able to operate and control all equipment required for the trial. The technician is often the most technically competent memb</w:t>
      </w:r>
      <w:r w:rsidRPr="00DA0EEA">
        <w:t xml:space="preserve">er of an operational team. As such, they may not have the </w:t>
      </w:r>
      <w:r>
        <w:t>‘</w:t>
      </w:r>
      <w:r w:rsidRPr="00DA0EEA">
        <w:t>hands on</w:t>
      </w:r>
      <w:r>
        <w:t>’</w:t>
      </w:r>
      <w:r w:rsidRPr="00DA0EEA">
        <w:t xml:space="preserve"> role of operating items of equipment; but they are required to have the competence to direct the operation of equipment as appropriate throughout the trial.</w:t>
      </w:r>
    </w:p>
    <w:p w:rsidR="00000000" w:rsidRPr="00DA0EEA" w:rsidP="006953A1">
      <w:pPr>
        <w:pStyle w:val="BodyText"/>
      </w:pPr>
      <w:r w:rsidRPr="00DA0EEA">
        <w:t>Typically the technician will</w:t>
      </w:r>
      <w:r w:rsidRPr="00DA0EEA">
        <w:t xml:space="preserve"> be part of a team during the trial and will work in conjunction with a process/product development expert, such as a chemist or engineer and liaise and cooperate with other members of the team.</w:t>
      </w:r>
    </w:p>
    <w:p w:rsidR="00000000" w:rsidRPr="00DA0EEA" w:rsidP="006953A1">
      <w:pPr>
        <w:pStyle w:val="BodyText"/>
      </w:pPr>
      <w:r w:rsidRPr="00DA0EEA">
        <w:t>Trialling refers to the scale-up and other development steps</w:t>
      </w:r>
      <w:r w:rsidRPr="00DA0EEA">
        <w:t xml:space="preserve"> required to take a new product or process from its design/laboratory trials to full commercial operation on a plant. Trialling may be done on a pilot plant where available and/or on a full scale plant.</w:t>
      </w:r>
    </w:p>
    <w:p w:rsidR="00000000" w:rsidRPr="00DA0EEA" w:rsidP="006953A1">
      <w:pPr>
        <w:pStyle w:val="BodyText"/>
      </w:pPr>
      <w:r w:rsidRPr="00DA0EEA">
        <w:t>This unit of competency does not apply to minor modi</w:t>
      </w:r>
      <w:r w:rsidRPr="00DA0EEA">
        <w:t>fications to existing products or processes. Similarly it does not apply to a technician or operator taking part in such trials and/or who is simply following directions from a technician, chemist, engineer, supervisor or manager.</w:t>
      </w:r>
    </w:p>
    <w:p w:rsidR="00000000" w:rsidRPr="00DA0EEA" w:rsidP="006953A1">
      <w:pPr>
        <w:pStyle w:val="BodyText"/>
      </w:pPr>
      <w:r w:rsidRPr="00DA0EEA">
        <w:t>No licensing, legislativ</w:t>
      </w:r>
      <w:r w:rsidRPr="00DA0EEA">
        <w:t>e or certification requirements apply to this unit at the time of publication.</w:t>
      </w:r>
    </w:p>
    <w:p w:rsidR="00000000" w:rsidRPr="00DA0EEA" w:rsidP="00DA0EEA">
      <w:pPr>
        <w:pStyle w:val="Heading1"/>
      </w:pPr>
      <w:bookmarkStart w:id="3" w:name="O_870932"/>
      <w:bookmarkEnd w:id="3"/>
      <w:r w:rsidRPr="00DA0EEA">
        <w:t>Pre-requisite Unit</w:t>
      </w:r>
    </w:p>
    <w:p w:rsidR="00000000" w:rsidRPr="00DA0EEA" w:rsidP="006953A1">
      <w:pPr>
        <w:pStyle w:val="BodyText"/>
      </w:pPr>
      <w:r w:rsidRPr="00DA0EEA">
        <w:t>Nil</w:t>
      </w:r>
    </w:p>
    <w:p w:rsidR="00000000" w:rsidRPr="00DA0EEA" w:rsidP="00DA0EEA">
      <w:pPr>
        <w:pStyle w:val="Heading1"/>
      </w:pPr>
      <w:bookmarkStart w:id="4" w:name="O_870931"/>
      <w:bookmarkEnd w:id="4"/>
      <w:r w:rsidRPr="00DA0EEA">
        <w:t>Competency Field</w:t>
      </w:r>
    </w:p>
    <w:p w:rsidR="00000000" w:rsidRPr="00DA0EEA" w:rsidP="006953A1">
      <w:pPr>
        <w:pStyle w:val="BodyText"/>
      </w:pPr>
      <w:r w:rsidRPr="00DA0EEA">
        <w:t>Operations</w:t>
      </w:r>
    </w:p>
    <w:p w:rsidR="00000000" w:rsidRPr="00DA0EEA" w:rsidP="00DA0EEA">
      <w:pPr>
        <w:pStyle w:val="Heading1"/>
      </w:pPr>
      <w:bookmarkStart w:id="5" w:name="O_870930"/>
      <w:bookmarkEnd w:id="5"/>
      <w:r w:rsidRPr="00DA0EEA">
        <w:t>Unit Sector</w:t>
      </w:r>
    </w:p>
    <w:p w:rsidR="00000000" w:rsidRPr="00DA0EEA" w:rsidP="00DA0EEA">
      <w:pPr>
        <w:pStyle w:val="Heading1"/>
      </w:pPr>
      <w:bookmarkStart w:id="6" w:name="O_870929"/>
      <w:bookmarkEnd w:id="6"/>
      <w:r w:rsidRPr="00DA0EEA">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DA0EEA">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DA0EEA">
            <w:pPr>
              <w:pStyle w:val="BodyText"/>
              <w:rPr>
                <w:lang w:val="en-NZ"/>
              </w:rPr>
            </w:pPr>
            <w:r w:rsidRPr="00DA0EEA">
              <w:t>Elements desc</w:t>
            </w:r>
            <w:r w:rsidRPr="00DA0EEA">
              <w:t>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DA0EEA">
            <w:pPr>
              <w:pStyle w:val="BodyText"/>
              <w:rPr>
                <w:lang w:val="en-NZ"/>
              </w:rPr>
            </w:pPr>
            <w:r w:rsidRPr="00DA0EEA">
              <w:t>Performance criteria describe the performance needed to demonstrate achievement of the element</w:t>
            </w:r>
          </w:p>
        </w:tc>
      </w:tr>
      <w:tr w:rsidTr="00DA0EEA">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380" w:type="dxa"/>
            <w:gridSpan w:val="2"/>
            <w:tcBorders>
              <w:top w:val="nil"/>
              <w:left w:val="nil"/>
              <w:bottom w:val="nil"/>
              <w:right w:val="nil"/>
            </w:tcBorders>
            <w:tcMar>
              <w:top w:w="0" w:type="dxa"/>
              <w:left w:w="62" w:type="dxa"/>
              <w:bottom w:w="0" w:type="dxa"/>
              <w:right w:w="62" w:type="dxa"/>
            </w:tcMar>
          </w:tcPr>
          <w:p w:rsidR="00000000" w:rsidP="00DA0EEA">
            <w:pPr>
              <w:pStyle w:val="BodyText"/>
              <w:rPr>
                <w:lang w:val="en-NZ"/>
              </w:rPr>
            </w:pPr>
          </w:p>
        </w:tc>
      </w:tr>
      <w:tr w:rsidTr="00DA0EE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DA0EEA">
            <w:pPr>
              <w:pStyle w:val="BodyText"/>
              <w:rPr>
                <w:lang w:val="en-NZ"/>
              </w:rPr>
            </w:pPr>
            <w:r w:rsidRPr="00DA0EEA">
              <w:t>1</w:t>
            </w:r>
          </w:p>
        </w:tc>
        <w:tc>
          <w:tcPr>
            <w:tcW w:w="1962" w:type="dxa"/>
            <w:vMerge w:val="restart"/>
            <w:tcBorders>
              <w:top w:val="nil"/>
              <w:left w:val="nil"/>
              <w:bottom w:val="nil"/>
              <w:right w:val="nil"/>
            </w:tcBorders>
            <w:tcMar>
              <w:top w:w="0" w:type="dxa"/>
              <w:left w:w="62" w:type="dxa"/>
              <w:bottom w:w="0" w:type="dxa"/>
              <w:right w:w="62" w:type="dxa"/>
            </w:tcMar>
          </w:tcPr>
          <w:p w:rsidR="00000000" w:rsidP="00DA0EEA">
            <w:pPr>
              <w:pStyle w:val="BodyText"/>
              <w:rPr>
                <w:lang w:val="en-NZ"/>
              </w:rPr>
            </w:pPr>
            <w:r w:rsidRPr="00DA0EEA">
              <w:t>Contribute to the selection of equipment/ process conditions</w:t>
            </w:r>
          </w:p>
        </w:tc>
        <w:tc>
          <w:tcPr>
            <w:tcW w:w="770" w:type="dxa"/>
            <w:tcBorders>
              <w:top w:val="nil"/>
              <w:left w:val="nil"/>
              <w:bottom w:val="nil"/>
              <w:right w:val="nil"/>
            </w:tcBorders>
            <w:tcMar>
              <w:top w:w="0" w:type="dxa"/>
              <w:left w:w="62" w:type="dxa"/>
              <w:bottom w:w="0" w:type="dxa"/>
              <w:right w:w="62" w:type="dxa"/>
            </w:tcMar>
          </w:tcPr>
          <w:p w:rsidR="00000000" w:rsidP="00DA0EEA">
            <w:pPr>
              <w:pStyle w:val="BodyText"/>
              <w:rPr>
                <w:lang w:val="en-NZ"/>
              </w:rPr>
            </w:pPr>
            <w:r w:rsidRPr="00DA0EEA">
              <w:t>1.1</w:t>
            </w:r>
          </w:p>
        </w:tc>
        <w:tc>
          <w:tcPr>
            <w:tcW w:w="5610" w:type="dxa"/>
            <w:tcBorders>
              <w:top w:val="nil"/>
              <w:left w:val="nil"/>
              <w:bottom w:val="nil"/>
              <w:right w:val="nil"/>
            </w:tcBorders>
            <w:tcMar>
              <w:top w:w="0" w:type="dxa"/>
              <w:left w:w="62" w:type="dxa"/>
              <w:bottom w:w="0" w:type="dxa"/>
              <w:right w:w="62" w:type="dxa"/>
            </w:tcMar>
          </w:tcPr>
          <w:p w:rsidR="00000000" w:rsidP="00DA0EEA">
            <w:pPr>
              <w:pStyle w:val="BodyText"/>
              <w:rPr>
                <w:lang w:val="en-NZ"/>
              </w:rPr>
            </w:pPr>
            <w:r w:rsidRPr="00DA0EEA">
              <w:t>Liaise with appropriate technical experts</w:t>
            </w:r>
          </w:p>
        </w:tc>
      </w:tr>
      <w:tr w:rsidTr="00DA0EE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A0EEA">
            <w:pPr>
              <w:pStyle w:val="BodyText"/>
              <w:rPr>
                <w:lang w:val="en-NZ"/>
              </w:rPr>
            </w:pPr>
            <w:r w:rsidRPr="00DA0EEA">
              <w:t>1.2</w:t>
            </w:r>
          </w:p>
        </w:tc>
        <w:tc>
          <w:tcPr>
            <w:tcW w:w="5610" w:type="dxa"/>
            <w:tcBorders>
              <w:top w:val="nil"/>
              <w:left w:val="nil"/>
              <w:bottom w:val="nil"/>
              <w:right w:val="nil"/>
            </w:tcBorders>
            <w:tcMar>
              <w:top w:w="0" w:type="dxa"/>
              <w:left w:w="62" w:type="dxa"/>
              <w:bottom w:w="0" w:type="dxa"/>
              <w:right w:w="62" w:type="dxa"/>
            </w:tcMar>
          </w:tcPr>
          <w:p w:rsidR="00000000" w:rsidP="00DA0EEA">
            <w:pPr>
              <w:pStyle w:val="BodyText"/>
              <w:rPr>
                <w:lang w:val="en-NZ"/>
              </w:rPr>
            </w:pPr>
            <w:r w:rsidRPr="00DA0EEA">
              <w:t>Interpret properties of materials and desired product characteristics</w:t>
            </w:r>
          </w:p>
        </w:tc>
      </w:tr>
      <w:tr w:rsidTr="00DA0EE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A0EEA">
            <w:pPr>
              <w:pStyle w:val="BodyText"/>
              <w:rPr>
                <w:lang w:val="en-NZ"/>
              </w:rPr>
            </w:pPr>
            <w:r w:rsidRPr="00DA0EEA">
              <w:t>1.3</w:t>
            </w:r>
          </w:p>
        </w:tc>
        <w:tc>
          <w:tcPr>
            <w:tcW w:w="5610" w:type="dxa"/>
            <w:tcBorders>
              <w:top w:val="nil"/>
              <w:left w:val="nil"/>
              <w:bottom w:val="nil"/>
              <w:right w:val="nil"/>
            </w:tcBorders>
            <w:tcMar>
              <w:top w:w="0" w:type="dxa"/>
              <w:left w:w="62" w:type="dxa"/>
              <w:bottom w:w="0" w:type="dxa"/>
              <w:right w:w="62" w:type="dxa"/>
            </w:tcMar>
          </w:tcPr>
          <w:p w:rsidR="00000000" w:rsidP="00DA0EEA">
            <w:pPr>
              <w:pStyle w:val="BodyText"/>
              <w:rPr>
                <w:lang w:val="en-NZ"/>
              </w:rPr>
            </w:pPr>
            <w:r w:rsidRPr="00DA0EEA">
              <w:t>Interpret technical specifications/drawings of plant requirements</w:t>
            </w:r>
          </w:p>
        </w:tc>
      </w:tr>
      <w:tr w:rsidTr="00DA0EE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A0EEA">
            <w:pPr>
              <w:pStyle w:val="BodyText"/>
              <w:rPr>
                <w:lang w:val="en-NZ"/>
              </w:rPr>
            </w:pPr>
            <w:r w:rsidRPr="00DA0EEA">
              <w:t>1.4</w:t>
            </w:r>
          </w:p>
        </w:tc>
        <w:tc>
          <w:tcPr>
            <w:tcW w:w="5610" w:type="dxa"/>
            <w:tcBorders>
              <w:top w:val="nil"/>
              <w:left w:val="nil"/>
              <w:bottom w:val="nil"/>
              <w:right w:val="nil"/>
            </w:tcBorders>
            <w:tcMar>
              <w:top w:w="0" w:type="dxa"/>
              <w:left w:w="62" w:type="dxa"/>
              <w:bottom w:w="0" w:type="dxa"/>
              <w:right w:w="62" w:type="dxa"/>
            </w:tcMar>
          </w:tcPr>
          <w:p w:rsidR="00000000" w:rsidP="00DA0EEA">
            <w:pPr>
              <w:pStyle w:val="BodyText"/>
              <w:rPr>
                <w:lang w:val="en-NZ"/>
              </w:rPr>
            </w:pPr>
            <w:r w:rsidRPr="00DA0EEA">
              <w:t>Recommend equipment/ancillary equipment appropriate for the materials, products and conditions</w:t>
            </w:r>
          </w:p>
        </w:tc>
      </w:tr>
      <w:tr w:rsidTr="00DA0EE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A0EEA">
            <w:pPr>
              <w:pStyle w:val="BodyText"/>
              <w:rPr>
                <w:lang w:val="en-NZ"/>
              </w:rPr>
            </w:pPr>
            <w:r w:rsidRPr="00DA0EEA">
              <w:t>1.5</w:t>
            </w:r>
          </w:p>
        </w:tc>
        <w:tc>
          <w:tcPr>
            <w:tcW w:w="5610" w:type="dxa"/>
            <w:tcBorders>
              <w:top w:val="nil"/>
              <w:left w:val="nil"/>
              <w:bottom w:val="nil"/>
              <w:right w:val="nil"/>
            </w:tcBorders>
            <w:tcMar>
              <w:top w:w="0" w:type="dxa"/>
              <w:left w:w="62" w:type="dxa"/>
              <w:bottom w:w="0" w:type="dxa"/>
              <w:right w:w="62" w:type="dxa"/>
            </w:tcMar>
          </w:tcPr>
          <w:p w:rsidR="00000000" w:rsidP="00DA0EEA">
            <w:pPr>
              <w:pStyle w:val="BodyText"/>
              <w:rPr>
                <w:lang w:val="en-NZ"/>
              </w:rPr>
            </w:pPr>
            <w:r w:rsidRPr="00DA0EEA">
              <w:t>Reco</w:t>
            </w:r>
            <w:r w:rsidRPr="00DA0EEA">
              <w:t>mmend process conditions appropriate for the equipment, materials and product characteristics</w:t>
            </w:r>
          </w:p>
        </w:tc>
      </w:tr>
      <w:tr w:rsidTr="00DA0EE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A0EEA">
            <w:pPr>
              <w:pStyle w:val="BodyText"/>
              <w:rPr>
                <w:lang w:val="en-NZ"/>
              </w:rPr>
            </w:pPr>
            <w:r w:rsidRPr="00DA0EEA">
              <w:t>1.6</w:t>
            </w:r>
          </w:p>
        </w:tc>
        <w:tc>
          <w:tcPr>
            <w:tcW w:w="5610" w:type="dxa"/>
            <w:tcBorders>
              <w:top w:val="nil"/>
              <w:left w:val="nil"/>
              <w:bottom w:val="nil"/>
              <w:right w:val="nil"/>
            </w:tcBorders>
            <w:tcMar>
              <w:top w:w="0" w:type="dxa"/>
              <w:left w:w="62" w:type="dxa"/>
              <w:bottom w:w="0" w:type="dxa"/>
              <w:right w:w="62" w:type="dxa"/>
            </w:tcMar>
          </w:tcPr>
          <w:p w:rsidR="00000000" w:rsidP="00DA0EEA">
            <w:pPr>
              <w:pStyle w:val="BodyText"/>
              <w:rPr>
                <w:lang w:val="en-NZ"/>
              </w:rPr>
            </w:pPr>
            <w:r w:rsidRPr="00DA0EEA">
              <w:t>Recommend feed rates/order/condition appropriate to the process conditions, equipment, materials and product characteristics</w:t>
            </w:r>
          </w:p>
        </w:tc>
      </w:tr>
      <w:tr w:rsidTr="00DA0EE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A0EEA">
            <w:pPr>
              <w:pStyle w:val="BodyText"/>
              <w:rPr>
                <w:lang w:val="en-NZ"/>
              </w:rPr>
            </w:pPr>
            <w:r w:rsidRPr="00DA0EEA">
              <w:t>1.7</w:t>
            </w:r>
          </w:p>
        </w:tc>
        <w:tc>
          <w:tcPr>
            <w:tcW w:w="5610" w:type="dxa"/>
            <w:tcBorders>
              <w:top w:val="nil"/>
              <w:left w:val="nil"/>
              <w:bottom w:val="nil"/>
              <w:right w:val="nil"/>
            </w:tcBorders>
            <w:tcMar>
              <w:top w:w="0" w:type="dxa"/>
              <w:left w:w="62" w:type="dxa"/>
              <w:bottom w:w="0" w:type="dxa"/>
              <w:right w:w="62" w:type="dxa"/>
            </w:tcMar>
          </w:tcPr>
          <w:p w:rsidR="00000000" w:rsidP="00DA0EEA">
            <w:pPr>
              <w:pStyle w:val="BodyText"/>
              <w:rPr>
                <w:lang w:val="en-NZ"/>
              </w:rPr>
            </w:pPr>
            <w:r w:rsidRPr="00DA0EEA">
              <w:t>Ensure hazard identification and analysis procedures are completed, including consultation with stakeholders, and findings included in plan</w:t>
            </w:r>
          </w:p>
        </w:tc>
      </w:tr>
      <w:tr w:rsidTr="00DA0EE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A0EEA">
            <w:pPr>
              <w:pStyle w:val="BodyText"/>
              <w:rPr>
                <w:lang w:val="en-NZ"/>
              </w:rPr>
            </w:pPr>
            <w:r w:rsidRPr="00DA0EEA">
              <w:t>1.8</w:t>
            </w:r>
          </w:p>
        </w:tc>
        <w:tc>
          <w:tcPr>
            <w:tcW w:w="5610" w:type="dxa"/>
            <w:tcBorders>
              <w:top w:val="nil"/>
              <w:left w:val="nil"/>
              <w:bottom w:val="nil"/>
              <w:right w:val="nil"/>
            </w:tcBorders>
            <w:tcMar>
              <w:top w:w="0" w:type="dxa"/>
              <w:left w:w="62" w:type="dxa"/>
              <w:bottom w:w="0" w:type="dxa"/>
              <w:right w:w="62" w:type="dxa"/>
            </w:tcMar>
          </w:tcPr>
          <w:p w:rsidR="00000000" w:rsidRPr="00DA0EEA" w:rsidP="00DA0EEA">
            <w:pPr>
              <w:pStyle w:val="BodyText"/>
            </w:pPr>
            <w:r w:rsidRPr="00DA0EEA">
              <w:t>Ensure recommendations meet the identified need</w:t>
            </w:r>
          </w:p>
        </w:tc>
      </w:tr>
    </w:tbl>
    <w:p w:rsidR="00000000" w:rsidRPr="00DA0EEA" w:rsidP="00DA0EEA">
      <w:pPr>
        <w:pStyle w:val="BodyText"/>
      </w:pPr>
    </w:p>
    <w:tbl>
      <w:tblPr>
        <w:tblW w:w="0" w:type="auto"/>
        <w:tblLayout w:type="fixed"/>
        <w:tblCellMar>
          <w:left w:w="62" w:type="dxa"/>
          <w:right w:w="62" w:type="dxa"/>
        </w:tblCellMar>
        <w:tblLook w:val="0000"/>
      </w:tblPr>
      <w:tblGrid>
        <w:gridCol w:w="678"/>
        <w:gridCol w:w="1962"/>
        <w:gridCol w:w="770"/>
        <w:gridCol w:w="5610"/>
      </w:tblGrid>
      <w:tr w:rsidTr="00DA0EE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DA0EEA">
            <w:pPr>
              <w:pStyle w:val="BodyText"/>
              <w:rPr>
                <w:lang w:val="en-NZ"/>
              </w:rPr>
            </w:pPr>
            <w:r w:rsidRPr="00DA0EEA">
              <w:t>2</w:t>
            </w:r>
          </w:p>
        </w:tc>
        <w:tc>
          <w:tcPr>
            <w:tcW w:w="1962" w:type="dxa"/>
            <w:vMerge w:val="restart"/>
            <w:tcBorders>
              <w:top w:val="nil"/>
              <w:left w:val="nil"/>
              <w:bottom w:val="nil"/>
              <w:right w:val="nil"/>
            </w:tcBorders>
            <w:tcMar>
              <w:top w:w="0" w:type="dxa"/>
              <w:left w:w="62" w:type="dxa"/>
              <w:bottom w:w="0" w:type="dxa"/>
              <w:right w:w="62" w:type="dxa"/>
            </w:tcMar>
          </w:tcPr>
          <w:p w:rsidR="00000000" w:rsidP="00DA0EEA">
            <w:pPr>
              <w:pStyle w:val="BodyText"/>
              <w:rPr>
                <w:lang w:val="en-NZ"/>
              </w:rPr>
            </w:pPr>
            <w:r w:rsidRPr="00DA0EEA">
              <w:t>Prepare for trials</w:t>
            </w:r>
          </w:p>
        </w:tc>
        <w:tc>
          <w:tcPr>
            <w:tcW w:w="770" w:type="dxa"/>
            <w:tcBorders>
              <w:top w:val="nil"/>
              <w:left w:val="nil"/>
              <w:bottom w:val="nil"/>
              <w:right w:val="nil"/>
            </w:tcBorders>
            <w:tcMar>
              <w:top w:w="0" w:type="dxa"/>
              <w:left w:w="62" w:type="dxa"/>
              <w:bottom w:w="0" w:type="dxa"/>
              <w:right w:w="62" w:type="dxa"/>
            </w:tcMar>
          </w:tcPr>
          <w:p w:rsidR="00000000" w:rsidP="00DA0EEA">
            <w:pPr>
              <w:pStyle w:val="BodyText"/>
              <w:rPr>
                <w:lang w:val="en-NZ"/>
              </w:rPr>
            </w:pPr>
            <w:r w:rsidRPr="00DA0EEA">
              <w:t>2.1</w:t>
            </w:r>
          </w:p>
        </w:tc>
        <w:tc>
          <w:tcPr>
            <w:tcW w:w="5610" w:type="dxa"/>
            <w:tcBorders>
              <w:top w:val="nil"/>
              <w:left w:val="nil"/>
              <w:bottom w:val="nil"/>
              <w:right w:val="nil"/>
            </w:tcBorders>
            <w:tcMar>
              <w:top w:w="0" w:type="dxa"/>
              <w:left w:w="62" w:type="dxa"/>
              <w:bottom w:w="0" w:type="dxa"/>
              <w:right w:w="62" w:type="dxa"/>
            </w:tcMar>
          </w:tcPr>
          <w:p w:rsidR="00000000" w:rsidP="00DA0EEA">
            <w:pPr>
              <w:pStyle w:val="BodyText"/>
              <w:rPr>
                <w:lang w:val="en-NZ"/>
              </w:rPr>
            </w:pPr>
            <w:r w:rsidRPr="00DA0EEA">
              <w:t>Determine the availability of reso</w:t>
            </w:r>
            <w:r w:rsidRPr="00DA0EEA">
              <w:t>urces required, such as materials, equipment, people and skills</w:t>
            </w:r>
          </w:p>
        </w:tc>
      </w:tr>
      <w:tr w:rsidTr="00DA0EE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A0EEA">
            <w:pPr>
              <w:pStyle w:val="BodyText"/>
              <w:rPr>
                <w:lang w:val="en-NZ"/>
              </w:rPr>
            </w:pPr>
            <w:r w:rsidRPr="00DA0EEA">
              <w:t>2.2</w:t>
            </w:r>
          </w:p>
        </w:tc>
        <w:tc>
          <w:tcPr>
            <w:tcW w:w="5610" w:type="dxa"/>
            <w:tcBorders>
              <w:top w:val="nil"/>
              <w:left w:val="nil"/>
              <w:bottom w:val="nil"/>
              <w:right w:val="nil"/>
            </w:tcBorders>
            <w:tcMar>
              <w:top w:w="0" w:type="dxa"/>
              <w:left w:w="62" w:type="dxa"/>
              <w:bottom w:w="0" w:type="dxa"/>
              <w:right w:w="62" w:type="dxa"/>
            </w:tcMar>
          </w:tcPr>
          <w:p w:rsidR="00000000" w:rsidP="00DA0EEA">
            <w:pPr>
              <w:pStyle w:val="BodyText"/>
              <w:rPr>
                <w:lang w:val="en-NZ"/>
              </w:rPr>
            </w:pPr>
            <w:r w:rsidRPr="00DA0EEA">
              <w:t>Estimate time required for trial</w:t>
            </w:r>
          </w:p>
        </w:tc>
      </w:tr>
      <w:tr w:rsidTr="00DA0EE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A0EEA">
            <w:pPr>
              <w:pStyle w:val="BodyText"/>
              <w:rPr>
                <w:lang w:val="en-NZ"/>
              </w:rPr>
            </w:pPr>
            <w:r w:rsidRPr="00DA0EEA">
              <w:t>2.3</w:t>
            </w:r>
          </w:p>
        </w:tc>
        <w:tc>
          <w:tcPr>
            <w:tcW w:w="5610" w:type="dxa"/>
            <w:tcBorders>
              <w:top w:val="nil"/>
              <w:left w:val="nil"/>
              <w:bottom w:val="nil"/>
              <w:right w:val="nil"/>
            </w:tcBorders>
            <w:tcMar>
              <w:top w:w="0" w:type="dxa"/>
              <w:left w:w="62" w:type="dxa"/>
              <w:bottom w:w="0" w:type="dxa"/>
              <w:right w:w="62" w:type="dxa"/>
            </w:tcMar>
          </w:tcPr>
          <w:p w:rsidR="00000000" w:rsidP="00DA0EEA">
            <w:pPr>
              <w:pStyle w:val="BodyText"/>
              <w:rPr>
                <w:lang w:val="en-NZ"/>
              </w:rPr>
            </w:pPr>
            <w:r w:rsidRPr="00DA0EEA">
              <w:t>Liaise with relevant stakeholders</w:t>
            </w:r>
          </w:p>
        </w:tc>
      </w:tr>
      <w:tr w:rsidTr="00DA0EE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A0EEA">
            <w:pPr>
              <w:pStyle w:val="BodyText"/>
              <w:rPr>
                <w:lang w:val="en-NZ"/>
              </w:rPr>
            </w:pPr>
            <w:r w:rsidRPr="00DA0EEA">
              <w:t>2.4</w:t>
            </w:r>
          </w:p>
        </w:tc>
        <w:tc>
          <w:tcPr>
            <w:tcW w:w="5610" w:type="dxa"/>
            <w:tcBorders>
              <w:top w:val="nil"/>
              <w:left w:val="nil"/>
              <w:bottom w:val="nil"/>
              <w:right w:val="nil"/>
            </w:tcBorders>
            <w:tcMar>
              <w:top w:w="0" w:type="dxa"/>
              <w:left w:w="62" w:type="dxa"/>
              <w:bottom w:w="0" w:type="dxa"/>
              <w:right w:w="62" w:type="dxa"/>
            </w:tcMar>
          </w:tcPr>
          <w:p w:rsidR="00000000" w:rsidP="00DA0EEA">
            <w:pPr>
              <w:pStyle w:val="BodyText"/>
              <w:rPr>
                <w:lang w:val="en-NZ"/>
              </w:rPr>
            </w:pPr>
            <w:r w:rsidRPr="00DA0EEA">
              <w:t>Schedule trial at a convenient time</w:t>
            </w:r>
          </w:p>
        </w:tc>
      </w:tr>
      <w:tr w:rsidTr="00DA0EE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A0EEA">
            <w:pPr>
              <w:pStyle w:val="BodyText"/>
              <w:rPr>
                <w:lang w:val="en-NZ"/>
              </w:rPr>
            </w:pPr>
            <w:r w:rsidRPr="00DA0EEA">
              <w:t>2.5</w:t>
            </w:r>
          </w:p>
        </w:tc>
        <w:tc>
          <w:tcPr>
            <w:tcW w:w="5610" w:type="dxa"/>
            <w:tcBorders>
              <w:top w:val="nil"/>
              <w:left w:val="nil"/>
              <w:bottom w:val="nil"/>
              <w:right w:val="nil"/>
            </w:tcBorders>
            <w:tcMar>
              <w:top w:w="0" w:type="dxa"/>
              <w:left w:w="62" w:type="dxa"/>
              <w:bottom w:w="0" w:type="dxa"/>
              <w:right w:w="62" w:type="dxa"/>
            </w:tcMar>
          </w:tcPr>
          <w:p w:rsidR="00000000" w:rsidP="00DA0EEA">
            <w:pPr>
              <w:pStyle w:val="BodyText"/>
              <w:rPr>
                <w:lang w:val="en-NZ"/>
              </w:rPr>
            </w:pPr>
            <w:r w:rsidRPr="00DA0EEA">
              <w:t>Develop documentation for the trial</w:t>
            </w:r>
          </w:p>
        </w:tc>
      </w:tr>
      <w:tr w:rsidTr="00DA0EE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A0EEA">
            <w:pPr>
              <w:pStyle w:val="BodyText"/>
              <w:rPr>
                <w:lang w:val="en-NZ"/>
              </w:rPr>
            </w:pPr>
            <w:r w:rsidRPr="00DA0EEA">
              <w:t>2.6</w:t>
            </w:r>
          </w:p>
        </w:tc>
        <w:tc>
          <w:tcPr>
            <w:tcW w:w="5610" w:type="dxa"/>
            <w:tcBorders>
              <w:top w:val="nil"/>
              <w:left w:val="nil"/>
              <w:bottom w:val="nil"/>
              <w:right w:val="nil"/>
            </w:tcBorders>
            <w:tcMar>
              <w:top w:w="0" w:type="dxa"/>
              <w:left w:w="62" w:type="dxa"/>
              <w:bottom w:w="0" w:type="dxa"/>
              <w:right w:w="62" w:type="dxa"/>
            </w:tcMar>
          </w:tcPr>
          <w:p w:rsidR="00000000" w:rsidP="00DA0EEA">
            <w:pPr>
              <w:pStyle w:val="BodyText"/>
              <w:rPr>
                <w:lang w:val="en-NZ"/>
              </w:rPr>
            </w:pPr>
            <w:r w:rsidRPr="00DA0EEA">
              <w:t>Identify potential hazards and required hazard control procedures by applying the hierarchy of control</w:t>
            </w:r>
          </w:p>
        </w:tc>
      </w:tr>
      <w:tr w:rsidTr="00DA0EE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A0EEA">
            <w:pPr>
              <w:pStyle w:val="BodyText"/>
              <w:rPr>
                <w:lang w:val="en-NZ"/>
              </w:rPr>
            </w:pPr>
            <w:r w:rsidRPr="00DA0EEA">
              <w:t>2.7</w:t>
            </w:r>
          </w:p>
        </w:tc>
        <w:tc>
          <w:tcPr>
            <w:tcW w:w="5610" w:type="dxa"/>
            <w:tcBorders>
              <w:top w:val="nil"/>
              <w:left w:val="nil"/>
              <w:bottom w:val="nil"/>
              <w:right w:val="nil"/>
            </w:tcBorders>
            <w:tcMar>
              <w:top w:w="0" w:type="dxa"/>
              <w:left w:w="62" w:type="dxa"/>
              <w:bottom w:w="0" w:type="dxa"/>
              <w:right w:w="62" w:type="dxa"/>
            </w:tcMar>
          </w:tcPr>
          <w:p w:rsidR="00000000" w:rsidP="00DA0EEA">
            <w:pPr>
              <w:pStyle w:val="BodyText"/>
              <w:rPr>
                <w:lang w:val="en-NZ"/>
              </w:rPr>
            </w:pPr>
            <w:r w:rsidRPr="00DA0EEA">
              <w:t>Determine permit and other authorisation requirements and special safety and storage requirements</w:t>
            </w:r>
          </w:p>
        </w:tc>
      </w:tr>
      <w:tr w:rsidTr="00DA0EE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A0EEA">
            <w:pPr>
              <w:pStyle w:val="BodyText"/>
              <w:rPr>
                <w:lang w:val="en-NZ"/>
              </w:rPr>
            </w:pPr>
            <w:r w:rsidRPr="00DA0EEA">
              <w:t>2.8</w:t>
            </w:r>
          </w:p>
        </w:tc>
        <w:tc>
          <w:tcPr>
            <w:tcW w:w="5610" w:type="dxa"/>
            <w:tcBorders>
              <w:top w:val="nil"/>
              <w:left w:val="nil"/>
              <w:bottom w:val="nil"/>
              <w:right w:val="nil"/>
            </w:tcBorders>
            <w:tcMar>
              <w:top w:w="0" w:type="dxa"/>
              <w:left w:w="62" w:type="dxa"/>
              <w:bottom w:w="0" w:type="dxa"/>
              <w:right w:w="62" w:type="dxa"/>
            </w:tcMar>
          </w:tcPr>
          <w:p w:rsidR="00000000" w:rsidP="00DA0EEA">
            <w:pPr>
              <w:pStyle w:val="BodyText"/>
              <w:rPr>
                <w:lang w:val="en-NZ"/>
              </w:rPr>
            </w:pPr>
            <w:r w:rsidRPr="00DA0EEA">
              <w:t>Verify decisions with appropriate experts</w:t>
            </w:r>
            <w:r w:rsidRPr="00DA0EEA">
              <w:t>/stakeholders</w:t>
            </w:r>
          </w:p>
        </w:tc>
      </w:tr>
      <w:tr w:rsidTr="00DA0EE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A0EEA">
            <w:pPr>
              <w:pStyle w:val="BodyText"/>
              <w:rPr>
                <w:lang w:val="en-NZ"/>
              </w:rPr>
            </w:pPr>
            <w:r w:rsidRPr="00DA0EEA">
              <w:t>2.9</w:t>
            </w:r>
          </w:p>
        </w:tc>
        <w:tc>
          <w:tcPr>
            <w:tcW w:w="5610" w:type="dxa"/>
            <w:tcBorders>
              <w:top w:val="nil"/>
              <w:left w:val="nil"/>
              <w:bottom w:val="nil"/>
              <w:right w:val="nil"/>
            </w:tcBorders>
            <w:tcMar>
              <w:top w:w="0" w:type="dxa"/>
              <w:left w:w="62" w:type="dxa"/>
              <w:bottom w:w="0" w:type="dxa"/>
              <w:right w:w="62" w:type="dxa"/>
            </w:tcMar>
          </w:tcPr>
          <w:p w:rsidR="00000000" w:rsidRPr="00DA0EEA" w:rsidP="00DA0EEA">
            <w:pPr>
              <w:pStyle w:val="BodyText"/>
            </w:pPr>
            <w:r w:rsidRPr="00DA0EEA">
              <w:t>Ensure people with adequate skills are available for the trial</w:t>
            </w:r>
          </w:p>
        </w:tc>
      </w:tr>
    </w:tbl>
    <w:p w:rsidR="00000000" w:rsidRPr="00DA0EEA" w:rsidP="00DA0EEA">
      <w:pPr>
        <w:pStyle w:val="BodyText"/>
      </w:pPr>
    </w:p>
    <w:tbl>
      <w:tblPr>
        <w:tblW w:w="0" w:type="auto"/>
        <w:tblLayout w:type="fixed"/>
        <w:tblCellMar>
          <w:left w:w="62" w:type="dxa"/>
          <w:right w:w="62" w:type="dxa"/>
        </w:tblCellMar>
        <w:tblLook w:val="0000"/>
      </w:tblPr>
      <w:tblGrid>
        <w:gridCol w:w="678"/>
        <w:gridCol w:w="1962"/>
        <w:gridCol w:w="770"/>
        <w:gridCol w:w="5610"/>
      </w:tblGrid>
      <w:tr w:rsidTr="00DA0EE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DA0EEA">
            <w:pPr>
              <w:pStyle w:val="BodyText"/>
              <w:rPr>
                <w:lang w:val="en-NZ"/>
              </w:rPr>
            </w:pPr>
            <w:r w:rsidRPr="00DA0EEA">
              <w:t>3</w:t>
            </w:r>
          </w:p>
        </w:tc>
        <w:tc>
          <w:tcPr>
            <w:tcW w:w="1962" w:type="dxa"/>
            <w:vMerge w:val="restart"/>
            <w:tcBorders>
              <w:top w:val="nil"/>
              <w:left w:val="nil"/>
              <w:bottom w:val="nil"/>
              <w:right w:val="nil"/>
            </w:tcBorders>
            <w:tcMar>
              <w:top w:w="0" w:type="dxa"/>
              <w:left w:w="62" w:type="dxa"/>
              <w:bottom w:w="0" w:type="dxa"/>
              <w:right w:w="62" w:type="dxa"/>
            </w:tcMar>
          </w:tcPr>
          <w:p w:rsidR="00000000" w:rsidP="00DA0EEA">
            <w:pPr>
              <w:pStyle w:val="BodyText"/>
              <w:rPr>
                <w:lang w:val="en-NZ"/>
              </w:rPr>
            </w:pPr>
            <w:r w:rsidRPr="00DA0EEA">
              <w:t>Conduct trials</w:t>
            </w:r>
          </w:p>
        </w:tc>
        <w:tc>
          <w:tcPr>
            <w:tcW w:w="770" w:type="dxa"/>
            <w:tcBorders>
              <w:top w:val="nil"/>
              <w:left w:val="nil"/>
              <w:bottom w:val="nil"/>
              <w:right w:val="nil"/>
            </w:tcBorders>
            <w:tcMar>
              <w:top w:w="0" w:type="dxa"/>
              <w:left w:w="62" w:type="dxa"/>
              <w:bottom w:w="0" w:type="dxa"/>
              <w:right w:w="62" w:type="dxa"/>
            </w:tcMar>
          </w:tcPr>
          <w:p w:rsidR="00000000" w:rsidP="00DA0EEA">
            <w:pPr>
              <w:pStyle w:val="BodyText"/>
              <w:rPr>
                <w:lang w:val="en-NZ"/>
              </w:rPr>
            </w:pPr>
            <w:r w:rsidRPr="00DA0EEA">
              <w:t>3.1</w:t>
            </w:r>
          </w:p>
        </w:tc>
        <w:tc>
          <w:tcPr>
            <w:tcW w:w="5610" w:type="dxa"/>
            <w:tcBorders>
              <w:top w:val="nil"/>
              <w:left w:val="nil"/>
              <w:bottom w:val="nil"/>
              <w:right w:val="nil"/>
            </w:tcBorders>
            <w:tcMar>
              <w:top w:w="0" w:type="dxa"/>
              <w:left w:w="62" w:type="dxa"/>
              <w:bottom w:w="0" w:type="dxa"/>
              <w:right w:w="62" w:type="dxa"/>
            </w:tcMar>
          </w:tcPr>
          <w:p w:rsidR="00000000" w:rsidP="00DA0EEA">
            <w:pPr>
              <w:pStyle w:val="BodyText"/>
              <w:rPr>
                <w:lang w:val="en-NZ"/>
              </w:rPr>
            </w:pPr>
            <w:r w:rsidRPr="00DA0EEA">
              <w:t>Ensure hazard controls are implemented prior to commencement</w:t>
            </w:r>
          </w:p>
        </w:tc>
      </w:tr>
      <w:tr w:rsidTr="00DA0EE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A0EEA">
            <w:pPr>
              <w:pStyle w:val="BodyText"/>
              <w:rPr>
                <w:lang w:val="en-NZ"/>
              </w:rPr>
            </w:pPr>
            <w:r w:rsidRPr="00DA0EEA">
              <w:t>3.2</w:t>
            </w:r>
          </w:p>
        </w:tc>
        <w:tc>
          <w:tcPr>
            <w:tcW w:w="5610" w:type="dxa"/>
            <w:tcBorders>
              <w:top w:val="nil"/>
              <w:left w:val="nil"/>
              <w:bottom w:val="nil"/>
              <w:right w:val="nil"/>
            </w:tcBorders>
            <w:tcMar>
              <w:top w:w="0" w:type="dxa"/>
              <w:left w:w="62" w:type="dxa"/>
              <w:bottom w:w="0" w:type="dxa"/>
              <w:right w:w="62" w:type="dxa"/>
            </w:tcMar>
          </w:tcPr>
          <w:p w:rsidR="00000000" w:rsidP="00DA0EEA">
            <w:pPr>
              <w:pStyle w:val="BodyText"/>
              <w:rPr>
                <w:lang w:val="en-NZ"/>
              </w:rPr>
            </w:pPr>
            <w:r w:rsidRPr="00DA0EEA">
              <w:t>Run trials</w:t>
            </w:r>
          </w:p>
        </w:tc>
      </w:tr>
      <w:tr w:rsidTr="00DA0EE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A0EEA">
            <w:pPr>
              <w:pStyle w:val="BodyText"/>
              <w:rPr>
                <w:lang w:val="en-NZ"/>
              </w:rPr>
            </w:pPr>
            <w:r w:rsidRPr="00DA0EEA">
              <w:t>3.3</w:t>
            </w:r>
          </w:p>
        </w:tc>
        <w:tc>
          <w:tcPr>
            <w:tcW w:w="5610" w:type="dxa"/>
            <w:tcBorders>
              <w:top w:val="nil"/>
              <w:left w:val="nil"/>
              <w:bottom w:val="nil"/>
              <w:right w:val="nil"/>
            </w:tcBorders>
            <w:tcMar>
              <w:top w:w="0" w:type="dxa"/>
              <w:left w:w="62" w:type="dxa"/>
              <w:bottom w:w="0" w:type="dxa"/>
              <w:right w:w="62" w:type="dxa"/>
            </w:tcMar>
          </w:tcPr>
          <w:p w:rsidR="00000000" w:rsidP="00DA0EEA">
            <w:pPr>
              <w:pStyle w:val="BodyText"/>
              <w:rPr>
                <w:lang w:val="en-NZ"/>
              </w:rPr>
            </w:pPr>
            <w:r w:rsidRPr="00DA0EEA">
              <w:t>Maintain communication with all relevant personnel</w:t>
            </w:r>
          </w:p>
        </w:tc>
      </w:tr>
      <w:tr w:rsidTr="00DA0EE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A0EEA">
            <w:pPr>
              <w:pStyle w:val="BodyText"/>
              <w:rPr>
                <w:lang w:val="en-NZ"/>
              </w:rPr>
            </w:pPr>
            <w:r w:rsidRPr="00DA0EEA">
              <w:t>3.4</w:t>
            </w:r>
          </w:p>
        </w:tc>
        <w:tc>
          <w:tcPr>
            <w:tcW w:w="5610" w:type="dxa"/>
            <w:tcBorders>
              <w:top w:val="nil"/>
              <w:left w:val="nil"/>
              <w:bottom w:val="nil"/>
              <w:right w:val="nil"/>
            </w:tcBorders>
            <w:tcMar>
              <w:top w:w="0" w:type="dxa"/>
              <w:left w:w="62" w:type="dxa"/>
              <w:bottom w:w="0" w:type="dxa"/>
              <w:right w:w="62" w:type="dxa"/>
            </w:tcMar>
          </w:tcPr>
          <w:p w:rsidR="00000000" w:rsidP="00DA0EEA">
            <w:pPr>
              <w:pStyle w:val="BodyText"/>
              <w:rPr>
                <w:lang w:val="en-NZ"/>
              </w:rPr>
            </w:pPr>
            <w:r w:rsidRPr="00DA0EEA">
              <w:t>Closely monitor critical parameters</w:t>
            </w:r>
          </w:p>
        </w:tc>
      </w:tr>
      <w:tr w:rsidTr="00DA0EE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A0EEA">
            <w:pPr>
              <w:pStyle w:val="BodyText"/>
              <w:rPr>
                <w:lang w:val="en-NZ"/>
              </w:rPr>
            </w:pPr>
            <w:r w:rsidRPr="00DA0EEA">
              <w:t>3.5</w:t>
            </w:r>
          </w:p>
        </w:tc>
        <w:tc>
          <w:tcPr>
            <w:tcW w:w="5610" w:type="dxa"/>
            <w:tcBorders>
              <w:top w:val="nil"/>
              <w:left w:val="nil"/>
              <w:bottom w:val="nil"/>
              <w:right w:val="nil"/>
            </w:tcBorders>
            <w:tcMar>
              <w:top w:w="0" w:type="dxa"/>
              <w:left w:w="62" w:type="dxa"/>
              <w:bottom w:w="0" w:type="dxa"/>
              <w:right w:w="62" w:type="dxa"/>
            </w:tcMar>
          </w:tcPr>
          <w:p w:rsidR="00000000" w:rsidP="00DA0EEA">
            <w:pPr>
              <w:pStyle w:val="BodyText"/>
              <w:rPr>
                <w:lang w:val="en-NZ"/>
              </w:rPr>
            </w:pPr>
            <w:r w:rsidRPr="00DA0EEA">
              <w:t>Recognise actual and potential problems</w:t>
            </w:r>
          </w:p>
        </w:tc>
      </w:tr>
      <w:tr w:rsidTr="00DA0EE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A0EEA">
            <w:pPr>
              <w:pStyle w:val="BodyText"/>
              <w:rPr>
                <w:lang w:val="en-NZ"/>
              </w:rPr>
            </w:pPr>
            <w:r w:rsidRPr="00DA0EEA">
              <w:t>3.6</w:t>
            </w:r>
          </w:p>
        </w:tc>
        <w:tc>
          <w:tcPr>
            <w:tcW w:w="5610" w:type="dxa"/>
            <w:tcBorders>
              <w:top w:val="nil"/>
              <w:left w:val="nil"/>
              <w:bottom w:val="nil"/>
              <w:right w:val="nil"/>
            </w:tcBorders>
            <w:tcMar>
              <w:top w:w="0" w:type="dxa"/>
              <w:left w:w="62" w:type="dxa"/>
              <w:bottom w:w="0" w:type="dxa"/>
              <w:right w:w="62" w:type="dxa"/>
            </w:tcMar>
          </w:tcPr>
          <w:p w:rsidR="00000000" w:rsidP="00DA0EEA">
            <w:pPr>
              <w:pStyle w:val="BodyText"/>
              <w:rPr>
                <w:lang w:val="en-NZ"/>
              </w:rPr>
            </w:pPr>
            <w:r w:rsidRPr="00DA0EEA">
              <w:t>Make adjustments to process conditions as required during trial</w:t>
            </w:r>
          </w:p>
        </w:tc>
      </w:tr>
      <w:tr w:rsidTr="00DA0EE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A0EEA">
            <w:pPr>
              <w:pStyle w:val="BodyText"/>
              <w:rPr>
                <w:lang w:val="en-NZ"/>
              </w:rPr>
            </w:pPr>
            <w:r w:rsidRPr="00DA0EEA">
              <w:t>3.7</w:t>
            </w:r>
          </w:p>
        </w:tc>
        <w:tc>
          <w:tcPr>
            <w:tcW w:w="5610" w:type="dxa"/>
            <w:tcBorders>
              <w:top w:val="nil"/>
              <w:left w:val="nil"/>
              <w:bottom w:val="nil"/>
              <w:right w:val="nil"/>
            </w:tcBorders>
            <w:tcMar>
              <w:top w:w="0" w:type="dxa"/>
              <w:left w:w="62" w:type="dxa"/>
              <w:bottom w:w="0" w:type="dxa"/>
              <w:right w:w="62" w:type="dxa"/>
            </w:tcMar>
          </w:tcPr>
          <w:p w:rsidR="00000000" w:rsidP="00DA0EEA">
            <w:pPr>
              <w:pStyle w:val="BodyText"/>
              <w:rPr>
                <w:lang w:val="en-NZ"/>
              </w:rPr>
            </w:pPr>
            <w:r w:rsidRPr="00DA0EEA">
              <w:t>Sample and test product as required</w:t>
            </w:r>
          </w:p>
        </w:tc>
      </w:tr>
      <w:tr w:rsidTr="00DA0EE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A0EEA">
            <w:pPr>
              <w:pStyle w:val="BodyText"/>
              <w:rPr>
                <w:lang w:val="en-NZ"/>
              </w:rPr>
            </w:pPr>
            <w:r w:rsidRPr="00DA0EEA">
              <w:t>3.8</w:t>
            </w:r>
          </w:p>
        </w:tc>
        <w:tc>
          <w:tcPr>
            <w:tcW w:w="5610" w:type="dxa"/>
            <w:tcBorders>
              <w:top w:val="nil"/>
              <w:left w:val="nil"/>
              <w:bottom w:val="nil"/>
              <w:right w:val="nil"/>
            </w:tcBorders>
            <w:tcMar>
              <w:top w:w="0" w:type="dxa"/>
              <w:left w:w="62" w:type="dxa"/>
              <w:bottom w:w="0" w:type="dxa"/>
              <w:right w:w="62" w:type="dxa"/>
            </w:tcMar>
          </w:tcPr>
          <w:p w:rsidR="00000000" w:rsidP="00DA0EEA">
            <w:pPr>
              <w:pStyle w:val="BodyText"/>
              <w:rPr>
                <w:lang w:val="en-NZ"/>
              </w:rPr>
            </w:pPr>
            <w:r w:rsidRPr="00DA0EEA">
              <w:t>Record and report performance data</w:t>
            </w:r>
          </w:p>
        </w:tc>
      </w:tr>
      <w:tr w:rsidTr="00DA0EE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A0EEA">
            <w:pPr>
              <w:pStyle w:val="BodyText"/>
              <w:rPr>
                <w:lang w:val="en-NZ"/>
              </w:rPr>
            </w:pPr>
            <w:r w:rsidRPr="00DA0EEA">
              <w:t>3.9</w:t>
            </w:r>
          </w:p>
        </w:tc>
        <w:tc>
          <w:tcPr>
            <w:tcW w:w="5610" w:type="dxa"/>
            <w:tcBorders>
              <w:top w:val="nil"/>
              <w:left w:val="nil"/>
              <w:bottom w:val="nil"/>
              <w:right w:val="nil"/>
            </w:tcBorders>
            <w:tcMar>
              <w:top w:w="0" w:type="dxa"/>
              <w:left w:w="62" w:type="dxa"/>
              <w:bottom w:w="0" w:type="dxa"/>
              <w:right w:w="62" w:type="dxa"/>
            </w:tcMar>
          </w:tcPr>
          <w:p w:rsidR="00000000" w:rsidP="00DA0EEA">
            <w:pPr>
              <w:pStyle w:val="BodyText"/>
              <w:rPr>
                <w:lang w:val="en-NZ"/>
              </w:rPr>
            </w:pPr>
            <w:r w:rsidRPr="00DA0EEA">
              <w:t>Ensure all materials, products and waste are handled correctly</w:t>
            </w:r>
          </w:p>
        </w:tc>
      </w:tr>
      <w:tr w:rsidTr="00DA0EE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A0EEA">
            <w:pPr>
              <w:pStyle w:val="BodyText"/>
              <w:rPr>
                <w:lang w:val="en-NZ"/>
              </w:rPr>
            </w:pPr>
            <w:r w:rsidRPr="00DA0EEA">
              <w:t>3.10</w:t>
            </w:r>
          </w:p>
        </w:tc>
        <w:tc>
          <w:tcPr>
            <w:tcW w:w="5610" w:type="dxa"/>
            <w:tcBorders>
              <w:top w:val="nil"/>
              <w:left w:val="nil"/>
              <w:bottom w:val="nil"/>
              <w:right w:val="nil"/>
            </w:tcBorders>
            <w:tcMar>
              <w:top w:w="0" w:type="dxa"/>
              <w:left w:w="62" w:type="dxa"/>
              <w:bottom w:w="0" w:type="dxa"/>
              <w:right w:w="62" w:type="dxa"/>
            </w:tcMar>
          </w:tcPr>
          <w:p w:rsidR="00000000" w:rsidRPr="00DA0EEA" w:rsidP="00DA0EEA">
            <w:pPr>
              <w:pStyle w:val="BodyText"/>
            </w:pPr>
            <w:r w:rsidRPr="00DA0EEA">
              <w:t>Leave plant in a condition suitable for routine production to recommence</w:t>
            </w:r>
          </w:p>
        </w:tc>
      </w:tr>
    </w:tbl>
    <w:p w:rsidR="00000000" w:rsidRPr="00DA0EEA" w:rsidP="00DA0EEA">
      <w:pPr>
        <w:pStyle w:val="BodyText"/>
      </w:pPr>
    </w:p>
    <w:tbl>
      <w:tblPr>
        <w:tblW w:w="0" w:type="auto"/>
        <w:tblLayout w:type="fixed"/>
        <w:tblCellMar>
          <w:left w:w="62" w:type="dxa"/>
          <w:right w:w="62" w:type="dxa"/>
        </w:tblCellMar>
        <w:tblLook w:val="0000"/>
      </w:tblPr>
      <w:tblGrid>
        <w:gridCol w:w="678"/>
        <w:gridCol w:w="1962"/>
        <w:gridCol w:w="770"/>
        <w:gridCol w:w="5610"/>
      </w:tblGrid>
      <w:tr w:rsidTr="00DA0EE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DA0EEA">
            <w:pPr>
              <w:pStyle w:val="BodyText"/>
              <w:rPr>
                <w:lang w:val="en-NZ"/>
              </w:rPr>
            </w:pPr>
            <w:r w:rsidRPr="00DA0EEA">
              <w:t>4</w:t>
            </w:r>
          </w:p>
        </w:tc>
        <w:tc>
          <w:tcPr>
            <w:tcW w:w="1962" w:type="dxa"/>
            <w:vMerge w:val="restart"/>
            <w:tcBorders>
              <w:top w:val="nil"/>
              <w:left w:val="nil"/>
              <w:bottom w:val="nil"/>
              <w:right w:val="nil"/>
            </w:tcBorders>
            <w:tcMar>
              <w:top w:w="0" w:type="dxa"/>
              <w:left w:w="62" w:type="dxa"/>
              <w:bottom w:w="0" w:type="dxa"/>
              <w:right w:w="62" w:type="dxa"/>
            </w:tcMar>
          </w:tcPr>
          <w:p w:rsidR="00000000" w:rsidP="00DA0EEA">
            <w:pPr>
              <w:pStyle w:val="BodyText"/>
              <w:rPr>
                <w:lang w:val="en-NZ"/>
              </w:rPr>
            </w:pPr>
            <w:r w:rsidRPr="00DA0EEA">
              <w:t>Evaluate results and identify modifications</w:t>
            </w:r>
          </w:p>
        </w:tc>
        <w:tc>
          <w:tcPr>
            <w:tcW w:w="770" w:type="dxa"/>
            <w:tcBorders>
              <w:top w:val="nil"/>
              <w:left w:val="nil"/>
              <w:bottom w:val="nil"/>
              <w:right w:val="nil"/>
            </w:tcBorders>
            <w:tcMar>
              <w:top w:w="0" w:type="dxa"/>
              <w:left w:w="62" w:type="dxa"/>
              <w:bottom w:w="0" w:type="dxa"/>
              <w:right w:w="62" w:type="dxa"/>
            </w:tcMar>
          </w:tcPr>
          <w:p w:rsidR="00000000" w:rsidP="00DA0EEA">
            <w:pPr>
              <w:pStyle w:val="BodyText"/>
              <w:rPr>
                <w:lang w:val="en-NZ"/>
              </w:rPr>
            </w:pPr>
            <w:r w:rsidRPr="00DA0EEA">
              <w:t>4.1</w:t>
            </w:r>
          </w:p>
        </w:tc>
        <w:tc>
          <w:tcPr>
            <w:tcW w:w="5610" w:type="dxa"/>
            <w:tcBorders>
              <w:top w:val="nil"/>
              <w:left w:val="nil"/>
              <w:bottom w:val="nil"/>
              <w:right w:val="nil"/>
            </w:tcBorders>
            <w:tcMar>
              <w:top w:w="0" w:type="dxa"/>
              <w:left w:w="62" w:type="dxa"/>
              <w:bottom w:w="0" w:type="dxa"/>
              <w:right w:w="62" w:type="dxa"/>
            </w:tcMar>
          </w:tcPr>
          <w:p w:rsidR="00000000" w:rsidP="00DA0EEA">
            <w:pPr>
              <w:pStyle w:val="BodyText"/>
              <w:rPr>
                <w:lang w:val="en-NZ"/>
              </w:rPr>
            </w:pPr>
            <w:r w:rsidRPr="00DA0EEA">
              <w:t>Interpret data from trial</w:t>
            </w:r>
          </w:p>
        </w:tc>
      </w:tr>
      <w:tr w:rsidTr="00DA0EE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A0EEA">
            <w:pPr>
              <w:pStyle w:val="BodyText"/>
              <w:rPr>
                <w:lang w:val="en-NZ"/>
              </w:rPr>
            </w:pPr>
            <w:r w:rsidRPr="00DA0EEA">
              <w:t>4.2</w:t>
            </w:r>
          </w:p>
        </w:tc>
        <w:tc>
          <w:tcPr>
            <w:tcW w:w="5610" w:type="dxa"/>
            <w:tcBorders>
              <w:top w:val="nil"/>
              <w:left w:val="nil"/>
              <w:bottom w:val="nil"/>
              <w:right w:val="nil"/>
            </w:tcBorders>
            <w:tcMar>
              <w:top w:w="0" w:type="dxa"/>
              <w:left w:w="62" w:type="dxa"/>
              <w:bottom w:w="0" w:type="dxa"/>
              <w:right w:w="62" w:type="dxa"/>
            </w:tcMar>
          </w:tcPr>
          <w:p w:rsidR="00000000" w:rsidP="00DA0EEA">
            <w:pPr>
              <w:pStyle w:val="BodyText"/>
              <w:rPr>
                <w:lang w:val="en-NZ"/>
              </w:rPr>
            </w:pPr>
            <w:r w:rsidRPr="00DA0EEA">
              <w:t>Identify factors which might be related to low rates or low charge amounts</w:t>
            </w:r>
          </w:p>
        </w:tc>
      </w:tr>
      <w:tr w:rsidTr="00DA0EE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A0EEA">
            <w:pPr>
              <w:pStyle w:val="BodyText"/>
              <w:rPr>
                <w:lang w:val="en-NZ"/>
              </w:rPr>
            </w:pPr>
            <w:r w:rsidRPr="00DA0EEA">
              <w:t>4.3</w:t>
            </w:r>
          </w:p>
        </w:tc>
        <w:tc>
          <w:tcPr>
            <w:tcW w:w="5610" w:type="dxa"/>
            <w:tcBorders>
              <w:top w:val="nil"/>
              <w:left w:val="nil"/>
              <w:bottom w:val="nil"/>
              <w:right w:val="nil"/>
            </w:tcBorders>
            <w:tcMar>
              <w:top w:w="0" w:type="dxa"/>
              <w:left w:w="62" w:type="dxa"/>
              <w:bottom w:w="0" w:type="dxa"/>
              <w:right w:w="62" w:type="dxa"/>
            </w:tcMar>
          </w:tcPr>
          <w:p w:rsidR="00000000" w:rsidP="00DA0EEA">
            <w:pPr>
              <w:pStyle w:val="BodyText"/>
              <w:rPr>
                <w:lang w:val="en-NZ"/>
              </w:rPr>
            </w:pPr>
            <w:r w:rsidRPr="00DA0EEA">
              <w:t>Recommend modifications and improvements required</w:t>
            </w:r>
          </w:p>
        </w:tc>
      </w:tr>
      <w:tr w:rsidTr="00DA0EE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A0EEA">
            <w:pPr>
              <w:pStyle w:val="BodyText"/>
              <w:rPr>
                <w:lang w:val="en-NZ"/>
              </w:rPr>
            </w:pPr>
            <w:r w:rsidRPr="00DA0EEA">
              <w:t>4.4</w:t>
            </w:r>
          </w:p>
        </w:tc>
        <w:tc>
          <w:tcPr>
            <w:tcW w:w="5610" w:type="dxa"/>
            <w:tcBorders>
              <w:top w:val="nil"/>
              <w:left w:val="nil"/>
              <w:bottom w:val="nil"/>
              <w:right w:val="nil"/>
            </w:tcBorders>
            <w:tcMar>
              <w:top w:w="0" w:type="dxa"/>
              <w:left w:w="62" w:type="dxa"/>
              <w:bottom w:w="0" w:type="dxa"/>
              <w:right w:w="62" w:type="dxa"/>
            </w:tcMar>
          </w:tcPr>
          <w:p w:rsidR="00000000" w:rsidP="00DA0EEA">
            <w:pPr>
              <w:pStyle w:val="BodyText"/>
              <w:rPr>
                <w:lang w:val="en-NZ"/>
              </w:rPr>
            </w:pPr>
            <w:r w:rsidRPr="00DA0EEA">
              <w:t>Develop and check standard operating procedures (SOPs)</w:t>
            </w:r>
          </w:p>
        </w:tc>
      </w:tr>
      <w:tr w:rsidTr="00DA0EE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A0EEA">
            <w:pPr>
              <w:pStyle w:val="BodyText"/>
              <w:rPr>
                <w:lang w:val="en-NZ"/>
              </w:rPr>
            </w:pPr>
            <w:r w:rsidRPr="00DA0EEA">
              <w:t>4.5</w:t>
            </w:r>
          </w:p>
        </w:tc>
        <w:tc>
          <w:tcPr>
            <w:tcW w:w="5610" w:type="dxa"/>
            <w:tcBorders>
              <w:top w:val="nil"/>
              <w:left w:val="nil"/>
              <w:bottom w:val="nil"/>
              <w:right w:val="nil"/>
            </w:tcBorders>
            <w:tcMar>
              <w:top w:w="0" w:type="dxa"/>
              <w:left w:w="62" w:type="dxa"/>
              <w:bottom w:w="0" w:type="dxa"/>
              <w:right w:w="62" w:type="dxa"/>
            </w:tcMar>
          </w:tcPr>
          <w:p w:rsidR="00000000" w:rsidP="00DA0EEA">
            <w:pPr>
              <w:pStyle w:val="BodyText"/>
              <w:rPr>
                <w:lang w:val="en-NZ"/>
              </w:rPr>
            </w:pPr>
            <w:r w:rsidRPr="00DA0EEA">
              <w:t>Complete documentation and report to appropriate personnel</w:t>
            </w:r>
          </w:p>
        </w:tc>
      </w:tr>
      <w:tr w:rsidTr="00DA0EE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A0EEA">
            <w:pPr>
              <w:pStyle w:val="BodyText"/>
              <w:rPr>
                <w:lang w:val="en-NZ"/>
              </w:rPr>
            </w:pPr>
            <w:r w:rsidRPr="00DA0EEA">
              <w:t>4.6</w:t>
            </w:r>
          </w:p>
        </w:tc>
        <w:tc>
          <w:tcPr>
            <w:tcW w:w="5610" w:type="dxa"/>
            <w:tcBorders>
              <w:top w:val="nil"/>
              <w:left w:val="nil"/>
              <w:bottom w:val="nil"/>
              <w:right w:val="nil"/>
            </w:tcBorders>
            <w:tcMar>
              <w:top w:w="0" w:type="dxa"/>
              <w:left w:w="62" w:type="dxa"/>
              <w:bottom w:w="0" w:type="dxa"/>
              <w:right w:w="62" w:type="dxa"/>
            </w:tcMar>
          </w:tcPr>
          <w:p w:rsidR="00000000" w:rsidRPr="00DA0EEA" w:rsidP="00DA0EEA">
            <w:pPr>
              <w:pStyle w:val="BodyText"/>
            </w:pPr>
            <w:r w:rsidRPr="00DA0EEA">
              <w:t>Ensure all relevant staff have required skill levels for the introduction of the new process</w:t>
            </w:r>
          </w:p>
        </w:tc>
      </w:tr>
    </w:tbl>
    <w:p w:rsidR="00000000" w:rsidRPr="00DA0EEA" w:rsidP="00DA0EEA">
      <w:pPr>
        <w:pStyle w:val="BodyText"/>
      </w:pPr>
    </w:p>
    <w:p w:rsidR="00000000" w:rsidRPr="00DA0EEA" w:rsidP="00DA0EEA">
      <w:pPr>
        <w:pStyle w:val="AllowPageBreak"/>
      </w:pPr>
    </w:p>
    <w:p w:rsidR="00000000" w:rsidRPr="00DA0EEA" w:rsidP="00DA0EEA">
      <w:pPr>
        <w:pStyle w:val="Heading1"/>
      </w:pPr>
      <w:bookmarkStart w:id="7" w:name="O_870928"/>
      <w:bookmarkEnd w:id="7"/>
      <w:r w:rsidRPr="00DA0EEA">
        <w:t>Foundation Skills</w:t>
      </w:r>
    </w:p>
    <w:p w:rsidR="00000000" w:rsidRPr="00DA0EEA" w:rsidP="006953A1">
      <w:pPr>
        <w:pStyle w:val="BodyText"/>
      </w:pPr>
      <w:r w:rsidRPr="00DA0EEA">
        <w:t>This section describes those language, literacy, numeracy an</w:t>
      </w:r>
      <w:r w:rsidRPr="00DA0EEA">
        <w:t>d employment skills that are essential to performance.</w:t>
      </w:r>
    </w:p>
    <w:p w:rsidR="00000000" w:rsidRPr="00DA0EEA" w:rsidP="006953A1">
      <w:pPr>
        <w:pStyle w:val="BodyText"/>
      </w:pPr>
      <w:r w:rsidRPr="00DA0EEA">
        <w:t>Foundation skills essential to performance are explicit in the performance criteria of this unit of competency.</w:t>
      </w:r>
    </w:p>
    <w:p w:rsidR="00000000" w:rsidRPr="00DA0EEA" w:rsidP="00DA0EEA">
      <w:pPr>
        <w:pStyle w:val="Heading1"/>
      </w:pPr>
      <w:bookmarkStart w:id="8" w:name="O_870927"/>
      <w:bookmarkEnd w:id="8"/>
      <w:r w:rsidRPr="00DA0EEA">
        <w:t>Range of Conditions</w:t>
      </w:r>
    </w:p>
    <w:tbl>
      <w:tblPr>
        <w:tblW w:w="0" w:type="auto"/>
        <w:tblCellMar>
          <w:left w:w="62" w:type="dxa"/>
          <w:right w:w="62" w:type="dxa"/>
        </w:tblCellMar>
        <w:tblLook w:val="0000"/>
      </w:tblPr>
      <w:tblGrid>
        <w:gridCol w:w="2163"/>
        <w:gridCol w:w="7033"/>
      </w:tblGrid>
      <w:tr w:rsidTr="006953A1">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DA0EEA">
            <w:pPr>
              <w:pStyle w:val="BodyText"/>
              <w:rPr>
                <w:lang w:val="en-NZ"/>
              </w:rPr>
            </w:pPr>
            <w:r w:rsidRPr="00DA0EEA">
              <w:t>This field allows for different work environments a</w:t>
            </w:r>
            <w:r w:rsidRPr="00DA0EEA">
              <w:t>nd conditions that may affect performance. Essential operating conditions that may be present (depending on the work situation, needs of the candidate, accessibility of the item, and local industry and regional contexts) are included.</w:t>
            </w:r>
          </w:p>
        </w:tc>
      </w:tr>
      <w:tr w:rsidTr="006953A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A0EEA">
            <w:pPr>
              <w:pStyle w:val="BodyText"/>
              <w:rPr>
                <w:lang w:val="en-NZ"/>
              </w:rPr>
            </w:pPr>
            <w:r w:rsidRPr="00DA0EEA">
              <w:rPr>
                <w:rStyle w:val="SpecialBold"/>
              </w:rPr>
              <w:t>Regulatory framework</w:t>
            </w:r>
          </w:p>
        </w:tc>
        <w:tc>
          <w:tcPr>
            <w:tcW w:w="0" w:type="auto"/>
            <w:tcBorders>
              <w:top w:val="nil"/>
              <w:left w:val="nil"/>
              <w:bottom w:val="nil"/>
              <w:right w:val="nil"/>
            </w:tcBorders>
            <w:tcMar>
              <w:top w:w="0" w:type="dxa"/>
              <w:left w:w="62" w:type="dxa"/>
              <w:bottom w:w="0" w:type="dxa"/>
              <w:right w:w="62" w:type="dxa"/>
            </w:tcMar>
          </w:tcPr>
          <w:p w:rsidR="00000000" w:rsidRPr="00DA0EEA" w:rsidP="00DA0EEA">
            <w:pPr>
              <w:pStyle w:val="BodyText"/>
            </w:pPr>
            <w:r w:rsidRPr="00DA0EEA">
              <w:t>The latest version of all legislation, regulations, industry codes of practice and Australian/international standards, or the version specified by the local regulatory authority, must be used, and include one or more of the following:</w:t>
            </w:r>
          </w:p>
          <w:p w:rsidR="00000000" w:rsidRPr="00DA0EEA" w:rsidP="00DA0EEA">
            <w:pPr>
              <w:pStyle w:val="ListBullet"/>
            </w:pPr>
            <w:r w:rsidRPr="00DA0EEA">
              <w:rPr>
                <w:rStyle w:val="Symbols"/>
              </w:rPr>
              <w:t></w:t>
            </w:r>
            <w:r w:rsidRPr="00DA0EEA">
              <w:rPr>
                <w:rStyle w:val="Symbols"/>
              </w:rPr>
              <w:tab/>
            </w:r>
            <w:r w:rsidRPr="00DA0EEA">
              <w:t>legislative requirements, including work health and safety (WHS)</w:t>
            </w:r>
          </w:p>
          <w:p w:rsidR="00000000" w:rsidRPr="00DA0EEA" w:rsidP="00DA0EEA">
            <w:pPr>
              <w:pStyle w:val="ListBullet"/>
            </w:pPr>
            <w:r w:rsidRPr="00DA0EEA">
              <w:t>industry codes of practice and guidelines</w:t>
            </w:r>
          </w:p>
          <w:p w:rsidR="00000000" w:rsidRPr="00DA0EEA" w:rsidP="00DA0EEA">
            <w:pPr>
              <w:pStyle w:val="ListBullet"/>
            </w:pPr>
            <w:r w:rsidRPr="00DA0EEA">
              <w:t xml:space="preserve">environmental regulations and guidelines </w:t>
            </w:r>
          </w:p>
          <w:p w:rsidR="00000000" w:rsidRPr="00DA0EEA" w:rsidP="00DA0EEA">
            <w:pPr>
              <w:pStyle w:val="ListBullet"/>
            </w:pPr>
            <w:r w:rsidRPr="00DA0EEA">
              <w:t>Australian and other standards</w:t>
            </w:r>
          </w:p>
          <w:p w:rsidR="00000000" w:rsidRPr="00DA0EEA" w:rsidP="00DA0EEA">
            <w:pPr>
              <w:pStyle w:val="ListBullet"/>
            </w:pPr>
            <w:r w:rsidRPr="00DA0EEA">
              <w:t>licence and certification requirements</w:t>
            </w:r>
          </w:p>
          <w:p w:rsidR="00000000" w:rsidRPr="00DA0EEA" w:rsidP="00DA0EEA">
            <w:pPr>
              <w:pStyle w:val="BodyText"/>
            </w:pPr>
          </w:p>
          <w:p w:rsidR="00000000" w:rsidRPr="00DA0EEA" w:rsidP="00DA0EEA">
            <w:pPr>
              <w:pStyle w:val="BodyText"/>
            </w:pPr>
            <w:r w:rsidRPr="00DA0EEA">
              <w:t>All operations to which this unit</w:t>
            </w:r>
            <w:r w:rsidRPr="00DA0EEA">
              <w:t xml:space="preserve"> applies are subject to stringent health, safety and environment (HSE) requirements, which may be imposed through state/territory or federal legislation, and these must not be compromised at any time. Where there is an apparent conflict between performance</w:t>
            </w:r>
            <w:r w:rsidRPr="00DA0EEA">
              <w:t xml:space="preserve"> criteria and HSE requirements, the HSE requirements take precedence.</w:t>
            </w:r>
          </w:p>
          <w:p w:rsidR="00000000" w:rsidP="00DA0EEA">
            <w:pPr>
              <w:pStyle w:val="BodyText"/>
              <w:rPr>
                <w:lang w:val="en-NZ"/>
              </w:rPr>
            </w:pPr>
          </w:p>
        </w:tc>
      </w:tr>
      <w:tr w:rsidTr="006953A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A0EEA">
            <w:pPr>
              <w:pStyle w:val="BodyText"/>
              <w:rPr>
                <w:lang w:val="en-NZ"/>
              </w:rPr>
            </w:pPr>
            <w:r w:rsidRPr="00DA0EEA">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DA0EEA" w:rsidP="00DA0EEA">
            <w:pPr>
              <w:pStyle w:val="BodyText"/>
            </w:pPr>
            <w:r w:rsidRPr="00DA0EEA">
              <w:t>All operations must be performed in accordance with relevant procedures.</w:t>
            </w:r>
          </w:p>
          <w:p w:rsidR="00000000" w:rsidRPr="00DA0EEA" w:rsidP="00DA0EEA">
            <w:pPr>
              <w:pStyle w:val="BodyText"/>
            </w:pPr>
          </w:p>
          <w:p w:rsidR="00000000" w:rsidRPr="00DA0EEA" w:rsidP="00DA0EEA">
            <w:pPr>
              <w:pStyle w:val="BodyText"/>
            </w:pPr>
            <w:r w:rsidRPr="00DA0EEA">
              <w:t>Procedures are written, verbal, visual, computer-based or in some other form, and include on</w:t>
            </w:r>
            <w:r w:rsidRPr="00DA0EEA">
              <w:t>e or more of the following:</w:t>
            </w:r>
          </w:p>
          <w:p w:rsidR="00000000" w:rsidRPr="00DA0EEA" w:rsidP="00DA0EEA">
            <w:pPr>
              <w:pStyle w:val="ListBullet"/>
            </w:pPr>
            <w:r w:rsidRPr="00DA0EEA">
              <w:t>emergency procedures</w:t>
            </w:r>
          </w:p>
          <w:p w:rsidR="00000000" w:rsidRPr="00DA0EEA" w:rsidP="00DA0EEA">
            <w:pPr>
              <w:pStyle w:val="ListBullet"/>
            </w:pPr>
            <w:r w:rsidRPr="00DA0EEA">
              <w:t>work instructions</w:t>
            </w:r>
          </w:p>
          <w:p w:rsidR="00000000" w:rsidRPr="00DA0EEA" w:rsidP="00DA0EEA">
            <w:pPr>
              <w:pStyle w:val="ListBullet"/>
            </w:pPr>
            <w:r w:rsidRPr="00DA0EEA">
              <w:t>SOPs</w:t>
            </w:r>
          </w:p>
          <w:p w:rsidR="00000000" w:rsidRPr="00DA0EEA" w:rsidP="00DA0EEA">
            <w:pPr>
              <w:pStyle w:val="ListBullet"/>
            </w:pPr>
            <w:r w:rsidRPr="00DA0EEA">
              <w:t>safe work method statements (SWMS)</w:t>
            </w:r>
          </w:p>
          <w:p w:rsidR="00000000" w:rsidRPr="00DA0EEA" w:rsidP="00DA0EEA">
            <w:pPr>
              <w:pStyle w:val="ListBullet"/>
            </w:pPr>
            <w:r w:rsidRPr="00DA0EEA">
              <w:t>formulas/recipes</w:t>
            </w:r>
          </w:p>
          <w:p w:rsidR="00000000" w:rsidRPr="00DA0EEA" w:rsidP="00DA0EEA">
            <w:pPr>
              <w:pStyle w:val="ListBullet"/>
            </w:pPr>
            <w:r w:rsidRPr="00DA0EEA">
              <w:t>batch sheets</w:t>
            </w:r>
          </w:p>
          <w:p w:rsidR="00000000" w:rsidRPr="00DA0EEA" w:rsidP="00DA0EEA">
            <w:pPr>
              <w:pStyle w:val="ListBullet"/>
            </w:pPr>
            <w:r w:rsidRPr="00DA0EEA">
              <w:t>temporary instructions</w:t>
            </w:r>
          </w:p>
          <w:p w:rsidR="00000000" w:rsidRPr="00DA0EEA" w:rsidP="00DA0EEA">
            <w:pPr>
              <w:pStyle w:val="ListBullet"/>
            </w:pPr>
            <w:r w:rsidRPr="00DA0EEA">
              <w:t>any similar instructions provided for the smooth running of the plant</w:t>
            </w:r>
          </w:p>
          <w:p w:rsidR="00000000" w:rsidP="00DA0EEA">
            <w:pPr>
              <w:pStyle w:val="BodyText"/>
              <w:rPr>
                <w:lang w:val="en-NZ"/>
              </w:rPr>
            </w:pPr>
          </w:p>
        </w:tc>
      </w:tr>
      <w:tr w:rsidTr="006953A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A0EEA">
            <w:pPr>
              <w:pStyle w:val="BodyText"/>
              <w:rPr>
                <w:lang w:val="en-NZ"/>
              </w:rPr>
            </w:pPr>
            <w:r w:rsidRPr="00DA0EEA">
              <w:rPr>
                <w:rStyle w:val="SpecialBold"/>
              </w:rPr>
              <w:t>Technical experts</w:t>
            </w:r>
          </w:p>
        </w:tc>
        <w:tc>
          <w:tcPr>
            <w:tcW w:w="0" w:type="auto"/>
            <w:tcBorders>
              <w:top w:val="nil"/>
              <w:left w:val="nil"/>
              <w:bottom w:val="nil"/>
              <w:right w:val="nil"/>
            </w:tcBorders>
            <w:tcMar>
              <w:top w:w="0" w:type="dxa"/>
              <w:left w:w="62" w:type="dxa"/>
              <w:bottom w:w="0" w:type="dxa"/>
              <w:right w:w="62" w:type="dxa"/>
            </w:tcMar>
          </w:tcPr>
          <w:p w:rsidR="00000000" w:rsidRPr="00DA0EEA" w:rsidP="00DA0EEA">
            <w:pPr>
              <w:pStyle w:val="BodyText"/>
            </w:pPr>
            <w:r w:rsidRPr="00DA0EEA">
              <w:t>Techn</w:t>
            </w:r>
            <w:r w:rsidRPr="00DA0EEA">
              <w:t>ical experts include one or more of the following:</w:t>
            </w:r>
          </w:p>
          <w:p w:rsidR="00000000" w:rsidRPr="00DA0EEA" w:rsidP="00DA0EEA">
            <w:pPr>
              <w:pStyle w:val="ListBullet"/>
            </w:pPr>
            <w:r w:rsidRPr="00DA0EEA">
              <w:t xml:space="preserve">manufacturers </w:t>
            </w:r>
          </w:p>
          <w:p w:rsidR="00000000" w:rsidRPr="00DA0EEA" w:rsidP="00DA0EEA">
            <w:pPr>
              <w:pStyle w:val="ListBullet"/>
            </w:pPr>
            <w:r w:rsidRPr="00DA0EEA">
              <w:t xml:space="preserve">chemists </w:t>
            </w:r>
          </w:p>
          <w:p w:rsidR="00000000" w:rsidRPr="00DA0EEA" w:rsidP="00DA0EEA">
            <w:pPr>
              <w:pStyle w:val="ListBullet"/>
            </w:pPr>
            <w:r w:rsidRPr="00DA0EEA">
              <w:t xml:space="preserve">engineering personnel </w:t>
            </w:r>
          </w:p>
          <w:p w:rsidR="00000000" w:rsidRPr="00DA0EEA" w:rsidP="00DA0EEA">
            <w:pPr>
              <w:pStyle w:val="ListBullet"/>
            </w:pPr>
            <w:r w:rsidRPr="00DA0EEA">
              <w:t>designers</w:t>
            </w:r>
          </w:p>
          <w:p w:rsidR="00000000" w:rsidRPr="00DA0EEA" w:rsidP="00DA0EEA">
            <w:pPr>
              <w:pStyle w:val="ListBullet"/>
            </w:pPr>
            <w:r w:rsidRPr="00DA0EEA">
              <w:t>WHS advisors</w:t>
            </w:r>
          </w:p>
          <w:p w:rsidR="00000000" w:rsidRPr="00DA0EEA" w:rsidP="00DA0EEA">
            <w:pPr>
              <w:pStyle w:val="ListBullet"/>
            </w:pPr>
            <w:r w:rsidRPr="00DA0EEA">
              <w:t>maintenance personnel</w:t>
            </w:r>
          </w:p>
          <w:p w:rsidR="00000000" w:rsidRPr="00DA0EEA" w:rsidP="00DA0EEA">
            <w:pPr>
              <w:pStyle w:val="ListBullet"/>
            </w:pPr>
            <w:r w:rsidRPr="00DA0EEA">
              <w:t>potential customers</w:t>
            </w:r>
          </w:p>
          <w:p w:rsidR="00000000" w:rsidP="00DA0EEA">
            <w:pPr>
              <w:pStyle w:val="BodyText"/>
              <w:rPr>
                <w:lang w:val="en-NZ"/>
              </w:rPr>
            </w:pPr>
          </w:p>
        </w:tc>
      </w:tr>
      <w:tr w:rsidTr="006953A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A0EEA">
            <w:pPr>
              <w:pStyle w:val="BodyText"/>
              <w:rPr>
                <w:lang w:val="en-NZ"/>
              </w:rPr>
            </w:pPr>
            <w:r w:rsidRPr="00DA0EEA">
              <w:rPr>
                <w:rStyle w:val="SpecialBold"/>
              </w:rPr>
              <w:t>Non-routine problems</w:t>
            </w:r>
          </w:p>
        </w:tc>
        <w:tc>
          <w:tcPr>
            <w:tcW w:w="0" w:type="auto"/>
            <w:tcBorders>
              <w:top w:val="nil"/>
              <w:left w:val="nil"/>
              <w:bottom w:val="nil"/>
              <w:right w:val="nil"/>
            </w:tcBorders>
            <w:tcMar>
              <w:top w:w="0" w:type="dxa"/>
              <w:left w:w="62" w:type="dxa"/>
              <w:bottom w:w="0" w:type="dxa"/>
              <w:right w:w="62" w:type="dxa"/>
            </w:tcMar>
          </w:tcPr>
          <w:p w:rsidR="00000000" w:rsidRPr="00DA0EEA" w:rsidP="00DA0EEA">
            <w:pPr>
              <w:pStyle w:val="BodyText"/>
            </w:pPr>
            <w:r w:rsidRPr="00DA0EEA">
              <w:t>Routine problems must be resolved by applying known solutions.</w:t>
            </w:r>
          </w:p>
          <w:p w:rsidR="00000000" w:rsidRPr="00DA0EEA" w:rsidP="00DA0EEA">
            <w:pPr>
              <w:pStyle w:val="BodyText"/>
            </w:pPr>
          </w:p>
          <w:p w:rsidR="00000000" w:rsidRPr="00DA0EEA" w:rsidP="00DA0EEA">
            <w:pPr>
              <w:pStyle w:val="BodyText"/>
            </w:pPr>
            <w:r w:rsidRPr="00DA0EEA">
              <w:t>Non-routine problems must be resolved by applying operational knowledge to develop new solutions, either individually or in collaboration with relevant experts, to:</w:t>
            </w:r>
          </w:p>
          <w:p w:rsidR="00000000" w:rsidRPr="00DA0EEA" w:rsidP="00DA0EEA">
            <w:pPr>
              <w:pStyle w:val="ListBullet"/>
            </w:pPr>
            <w:r w:rsidRPr="00DA0EEA">
              <w:t>determine problems needing action</w:t>
            </w:r>
          </w:p>
          <w:p w:rsidR="00000000" w:rsidRPr="00DA0EEA" w:rsidP="00DA0EEA">
            <w:pPr>
              <w:pStyle w:val="ListBullet"/>
            </w:pPr>
            <w:r w:rsidRPr="00DA0EEA">
              <w:t>determine possible fault causes</w:t>
            </w:r>
          </w:p>
          <w:p w:rsidR="00000000" w:rsidRPr="00DA0EEA" w:rsidP="00DA0EEA">
            <w:pPr>
              <w:pStyle w:val="ListBullet"/>
            </w:pPr>
            <w:r w:rsidRPr="00DA0EEA">
              <w:t>develop solutions to pro</w:t>
            </w:r>
            <w:r w:rsidRPr="00DA0EEA">
              <w:t>blems which do not have a known solution</w:t>
            </w:r>
          </w:p>
          <w:p w:rsidR="00000000" w:rsidRPr="00DA0EEA" w:rsidP="00DA0EEA">
            <w:pPr>
              <w:pStyle w:val="ListBullet"/>
            </w:pPr>
            <w:r w:rsidRPr="00DA0EEA">
              <w:t>follow through items initiated until final resolution has occurred</w:t>
            </w:r>
          </w:p>
          <w:p w:rsidR="00000000" w:rsidRPr="00DA0EEA" w:rsidP="00DA0EEA">
            <w:pPr>
              <w:pStyle w:val="ListBullet"/>
            </w:pPr>
            <w:r w:rsidRPr="00DA0EEA">
              <w:t>report problems outside area of responsibility to designated person</w:t>
            </w:r>
          </w:p>
          <w:p w:rsidR="00000000" w:rsidRPr="00DA0EEA" w:rsidP="00DA0EEA">
            <w:pPr>
              <w:pStyle w:val="BodyText"/>
            </w:pPr>
          </w:p>
          <w:p w:rsidR="00000000" w:rsidRPr="00DA0EEA" w:rsidP="00DA0EEA">
            <w:pPr>
              <w:pStyle w:val="BodyText"/>
            </w:pPr>
            <w:r w:rsidRPr="00DA0EEA">
              <w:t>Non-routine problems are unexpected problems, or variations of previous problems and include one or more of the following:</w:t>
            </w:r>
          </w:p>
          <w:p w:rsidR="00000000" w:rsidRPr="00DA0EEA" w:rsidP="00DA0EEA">
            <w:pPr>
              <w:pStyle w:val="ListBullet"/>
            </w:pPr>
            <w:r w:rsidRPr="00DA0EEA">
              <w:t>mixing is poor</w:t>
            </w:r>
          </w:p>
          <w:p w:rsidR="00000000" w:rsidRPr="00DA0EEA" w:rsidP="00DA0EEA">
            <w:pPr>
              <w:pStyle w:val="ListBullet"/>
            </w:pPr>
            <w:r w:rsidRPr="00DA0EEA">
              <w:t>materials do not behave as expected</w:t>
            </w:r>
          </w:p>
          <w:p w:rsidR="00000000" w:rsidRPr="00DA0EEA" w:rsidP="00DA0EEA">
            <w:pPr>
              <w:pStyle w:val="ListBullet"/>
            </w:pPr>
            <w:r w:rsidRPr="00DA0EEA">
              <w:t>process/reaction does not proceed/proceeds too slowly</w:t>
            </w:r>
          </w:p>
          <w:p w:rsidR="00000000" w:rsidRPr="00DA0EEA" w:rsidP="00DA0EEA">
            <w:pPr>
              <w:pStyle w:val="ListBullet"/>
            </w:pPr>
            <w:r w:rsidRPr="00DA0EEA">
              <w:t>process/reaction proceeds t</w:t>
            </w:r>
            <w:r w:rsidRPr="00DA0EEA">
              <w:t>oo quickly/runs away</w:t>
            </w:r>
          </w:p>
          <w:p w:rsidR="00000000" w:rsidRPr="00DA0EEA" w:rsidP="00DA0EEA">
            <w:pPr>
              <w:pStyle w:val="ListBullet"/>
            </w:pPr>
            <w:r w:rsidRPr="00DA0EEA">
              <w:t>yield is low</w:t>
            </w:r>
          </w:p>
          <w:p w:rsidR="00000000" w:rsidRPr="00DA0EEA" w:rsidP="00DA0EEA">
            <w:pPr>
              <w:pStyle w:val="ListBullet"/>
            </w:pPr>
            <w:r w:rsidRPr="00DA0EEA">
              <w:t>quality is out of specification</w:t>
            </w:r>
          </w:p>
          <w:p w:rsidR="00000000" w:rsidRPr="00DA0EEA" w:rsidP="00DA0EEA">
            <w:pPr>
              <w:pStyle w:val="ListBullet"/>
            </w:pPr>
            <w:r w:rsidRPr="00DA0EEA">
              <w:t>process is unstable</w:t>
            </w:r>
          </w:p>
          <w:p w:rsidR="00000000" w:rsidRPr="00DA0EEA" w:rsidP="00DA0EEA">
            <w:pPr>
              <w:pStyle w:val="ListBullet"/>
            </w:pPr>
            <w:r w:rsidRPr="00DA0EEA">
              <w:t>instrumentation is not sufficiently sensitive/too sensitive</w:t>
            </w:r>
          </w:p>
          <w:p w:rsidR="00000000" w:rsidRPr="00DA0EEA" w:rsidP="00DA0EEA">
            <w:pPr>
              <w:pStyle w:val="ListBullet"/>
            </w:pPr>
            <w:r w:rsidRPr="00DA0EEA">
              <w:t>variable catalyst activity</w:t>
            </w:r>
          </w:p>
          <w:p w:rsidR="00000000" w:rsidRPr="00DA0EEA" w:rsidP="00DA0EEA">
            <w:pPr>
              <w:pStyle w:val="ListBullet"/>
            </w:pPr>
            <w:r w:rsidRPr="00DA0EEA">
              <w:t>surging flow/pressure</w:t>
            </w:r>
          </w:p>
          <w:p w:rsidR="00000000" w:rsidRPr="00DA0EEA" w:rsidP="00DA0EEA">
            <w:pPr>
              <w:pStyle w:val="BodyText"/>
            </w:pPr>
          </w:p>
          <w:p w:rsidR="00000000" w:rsidRPr="00DA0EEA" w:rsidP="00DA0EEA">
            <w:pPr>
              <w:pStyle w:val="BodyText"/>
            </w:pPr>
            <w:r w:rsidRPr="00DA0EEA">
              <w:t>Operational knowledge includes one or more of the following:</w:t>
            </w:r>
          </w:p>
          <w:p w:rsidR="00000000" w:rsidRPr="00DA0EEA" w:rsidP="00DA0EEA">
            <w:pPr>
              <w:pStyle w:val="ListBullet"/>
            </w:pPr>
            <w:r w:rsidRPr="00DA0EEA">
              <w:t>procedures</w:t>
            </w:r>
          </w:p>
          <w:p w:rsidR="00000000" w:rsidRPr="00DA0EEA" w:rsidP="00DA0EEA">
            <w:pPr>
              <w:pStyle w:val="ListBullet"/>
            </w:pPr>
            <w:r w:rsidRPr="00DA0EEA">
              <w:t>training</w:t>
            </w:r>
          </w:p>
          <w:p w:rsidR="00000000" w:rsidRPr="00DA0EEA" w:rsidP="00DA0EEA">
            <w:pPr>
              <w:pStyle w:val="ListBullet"/>
            </w:pPr>
            <w:r w:rsidRPr="00DA0EEA">
              <w:t>technical information, such as journals and engineering specifications</w:t>
            </w:r>
          </w:p>
          <w:p w:rsidR="00000000" w:rsidRPr="00DA0EEA" w:rsidP="00DA0EEA">
            <w:pPr>
              <w:pStyle w:val="ListBullet"/>
            </w:pPr>
            <w:r w:rsidRPr="00DA0EEA">
              <w:t>remembered experience</w:t>
            </w:r>
          </w:p>
          <w:p w:rsidR="00000000" w:rsidRPr="00DA0EEA" w:rsidP="00DA0EEA">
            <w:pPr>
              <w:pStyle w:val="ListBullet"/>
            </w:pPr>
            <w:r w:rsidRPr="00DA0EEA">
              <w:t>relevant knowledge obtained from appropriate people</w:t>
            </w:r>
          </w:p>
          <w:p w:rsidR="00000000" w:rsidP="00DA0EEA">
            <w:pPr>
              <w:pStyle w:val="BodyText"/>
              <w:rPr>
                <w:lang w:val="en-NZ"/>
              </w:rPr>
            </w:pPr>
          </w:p>
        </w:tc>
      </w:tr>
      <w:tr w:rsidTr="006953A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A0EEA">
            <w:pPr>
              <w:pStyle w:val="BodyText"/>
              <w:rPr>
                <w:lang w:val="en-NZ"/>
              </w:rPr>
            </w:pPr>
            <w:r w:rsidRPr="00DA0EEA">
              <w:rPr>
                <w:rStyle w:val="SpecialBold"/>
              </w:rPr>
              <w:t>Hazard analysis procedures</w:t>
            </w:r>
          </w:p>
        </w:tc>
        <w:tc>
          <w:tcPr>
            <w:tcW w:w="0" w:type="auto"/>
            <w:tcBorders>
              <w:top w:val="nil"/>
              <w:left w:val="nil"/>
              <w:bottom w:val="nil"/>
              <w:right w:val="nil"/>
            </w:tcBorders>
            <w:tcMar>
              <w:top w:w="0" w:type="dxa"/>
              <w:left w:w="62" w:type="dxa"/>
              <w:bottom w:w="0" w:type="dxa"/>
              <w:right w:w="62" w:type="dxa"/>
            </w:tcMar>
          </w:tcPr>
          <w:p w:rsidR="00000000" w:rsidRPr="00DA0EEA" w:rsidP="00DA0EEA">
            <w:pPr>
              <w:pStyle w:val="BodyText"/>
            </w:pPr>
            <w:r w:rsidRPr="00DA0EEA">
              <w:t>Hazard analysis procedures must be undertaken, however, it is not required that the candidate conducts the procedures. Hazard analysis procedures include one or more of the following:</w:t>
            </w:r>
          </w:p>
          <w:p w:rsidR="00000000" w:rsidRPr="00DA0EEA" w:rsidP="00DA0EEA">
            <w:pPr>
              <w:pStyle w:val="ListBullet"/>
            </w:pPr>
            <w:r w:rsidRPr="00DA0EEA">
              <w:t>job safety analysis (JSA)/job hazard analysis (JHA)</w:t>
            </w:r>
          </w:p>
          <w:p w:rsidR="00000000" w:rsidRPr="00DA0EEA" w:rsidP="00DA0EEA">
            <w:pPr>
              <w:pStyle w:val="ListBullet"/>
            </w:pPr>
            <w:r w:rsidRPr="00DA0EEA">
              <w:t>hazard and operabil</w:t>
            </w:r>
            <w:r w:rsidRPr="00DA0EEA">
              <w:t xml:space="preserve">ity (HAZOP) studies </w:t>
            </w:r>
          </w:p>
          <w:p w:rsidR="00000000" w:rsidRPr="00DA0EEA" w:rsidP="00DA0EEA">
            <w:pPr>
              <w:pStyle w:val="ListBullet"/>
            </w:pPr>
            <w:r w:rsidRPr="00DA0EEA">
              <w:t xml:space="preserve">hazard analysis (HAZAN) studies </w:t>
            </w:r>
          </w:p>
          <w:p w:rsidR="00000000" w:rsidRPr="00DA0EEA" w:rsidP="00DA0EEA">
            <w:pPr>
              <w:pStyle w:val="ListBullet"/>
            </w:pPr>
            <w:r w:rsidRPr="00DA0EEA">
              <w:t>similar company specified procedures</w:t>
            </w:r>
          </w:p>
        </w:tc>
      </w:tr>
    </w:tbl>
    <w:p w:rsidR="00000000" w:rsidRPr="00DA0EEA" w:rsidP="00DA0EEA">
      <w:pPr>
        <w:pStyle w:val="BodyText"/>
      </w:pPr>
    </w:p>
    <w:p w:rsidR="00000000" w:rsidRPr="00DA0EEA" w:rsidP="00DA0EEA">
      <w:pPr>
        <w:pStyle w:val="AllowPageBreak"/>
      </w:pPr>
    </w:p>
    <w:p w:rsidR="00000000" w:rsidRPr="00DA0EEA" w:rsidP="00DA0EEA">
      <w:pPr>
        <w:pStyle w:val="Heading1"/>
      </w:pPr>
      <w:bookmarkStart w:id="9" w:name="O_870926"/>
      <w:bookmarkEnd w:id="9"/>
      <w:r w:rsidRPr="00DA0EEA">
        <w:t>Unit Mapping Information</w:t>
      </w:r>
    </w:p>
    <w:p w:rsidR="00000000" w:rsidRPr="00DA0EEA" w:rsidP="006953A1">
      <w:pPr>
        <w:pStyle w:val="BodyText"/>
      </w:pPr>
      <w:r w:rsidRPr="00DA0EEA">
        <w:t>Release 1. Supersedes and is equivalent to MSAPMOPS401A Trial new process or product</w:t>
      </w:r>
    </w:p>
    <w:p w:rsidR="00000000" w:rsidRPr="00DA0EEA" w:rsidP="00DA0EEA">
      <w:pPr>
        <w:pStyle w:val="Heading1"/>
      </w:pPr>
      <w:bookmarkStart w:id="10" w:name="O_870919"/>
      <w:bookmarkEnd w:id="10"/>
      <w:r w:rsidRPr="00DA0EEA">
        <w:t>Links</w:t>
      </w:r>
    </w:p>
    <w:p w:rsidR="00000000" w:rsidRPr="00DA0EEA" w:rsidP="006953A1">
      <w:pPr>
        <w:pStyle w:val="BodyText"/>
      </w:pPr>
      <w:r w:rsidRPr="00DA0EEA">
        <w:t xml:space="preserve">Companion Volume implementation guides are found in VETNet - </w:t>
      </w:r>
      <w:r>
        <w:fldChar w:fldCharType="begin"/>
      </w:r>
      <w:r>
        <w:instrText xml:space="preserve"> HYPERLINK "https://vetnet.gov.au/Pages/TrainingDocs.aspx?q=d1287d36-dff4-4e9f-ad2c-9d6270054027" </w:instrText>
      </w:r>
      <w:r>
        <w:fldChar w:fldCharType="separate"/>
      </w:r>
      <w:r w:rsidRPr="00B641CE">
        <w:rPr>
          <w:rStyle w:val="Hyperlink"/>
        </w:rPr>
        <w:t>https://vetnet.gov.au/Pages/TrainingDocs.aspx?q=d1287d36-dff4-4e9f-ad2c-9d6270054027</w:t>
      </w:r>
      <w:r>
        <w:fldChar w:fldCharType="end"/>
      </w:r>
    </w:p>
    <w:p w:rsidR="00000000" w:rsidRPr="00DA0EEA" w:rsidP="00DA0EEA"/>
    <w:sectPr w:rsidSect="00DA0EE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0EE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0EEA" w:rsidRPr="006953A1" w:rsidP="006953A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0EE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53A1" w:rsidP="00DA0EE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6953A1" w:rsidP="00DA0EEA">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6953A1" w:rsidP="00DA0EE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0EE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53A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A0EEA" w:rsidRPr="006953A1" w:rsidP="006953A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0EE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53A1" w:rsidRPr="002D2AF8" w:rsidP="00DA0EEA">
    <w:pPr>
      <w:pStyle w:val="Header"/>
      <w:framePr w:wrap="around"/>
    </w:pPr>
    <w:r>
      <w:fldChar w:fldCharType="begin"/>
    </w:r>
    <w:r>
      <w:instrText xml:space="preserve"> TITLE   \* MERGEFORMAT </w:instrText>
    </w:r>
    <w:r>
      <w:fldChar w:fldCharType="separate"/>
    </w:r>
    <w:r>
      <w:t>MSMOPS401 Trial new process or product</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6953A1" w:rsidP="00DA0EE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B38776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B9E184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A0EE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A0EEA"/>
    <w:pPr>
      <w:spacing w:before="360" w:after="60"/>
      <w:outlineLvl w:val="0"/>
    </w:pPr>
    <w:rPr>
      <w:sz w:val="32"/>
    </w:rPr>
  </w:style>
  <w:style w:type="paragraph" w:styleId="Heading2">
    <w:name w:val="heading 2"/>
    <w:basedOn w:val="HeadingBase"/>
    <w:next w:val="BodyText"/>
    <w:link w:val="Heading2Char"/>
    <w:qFormat/>
    <w:rsid w:val="00DA0EEA"/>
    <w:pPr>
      <w:keepLines/>
      <w:spacing w:before="240" w:after="120"/>
      <w:outlineLvl w:val="1"/>
    </w:pPr>
    <w:rPr>
      <w:sz w:val="28"/>
      <w:szCs w:val="40"/>
    </w:rPr>
  </w:style>
  <w:style w:type="paragraph" w:styleId="Heading3">
    <w:name w:val="heading 3"/>
    <w:basedOn w:val="HeadingBase"/>
    <w:next w:val="BodyText"/>
    <w:link w:val="Heading3Char"/>
    <w:qFormat/>
    <w:rsid w:val="00DA0EEA"/>
    <w:pPr>
      <w:spacing w:before="180" w:after="120"/>
      <w:outlineLvl w:val="2"/>
    </w:pPr>
    <w:rPr>
      <w:spacing w:val="-10"/>
      <w:kern w:val="32"/>
    </w:rPr>
  </w:style>
  <w:style w:type="paragraph" w:styleId="Heading4">
    <w:name w:val="heading 4"/>
    <w:basedOn w:val="HeadingBase"/>
    <w:next w:val="BodyText"/>
    <w:link w:val="Heading4Char"/>
    <w:qFormat/>
    <w:rsid w:val="00DA0EEA"/>
    <w:pPr>
      <w:spacing w:before="160" w:after="120"/>
      <w:outlineLvl w:val="3"/>
    </w:pPr>
    <w:rPr>
      <w:sz w:val="22"/>
    </w:rPr>
  </w:style>
  <w:style w:type="paragraph" w:styleId="Heading5">
    <w:name w:val="heading 5"/>
    <w:basedOn w:val="HeadingBase"/>
    <w:next w:val="Normal"/>
    <w:link w:val="Heading5Char"/>
    <w:qFormat/>
    <w:rsid w:val="00DA0EEA"/>
    <w:pPr>
      <w:spacing w:before="80"/>
      <w:outlineLvl w:val="4"/>
    </w:pPr>
    <w:rPr>
      <w:color w:val="918585"/>
      <w:sz w:val="20"/>
    </w:rPr>
  </w:style>
  <w:style w:type="paragraph" w:styleId="Heading6">
    <w:name w:val="heading 6"/>
    <w:basedOn w:val="HeadingBase"/>
    <w:next w:val="Normal"/>
    <w:link w:val="Heading6Char"/>
    <w:qFormat/>
    <w:rsid w:val="00DA0EEA"/>
    <w:pPr>
      <w:spacing w:before="60"/>
      <w:outlineLvl w:val="5"/>
    </w:pPr>
    <w:rPr>
      <w:color w:val="918585"/>
      <w:sz w:val="20"/>
    </w:rPr>
  </w:style>
  <w:style w:type="paragraph" w:styleId="Heading7">
    <w:name w:val="heading 7"/>
    <w:basedOn w:val="Normal"/>
    <w:next w:val="Normal"/>
    <w:link w:val="Heading7Char"/>
    <w:qFormat/>
    <w:rsid w:val="00DA0EEA"/>
    <w:pPr>
      <w:ind w:left="720"/>
      <w:outlineLvl w:val="6"/>
    </w:pPr>
    <w:rPr>
      <w:i/>
    </w:rPr>
  </w:style>
  <w:style w:type="paragraph" w:styleId="Heading8">
    <w:name w:val="heading 8"/>
    <w:basedOn w:val="Normal"/>
    <w:next w:val="Normal"/>
    <w:link w:val="Heading8Char"/>
    <w:qFormat/>
    <w:rsid w:val="00DA0EEA"/>
    <w:pPr>
      <w:ind w:left="720"/>
      <w:outlineLvl w:val="7"/>
    </w:pPr>
    <w:rPr>
      <w:i/>
    </w:rPr>
  </w:style>
  <w:style w:type="paragraph" w:styleId="Heading9">
    <w:name w:val="heading 9"/>
    <w:basedOn w:val="Normal"/>
    <w:next w:val="Normal"/>
    <w:link w:val="Heading9Char"/>
    <w:qFormat/>
    <w:rsid w:val="00DA0EEA"/>
    <w:pPr>
      <w:ind w:left="720"/>
      <w:outlineLvl w:val="8"/>
    </w:pPr>
    <w:rPr>
      <w:i/>
    </w:rPr>
  </w:style>
  <w:style w:type="character" w:default="1" w:styleId="DefaultParagraphFont">
    <w:name w:val="Default Paragraph Font"/>
    <w:uiPriority w:val="1"/>
    <w:unhideWhenUsed/>
    <w:rsid w:val="00DA0EE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A0EEA"/>
  </w:style>
  <w:style w:type="character" w:customStyle="1" w:styleId="Heading1Char">
    <w:name w:val="Heading 1 Char"/>
    <w:basedOn w:val="DefaultParagraphFont"/>
    <w:link w:val="Heading1"/>
    <w:rsid w:val="00DA0EEA"/>
    <w:rPr>
      <w:rFonts w:ascii="Times New Roman" w:eastAsia="Times New Roman" w:hAnsi="Times New Roman" w:cs="Times New Roman"/>
      <w:b/>
      <w:sz w:val="32"/>
      <w:szCs w:val="20"/>
      <w:lang w:eastAsia="en-US"/>
    </w:rPr>
  </w:style>
  <w:style w:type="paragraph" w:styleId="BodyText">
    <w:name w:val="Body Text"/>
    <w:basedOn w:val="Normal"/>
    <w:link w:val="BodyTextChar"/>
    <w:rsid w:val="00DA0EE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A0EEA"/>
    <w:rPr>
      <w:rFonts w:ascii="Times New Roman" w:eastAsia="Times New Roman" w:hAnsi="Times New Roman" w:cs="Times New Roman"/>
      <w:sz w:val="24"/>
      <w:lang w:eastAsia="en-US"/>
    </w:rPr>
  </w:style>
  <w:style w:type="paragraph" w:styleId="ListBullet">
    <w:name w:val="List Bullet"/>
    <w:basedOn w:val="List"/>
    <w:rsid w:val="00DA0EEA"/>
    <w:pPr>
      <w:numPr>
        <w:numId w:val="11"/>
      </w:numPr>
      <w:tabs>
        <w:tab w:val="clear" w:pos="340"/>
      </w:tabs>
      <w:spacing w:before="40" w:after="40"/>
    </w:pPr>
  </w:style>
  <w:style w:type="character" w:customStyle="1" w:styleId="SpecialBold">
    <w:name w:val="Special Bold"/>
    <w:basedOn w:val="DefaultParagraphFont"/>
    <w:rsid w:val="00DA0EEA"/>
    <w:rPr>
      <w:b/>
      <w:spacing w:val="0"/>
    </w:rPr>
  </w:style>
  <w:style w:type="paragraph" w:customStyle="1" w:styleId="SuperHeading">
    <w:name w:val="SuperHeading"/>
    <w:basedOn w:val="Normal"/>
    <w:rsid w:val="00DA0EEA"/>
    <w:pPr>
      <w:spacing w:before="240" w:after="120"/>
      <w:outlineLvl w:val="0"/>
    </w:pPr>
    <w:rPr>
      <w:rFonts w:ascii="Times New Roman" w:hAnsi="Times New Roman"/>
      <w:b/>
      <w:sz w:val="32"/>
    </w:rPr>
  </w:style>
  <w:style w:type="paragraph" w:customStyle="1" w:styleId="AllowPageBreak">
    <w:name w:val="AllowPageBreak"/>
    <w:rsid w:val="00DA0EE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Symbols">
    <w:name w:val="Symbols"/>
    <w:basedOn w:val="DefaultParagraphFont"/>
    <w:rsid w:val="00DA0EEA"/>
    <w:rPr>
      <w:rFonts w:ascii="Symbol" w:hAnsi="Symbol"/>
    </w:rPr>
  </w:style>
  <w:style w:type="character" w:customStyle="1" w:styleId="Heading2Char">
    <w:name w:val="Heading 2 Char"/>
    <w:basedOn w:val="DefaultParagraphFont"/>
    <w:link w:val="Heading2"/>
    <w:rsid w:val="00DA0EE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A0EE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A0EE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A0EE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A0EE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A0EE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A0EE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A0EEA"/>
    <w:rPr>
      <w:rFonts w:ascii="Courier New" w:eastAsia="Times New Roman" w:hAnsi="Courier New" w:cs="Times New Roman"/>
      <w:i/>
      <w:szCs w:val="20"/>
      <w:lang w:eastAsia="en-US"/>
    </w:rPr>
  </w:style>
  <w:style w:type="paragraph" w:customStyle="1" w:styleId="HeadingBase">
    <w:name w:val="Heading Base"/>
    <w:rsid w:val="00DA0EE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A0EEA"/>
    <w:pPr>
      <w:tabs>
        <w:tab w:val="right" w:leader="dot" w:pos="9072"/>
      </w:tabs>
      <w:ind w:left="567"/>
    </w:pPr>
    <w:rPr>
      <w:szCs w:val="22"/>
    </w:rPr>
  </w:style>
  <w:style w:type="paragraph" w:customStyle="1" w:styleId="TOCBase">
    <w:name w:val="TOC Base"/>
    <w:rsid w:val="00DA0EE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A0EEA"/>
    <w:pPr>
      <w:tabs>
        <w:tab w:val="right" w:leader="dot" w:pos="9072"/>
      </w:tabs>
      <w:spacing w:before="40" w:after="40"/>
      <w:ind w:left="284"/>
    </w:pPr>
    <w:rPr>
      <w:rFonts w:ascii="Times New Roman" w:hAnsi="Times New Roman"/>
    </w:rPr>
  </w:style>
  <w:style w:type="paragraph" w:styleId="TOC1">
    <w:name w:val="toc 1"/>
    <w:basedOn w:val="TOCBase"/>
    <w:next w:val="Normal"/>
    <w:rsid w:val="00DA0EE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A0EE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A0EEA"/>
    <w:rPr>
      <w:rFonts w:ascii="Times New Roman" w:eastAsia="Times New Roman" w:hAnsi="Times New Roman" w:cs="Times New Roman"/>
      <w:sz w:val="16"/>
      <w:lang w:eastAsia="en-US"/>
    </w:rPr>
  </w:style>
  <w:style w:type="paragraph" w:styleId="Title">
    <w:name w:val="Title"/>
    <w:basedOn w:val="HeadingBase"/>
    <w:link w:val="TitleChar"/>
    <w:qFormat/>
    <w:rsid w:val="00DA0EEA"/>
    <w:pPr>
      <w:spacing w:before="5040"/>
      <w:jc w:val="center"/>
    </w:pPr>
    <w:rPr>
      <w:sz w:val="48"/>
      <w:szCs w:val="72"/>
      <w:lang w:val="en-US"/>
    </w:rPr>
  </w:style>
  <w:style w:type="character" w:customStyle="1" w:styleId="TitleChar">
    <w:name w:val="Title Char"/>
    <w:basedOn w:val="DefaultParagraphFont"/>
    <w:link w:val="Title"/>
    <w:rsid w:val="00DA0EE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A0EEA"/>
    <w:pPr>
      <w:tabs>
        <w:tab w:val="left" w:pos="3600"/>
        <w:tab w:val="left" w:pos="3958"/>
      </w:tabs>
    </w:pPr>
  </w:style>
  <w:style w:type="paragraph" w:styleId="List">
    <w:name w:val="List"/>
    <w:basedOn w:val="BodyText"/>
    <w:next w:val="BodyText"/>
    <w:rsid w:val="00DA0EEA"/>
    <w:pPr>
      <w:tabs>
        <w:tab w:val="left" w:pos="340"/>
      </w:tabs>
      <w:spacing w:before="60" w:after="60"/>
      <w:ind w:left="340" w:hanging="340"/>
    </w:pPr>
  </w:style>
  <w:style w:type="paragraph" w:customStyle="1" w:styleId="Note">
    <w:name w:val="Note"/>
    <w:basedOn w:val="BodyText"/>
    <w:rsid w:val="00DA0EE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A0EEA"/>
    <w:pPr>
      <w:framePr w:wrap="auto" w:hAnchor="text" w:y="6049"/>
    </w:pPr>
    <w:rPr>
      <w:color w:val="000000"/>
      <w:sz w:val="40"/>
    </w:rPr>
  </w:style>
  <w:style w:type="paragraph" w:customStyle="1" w:styleId="TOCTitle">
    <w:name w:val="TOCTitle"/>
    <w:basedOn w:val="Heading1"/>
    <w:rsid w:val="00DA0EEA"/>
    <w:pPr>
      <w:spacing w:after="240"/>
      <w:jc w:val="center"/>
      <w:outlineLvl w:val="9"/>
    </w:pPr>
    <w:rPr>
      <w:caps/>
    </w:rPr>
  </w:style>
  <w:style w:type="paragraph" w:customStyle="1" w:styleId="Version">
    <w:name w:val="Version"/>
    <w:rsid w:val="00DA0EE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A0EEA"/>
    <w:pPr>
      <w:numPr>
        <w:numId w:val="12"/>
      </w:numPr>
      <w:tabs>
        <w:tab w:val="clear" w:pos="680"/>
      </w:tabs>
    </w:pPr>
  </w:style>
  <w:style w:type="paragraph" w:styleId="Index1">
    <w:name w:val="index 1"/>
    <w:basedOn w:val="Normal"/>
    <w:next w:val="Normal"/>
    <w:semiHidden/>
    <w:rsid w:val="00DA0EEA"/>
    <w:pPr>
      <w:keepNext w:val="0"/>
      <w:tabs>
        <w:tab w:val="right" w:pos="4176"/>
      </w:tabs>
      <w:ind w:left="198" w:hanging="198"/>
    </w:pPr>
    <w:rPr>
      <w:rFonts w:ascii="Garamond" w:hAnsi="Garamond"/>
    </w:rPr>
  </w:style>
  <w:style w:type="paragraph" w:styleId="IndexHeading">
    <w:name w:val="index heading"/>
    <w:basedOn w:val="Normal"/>
    <w:next w:val="Index1"/>
    <w:semiHidden/>
    <w:rsid w:val="00DA0EEA"/>
    <w:pPr>
      <w:spacing w:before="120" w:after="120"/>
    </w:pPr>
    <w:rPr>
      <w:rFonts w:ascii="Arial" w:hAnsi="Arial"/>
      <w:b/>
      <w:color w:val="918585"/>
      <w:sz w:val="24"/>
    </w:rPr>
  </w:style>
  <w:style w:type="paragraph" w:styleId="Header">
    <w:name w:val="header"/>
    <w:basedOn w:val="Normal"/>
    <w:link w:val="HeaderChar"/>
    <w:rsid w:val="00DA0EE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A0EEA"/>
    <w:rPr>
      <w:rFonts w:ascii="Times New Roman" w:eastAsia="Times New Roman" w:hAnsi="Times New Roman" w:cs="Times New Roman"/>
      <w:sz w:val="16"/>
      <w:szCs w:val="20"/>
      <w:lang w:val="en-GB" w:eastAsia="en-US"/>
    </w:rPr>
  </w:style>
  <w:style w:type="paragraph" w:customStyle="1" w:styleId="Chapter">
    <w:name w:val="Chapter"/>
    <w:basedOn w:val="Normal"/>
    <w:rsid w:val="00DA0EEA"/>
    <w:pPr>
      <w:spacing w:before="240"/>
    </w:pPr>
    <w:rPr>
      <w:rFonts w:ascii="Times New Roman" w:hAnsi="Times New Roman"/>
      <w:smallCaps/>
      <w:spacing w:val="80"/>
      <w:sz w:val="28"/>
    </w:rPr>
  </w:style>
  <w:style w:type="paragraph" w:customStyle="1" w:styleId="InChapter">
    <w:name w:val="InChapter"/>
    <w:basedOn w:val="Heading3"/>
    <w:rsid w:val="00DA0EEA"/>
    <w:pPr>
      <w:spacing w:after="240"/>
      <w:outlineLvl w:val="9"/>
    </w:pPr>
    <w:rPr>
      <w:noProof/>
    </w:rPr>
  </w:style>
  <w:style w:type="paragraph" w:styleId="Index2">
    <w:name w:val="index 2"/>
    <w:basedOn w:val="Normal"/>
    <w:next w:val="Normal"/>
    <w:semiHidden/>
    <w:rsid w:val="00DA0EEA"/>
    <w:pPr>
      <w:tabs>
        <w:tab w:val="right" w:pos="4176"/>
      </w:tabs>
      <w:ind w:left="568" w:hanging="284"/>
    </w:pPr>
    <w:rPr>
      <w:rFonts w:ascii="Garamond" w:hAnsi="Garamond"/>
    </w:rPr>
  </w:style>
  <w:style w:type="paragraph" w:customStyle="1" w:styleId="Byline">
    <w:name w:val="Byline"/>
    <w:rsid w:val="00DA0EE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A0EEA"/>
    <w:pPr>
      <w:tabs>
        <w:tab w:val="clear" w:pos="3600"/>
        <w:tab w:val="clear" w:pos="3958"/>
      </w:tabs>
      <w:jc w:val="right"/>
    </w:pPr>
  </w:style>
  <w:style w:type="character" w:styleId="Emphasis">
    <w:name w:val="Emphasis"/>
    <w:basedOn w:val="DefaultParagraphFont"/>
    <w:qFormat/>
    <w:rsid w:val="00DA0EEA"/>
    <w:rPr>
      <w:i/>
    </w:rPr>
  </w:style>
  <w:style w:type="paragraph" w:styleId="Caption">
    <w:name w:val="caption"/>
    <w:basedOn w:val="BodyText"/>
    <w:next w:val="Normal"/>
    <w:qFormat/>
    <w:rsid w:val="00DA0EEA"/>
    <w:pPr>
      <w:framePr w:w="2268" w:hSpace="181" w:vSpace="181" w:wrap="around" w:vAnchor="text" w:hAnchor="page" w:x="1135" w:y="285" w:anchorLock="1"/>
    </w:pPr>
    <w:rPr>
      <w:i/>
    </w:rPr>
  </w:style>
  <w:style w:type="paragraph" w:customStyle="1" w:styleId="MiniTOCTitle">
    <w:name w:val="MiniTOCTitle"/>
    <w:basedOn w:val="Heading4"/>
    <w:rsid w:val="00DA0EEA"/>
    <w:pPr>
      <w:spacing w:before="240"/>
      <w:outlineLvl w:val="9"/>
    </w:pPr>
    <w:rPr>
      <w:noProof/>
      <w:sz w:val="24"/>
    </w:rPr>
  </w:style>
  <w:style w:type="paragraph" w:customStyle="1" w:styleId="MiniTOCItem">
    <w:name w:val="MiniTOCItem"/>
    <w:basedOn w:val="ListBullet"/>
    <w:rsid w:val="00DA0EEA"/>
    <w:pPr>
      <w:numPr>
        <w:numId w:val="0"/>
      </w:numPr>
      <w:tabs>
        <w:tab w:val="right" w:leader="dot" w:pos="6521"/>
      </w:tabs>
      <w:spacing w:before="0" w:after="0"/>
    </w:pPr>
  </w:style>
  <w:style w:type="paragraph" w:customStyle="1" w:styleId="TOFTitle">
    <w:name w:val="TOFTitle"/>
    <w:basedOn w:val="TOCTitle"/>
    <w:rsid w:val="00DA0EEA"/>
  </w:style>
  <w:style w:type="paragraph" w:styleId="TableofFigures">
    <w:name w:val="table of figures"/>
    <w:basedOn w:val="Normal"/>
    <w:next w:val="Normal"/>
    <w:semiHidden/>
    <w:rsid w:val="00DA0EEA"/>
    <w:pPr>
      <w:tabs>
        <w:tab w:val="right" w:leader="dot" w:pos="9072"/>
      </w:tabs>
      <w:ind w:left="970" w:hanging="403"/>
    </w:pPr>
    <w:rPr>
      <w:rFonts w:ascii="Times New Roman" w:hAnsi="Times New Roman"/>
      <w:b/>
    </w:rPr>
  </w:style>
  <w:style w:type="paragraph" w:styleId="ListNumber">
    <w:name w:val="List Number"/>
    <w:basedOn w:val="List"/>
    <w:rsid w:val="00DA0EEA"/>
    <w:pPr>
      <w:numPr>
        <w:numId w:val="14"/>
      </w:numPr>
      <w:tabs>
        <w:tab w:val="clear" w:pos="340"/>
      </w:tabs>
    </w:pPr>
  </w:style>
  <w:style w:type="character" w:customStyle="1" w:styleId="WingdingSymbols">
    <w:name w:val="Wingding Symbols"/>
    <w:rsid w:val="00DA0EEA"/>
    <w:rPr>
      <w:rFonts w:ascii="Wingdings" w:hAnsi="Wingdings"/>
    </w:rPr>
  </w:style>
  <w:style w:type="paragraph" w:customStyle="1" w:styleId="TableHeading">
    <w:name w:val="Table Heading"/>
    <w:basedOn w:val="HeadingBase"/>
    <w:rsid w:val="00DA0EEA"/>
    <w:pPr>
      <w:keepLines/>
      <w:pBdr>
        <w:bottom w:val="single" w:sz="6" w:space="1" w:color="918585"/>
      </w:pBdr>
      <w:spacing w:before="240"/>
    </w:pPr>
  </w:style>
  <w:style w:type="character" w:customStyle="1" w:styleId="HotSpot">
    <w:name w:val="HotSpot"/>
    <w:rsid w:val="00DA0EEA"/>
    <w:rPr>
      <w:color w:val="0033CC"/>
      <w:u w:val="none"/>
    </w:rPr>
  </w:style>
  <w:style w:type="paragraph" w:customStyle="1" w:styleId="BodyTextRight">
    <w:name w:val="Body Text Right"/>
    <w:basedOn w:val="BodyText"/>
    <w:rsid w:val="00DA0EEA"/>
    <w:pPr>
      <w:spacing w:before="0" w:after="0"/>
      <w:jc w:val="right"/>
    </w:pPr>
  </w:style>
  <w:style w:type="paragraph" w:styleId="Index3">
    <w:name w:val="index 3"/>
    <w:basedOn w:val="ListNumber2"/>
    <w:next w:val="Normal"/>
    <w:semiHidden/>
    <w:rsid w:val="00DA0EEA"/>
    <w:pPr>
      <w:numPr>
        <w:numId w:val="0"/>
      </w:numPr>
      <w:tabs>
        <w:tab w:val="right" w:leader="dot" w:pos="4176"/>
      </w:tabs>
    </w:pPr>
  </w:style>
  <w:style w:type="paragraph" w:styleId="ListNumber2">
    <w:name w:val="List Number 2"/>
    <w:basedOn w:val="List2"/>
    <w:rsid w:val="00DA0EEA"/>
    <w:pPr>
      <w:numPr>
        <w:numId w:val="9"/>
      </w:numPr>
      <w:tabs>
        <w:tab w:val="clear" w:pos="1060"/>
      </w:tabs>
    </w:pPr>
  </w:style>
  <w:style w:type="paragraph" w:customStyle="1" w:styleId="MarginNote">
    <w:name w:val="Margin Note"/>
    <w:basedOn w:val="BodyText"/>
    <w:rsid w:val="00DA0EE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A0EE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A0EE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A0EEA"/>
    <w:rPr>
      <w:sz w:val="32"/>
    </w:rPr>
  </w:style>
  <w:style w:type="paragraph" w:customStyle="1" w:styleId="HeadingProcedure">
    <w:name w:val="Heading Procedure"/>
    <w:basedOn w:val="HeadingBase"/>
    <w:next w:val="Normal"/>
    <w:rsid w:val="00DA0EEA"/>
    <w:pPr>
      <w:tabs>
        <w:tab w:val="left" w:pos="0"/>
      </w:tabs>
      <w:spacing w:before="120" w:after="60"/>
    </w:pPr>
    <w:rPr>
      <w:i/>
      <w:color w:val="918585"/>
      <w:sz w:val="22"/>
    </w:rPr>
  </w:style>
  <w:style w:type="paragraph" w:customStyle="1" w:styleId="TableBodyText">
    <w:name w:val="Table Body Text"/>
    <w:basedOn w:val="BodyText"/>
    <w:rsid w:val="00DA0EEA"/>
    <w:pPr>
      <w:spacing w:before="60" w:after="60"/>
    </w:pPr>
  </w:style>
  <w:style w:type="paragraph" w:styleId="ListContinue">
    <w:name w:val="List Continue"/>
    <w:basedOn w:val="List"/>
    <w:rsid w:val="00DA0EEA"/>
    <w:pPr>
      <w:ind w:firstLine="0"/>
    </w:pPr>
  </w:style>
  <w:style w:type="paragraph" w:customStyle="1" w:styleId="ListNote">
    <w:name w:val="List Note"/>
    <w:basedOn w:val="List"/>
    <w:rsid w:val="00DA0EEA"/>
    <w:pPr>
      <w:pBdr>
        <w:top w:val="single" w:sz="6" w:space="2" w:color="918585"/>
        <w:bottom w:val="single" w:sz="6" w:space="2" w:color="918585"/>
      </w:pBdr>
      <w:tabs>
        <w:tab w:val="left" w:pos="1021"/>
      </w:tabs>
      <w:ind w:firstLine="0"/>
    </w:pPr>
  </w:style>
  <w:style w:type="paragraph" w:customStyle="1" w:styleId="Warning">
    <w:name w:val="Warning"/>
    <w:basedOn w:val="BodyText"/>
    <w:rsid w:val="00DA0EEA"/>
    <w:pPr>
      <w:shd w:val="clear" w:color="auto" w:fill="D9D9D9"/>
      <w:tabs>
        <w:tab w:val="left" w:pos="992"/>
      </w:tabs>
      <w:ind w:left="119" w:right="119"/>
    </w:pPr>
    <w:rPr>
      <w:sz w:val="20"/>
    </w:rPr>
  </w:style>
  <w:style w:type="paragraph" w:customStyle="1" w:styleId="MarginIcons">
    <w:name w:val="Margin Icons"/>
    <w:basedOn w:val="BodyText"/>
    <w:rsid w:val="00DA0EE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A0EEA"/>
    <w:rPr>
      <w:rFonts w:ascii="Courier New" w:hAnsi="Courier New"/>
    </w:rPr>
  </w:style>
  <w:style w:type="paragraph" w:customStyle="1" w:styleId="NoteBullet">
    <w:name w:val="Note Bullet"/>
    <w:basedOn w:val="Note"/>
    <w:rsid w:val="00DA0EEA"/>
    <w:pPr>
      <w:tabs>
        <w:tab w:val="clear" w:pos="680"/>
      </w:tabs>
      <w:spacing w:before="60" w:after="60"/>
    </w:pPr>
  </w:style>
  <w:style w:type="paragraph" w:customStyle="1" w:styleId="SubHeading2">
    <w:name w:val="SubHeading2"/>
    <w:basedOn w:val="HeadingBase"/>
    <w:rsid w:val="00DA0EEA"/>
    <w:pPr>
      <w:spacing w:before="240" w:after="60"/>
    </w:pPr>
    <w:rPr>
      <w:sz w:val="20"/>
    </w:rPr>
  </w:style>
  <w:style w:type="paragraph" w:customStyle="1" w:styleId="SubHeading1">
    <w:name w:val="SubHeading1"/>
    <w:basedOn w:val="HeadingBase"/>
    <w:rsid w:val="00DA0EEA"/>
    <w:pPr>
      <w:spacing w:before="240" w:after="60"/>
    </w:pPr>
    <w:rPr>
      <w:color w:val="918585"/>
      <w:sz w:val="22"/>
    </w:rPr>
  </w:style>
  <w:style w:type="paragraph" w:customStyle="1" w:styleId="SideHeading">
    <w:name w:val="Side Heading"/>
    <w:basedOn w:val="HeadingBase"/>
    <w:rsid w:val="00DA0EE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A0EEA"/>
    <w:pPr>
      <w:numPr>
        <w:numId w:val="10"/>
      </w:numPr>
    </w:pPr>
  </w:style>
  <w:style w:type="paragraph" w:styleId="PlainText">
    <w:name w:val="Plain Text"/>
    <w:basedOn w:val="Normal"/>
    <w:link w:val="PlainTextChar"/>
    <w:rsid w:val="00DA0EEA"/>
    <w:rPr>
      <w:sz w:val="20"/>
    </w:rPr>
  </w:style>
  <w:style w:type="character" w:customStyle="1" w:styleId="PlainTextChar">
    <w:name w:val="Plain Text Char"/>
    <w:basedOn w:val="DefaultParagraphFont"/>
    <w:link w:val="PlainText"/>
    <w:rsid w:val="00DA0EEA"/>
    <w:rPr>
      <w:rFonts w:ascii="Courier New" w:eastAsia="Times New Roman" w:hAnsi="Courier New" w:cs="Times New Roman"/>
      <w:sz w:val="20"/>
      <w:szCs w:val="20"/>
      <w:lang w:eastAsia="en-US"/>
    </w:rPr>
  </w:style>
  <w:style w:type="character" w:customStyle="1" w:styleId="MenuOption">
    <w:name w:val="Menu Option"/>
    <w:basedOn w:val="DefaultParagraphFont"/>
    <w:rsid w:val="00DA0EEA"/>
    <w:rPr>
      <w:b/>
      <w:smallCaps/>
    </w:rPr>
  </w:style>
  <w:style w:type="paragraph" w:customStyle="1" w:styleId="TableListNumber">
    <w:name w:val="Table List Number"/>
    <w:basedOn w:val="ListNumber"/>
    <w:rsid w:val="00DA0EEA"/>
    <w:pPr>
      <w:numPr>
        <w:numId w:val="0"/>
      </w:numPr>
    </w:pPr>
  </w:style>
  <w:style w:type="paragraph" w:styleId="TOC4">
    <w:name w:val="toc 4"/>
    <w:basedOn w:val="TOCBase"/>
    <w:next w:val="Normal"/>
    <w:semiHidden/>
    <w:rsid w:val="00DA0EEA"/>
    <w:pPr>
      <w:tabs>
        <w:tab w:val="right" w:leader="dot" w:pos="9071"/>
      </w:tabs>
      <w:ind w:left="1701"/>
    </w:pPr>
  </w:style>
  <w:style w:type="paragraph" w:customStyle="1" w:styleId="ListAlpha">
    <w:name w:val="List Alpha"/>
    <w:basedOn w:val="List"/>
    <w:rsid w:val="00DA0EEA"/>
    <w:pPr>
      <w:numPr>
        <w:numId w:val="8"/>
      </w:numPr>
    </w:pPr>
  </w:style>
  <w:style w:type="paragraph" w:customStyle="1" w:styleId="ListAlpha2">
    <w:name w:val="List Alpha 2"/>
    <w:basedOn w:val="List2"/>
    <w:rsid w:val="00DA0EEA"/>
    <w:pPr>
      <w:numPr>
        <w:numId w:val="7"/>
      </w:numPr>
    </w:pPr>
  </w:style>
  <w:style w:type="paragraph" w:styleId="List2">
    <w:name w:val="List 2"/>
    <w:basedOn w:val="BodyText"/>
    <w:rsid w:val="00DA0EEA"/>
    <w:pPr>
      <w:tabs>
        <w:tab w:val="left" w:pos="680"/>
      </w:tabs>
      <w:spacing w:before="60" w:after="60"/>
      <w:ind w:left="680" w:hanging="340"/>
    </w:pPr>
  </w:style>
  <w:style w:type="paragraph" w:styleId="List3">
    <w:name w:val="List 3"/>
    <w:basedOn w:val="BodyText"/>
    <w:rsid w:val="00DA0EEA"/>
    <w:pPr>
      <w:tabs>
        <w:tab w:val="left" w:pos="1021"/>
      </w:tabs>
      <w:spacing w:before="60" w:after="60"/>
      <w:ind w:left="1020" w:hanging="340"/>
    </w:pPr>
  </w:style>
  <w:style w:type="paragraph" w:styleId="List4">
    <w:name w:val="List 4"/>
    <w:basedOn w:val="BodyText"/>
    <w:rsid w:val="00DA0EEA"/>
    <w:pPr>
      <w:tabs>
        <w:tab w:val="left" w:pos="1361"/>
      </w:tabs>
      <w:spacing w:before="60" w:after="60"/>
      <w:ind w:left="1361" w:hanging="340"/>
    </w:pPr>
  </w:style>
  <w:style w:type="paragraph" w:styleId="List5">
    <w:name w:val="List 5"/>
    <w:basedOn w:val="BodyText"/>
    <w:rsid w:val="00DA0EEA"/>
    <w:pPr>
      <w:tabs>
        <w:tab w:val="left" w:pos="1701"/>
      </w:tabs>
      <w:spacing w:before="60" w:after="60"/>
      <w:ind w:left="1701" w:hanging="340"/>
    </w:pPr>
  </w:style>
  <w:style w:type="paragraph" w:styleId="ListBullet3">
    <w:name w:val="List Bullet 3"/>
    <w:basedOn w:val="List3"/>
    <w:rsid w:val="00DA0EEA"/>
    <w:pPr>
      <w:numPr>
        <w:numId w:val="13"/>
      </w:numPr>
      <w:tabs>
        <w:tab w:val="clear" w:pos="1021"/>
      </w:tabs>
      <w:ind w:left="1037" w:hanging="357"/>
    </w:pPr>
  </w:style>
  <w:style w:type="paragraph" w:styleId="ListBullet4">
    <w:name w:val="List Bullet 4"/>
    <w:basedOn w:val="List4"/>
    <w:rsid w:val="00DA0EEA"/>
    <w:pPr>
      <w:numPr>
        <w:numId w:val="2"/>
      </w:numPr>
      <w:tabs>
        <w:tab w:val="clear" w:pos="1361"/>
      </w:tabs>
    </w:pPr>
  </w:style>
  <w:style w:type="paragraph" w:styleId="ListBullet5">
    <w:name w:val="List Bullet 5"/>
    <w:basedOn w:val="List5"/>
    <w:rsid w:val="00DA0EEA"/>
    <w:pPr>
      <w:numPr>
        <w:numId w:val="3"/>
      </w:numPr>
    </w:pPr>
  </w:style>
  <w:style w:type="paragraph" w:styleId="ListContinue2">
    <w:name w:val="List Continue 2"/>
    <w:basedOn w:val="List2"/>
    <w:rsid w:val="00DA0EEA"/>
    <w:pPr>
      <w:ind w:firstLine="0"/>
    </w:pPr>
  </w:style>
  <w:style w:type="paragraph" w:styleId="ListContinue3">
    <w:name w:val="List Continue 3"/>
    <w:basedOn w:val="List3"/>
    <w:rsid w:val="00DA0EEA"/>
    <w:pPr>
      <w:ind w:left="1021" w:firstLine="0"/>
    </w:pPr>
  </w:style>
  <w:style w:type="paragraph" w:styleId="ListContinue4">
    <w:name w:val="List Continue 4"/>
    <w:basedOn w:val="List4"/>
    <w:rsid w:val="00DA0EEA"/>
    <w:pPr>
      <w:ind w:firstLine="0"/>
    </w:pPr>
  </w:style>
  <w:style w:type="paragraph" w:styleId="ListContinue5">
    <w:name w:val="List Continue 5"/>
    <w:basedOn w:val="List5"/>
    <w:rsid w:val="00DA0EEA"/>
    <w:pPr>
      <w:ind w:firstLine="0"/>
    </w:pPr>
  </w:style>
  <w:style w:type="paragraph" w:styleId="ListNumber3">
    <w:name w:val="List Number 3"/>
    <w:basedOn w:val="List3"/>
    <w:rsid w:val="00DA0EEA"/>
    <w:pPr>
      <w:numPr>
        <w:numId w:val="4"/>
      </w:numPr>
    </w:pPr>
  </w:style>
  <w:style w:type="paragraph" w:styleId="ListNumber4">
    <w:name w:val="List Number 4"/>
    <w:basedOn w:val="List4"/>
    <w:rsid w:val="00DA0EEA"/>
    <w:pPr>
      <w:numPr>
        <w:numId w:val="5"/>
      </w:numPr>
    </w:pPr>
  </w:style>
  <w:style w:type="paragraph" w:styleId="ListNumber5">
    <w:name w:val="List Number 5"/>
    <w:basedOn w:val="List5"/>
    <w:rsid w:val="00DA0EEA"/>
    <w:pPr>
      <w:numPr>
        <w:numId w:val="6"/>
      </w:numPr>
    </w:pPr>
  </w:style>
  <w:style w:type="paragraph" w:styleId="BlockText">
    <w:name w:val="Block Text"/>
    <w:basedOn w:val="Normal"/>
    <w:rsid w:val="00DA0EEA"/>
    <w:pPr>
      <w:spacing w:after="120"/>
      <w:ind w:left="1440" w:right="1440"/>
    </w:pPr>
  </w:style>
  <w:style w:type="character" w:customStyle="1" w:styleId="Subscript">
    <w:name w:val="Subscript"/>
    <w:basedOn w:val="DefaultParagraphFont"/>
    <w:rsid w:val="00DA0EEA"/>
    <w:rPr>
      <w:sz w:val="16"/>
      <w:vertAlign w:val="subscript"/>
    </w:rPr>
  </w:style>
  <w:style w:type="character" w:customStyle="1" w:styleId="Superscript">
    <w:name w:val="Superscript"/>
    <w:basedOn w:val="DefaultParagraphFont"/>
    <w:rsid w:val="00DA0EEA"/>
    <w:rPr>
      <w:sz w:val="16"/>
      <w:vertAlign w:val="superscript"/>
    </w:rPr>
  </w:style>
  <w:style w:type="character" w:customStyle="1" w:styleId="MenuOptions">
    <w:name w:val="Menu Options"/>
    <w:basedOn w:val="DefaultParagraphFont"/>
    <w:rsid w:val="00DA0EEA"/>
    <w:rPr>
      <w:rFonts w:ascii="Arial Narrow" w:hAnsi="Arial Narrow"/>
      <w:smallCaps/>
    </w:rPr>
  </w:style>
  <w:style w:type="character" w:customStyle="1" w:styleId="Buttons">
    <w:name w:val="Buttons"/>
    <w:basedOn w:val="DefaultParagraphFont"/>
    <w:rsid w:val="00DA0EEA"/>
    <w:rPr>
      <w:b/>
    </w:rPr>
  </w:style>
  <w:style w:type="character" w:customStyle="1" w:styleId="Underlined">
    <w:name w:val="Underlined"/>
    <w:basedOn w:val="DefaultParagraphFont"/>
    <w:rsid w:val="00DA0EEA"/>
    <w:rPr>
      <w:u w:val="single"/>
    </w:rPr>
  </w:style>
  <w:style w:type="paragraph" w:customStyle="1" w:styleId="TableBodyTextRight">
    <w:name w:val="Table Body Text Right"/>
    <w:basedOn w:val="TableBodyText"/>
    <w:rsid w:val="00DA0EEA"/>
    <w:pPr>
      <w:widowControl w:val="0"/>
      <w:autoSpaceDE w:val="0"/>
      <w:autoSpaceDN w:val="0"/>
      <w:adjustRightInd w:val="0"/>
      <w:jc w:val="right"/>
    </w:pPr>
    <w:rPr>
      <w:rFonts w:cs="Arial"/>
      <w:szCs w:val="18"/>
    </w:rPr>
  </w:style>
  <w:style w:type="paragraph" w:customStyle="1" w:styleId="CopyrightText">
    <w:name w:val="Copyright Text"/>
    <w:basedOn w:val="BodyText"/>
    <w:rsid w:val="00DA0EEA"/>
    <w:rPr>
      <w:sz w:val="18"/>
    </w:rPr>
  </w:style>
  <w:style w:type="paragraph" w:customStyle="1" w:styleId="BodySmallRight">
    <w:name w:val="Body Small Right"/>
    <w:basedOn w:val="BodyTextRight"/>
    <w:rsid w:val="00DA0EEA"/>
    <w:rPr>
      <w:sz w:val="18"/>
      <w:szCs w:val="18"/>
    </w:rPr>
  </w:style>
  <w:style w:type="paragraph" w:customStyle="1" w:styleId="MarginEdition">
    <w:name w:val="Margin Edition"/>
    <w:basedOn w:val="MarginNote"/>
    <w:rsid w:val="00DA0EEA"/>
    <w:pPr>
      <w:spacing w:before="0" w:after="0"/>
    </w:pPr>
    <w:rPr>
      <w:rFonts w:ascii="Times New Roman" w:hAnsi="Times New Roman"/>
      <w:color w:val="999999"/>
    </w:rPr>
  </w:style>
  <w:style w:type="paragraph" w:customStyle="1" w:styleId="Spacer">
    <w:name w:val="Spacer"/>
    <w:basedOn w:val="Normal"/>
    <w:rsid w:val="00DA0EEA"/>
    <w:rPr>
      <w:sz w:val="2"/>
      <w:szCs w:val="2"/>
    </w:rPr>
  </w:style>
  <w:style w:type="character" w:customStyle="1" w:styleId="Small">
    <w:name w:val="Small"/>
    <w:basedOn w:val="DefaultParagraphFont"/>
    <w:rsid w:val="00DA0EEA"/>
    <w:rPr>
      <w:sz w:val="16"/>
    </w:rPr>
  </w:style>
  <w:style w:type="paragraph" w:customStyle="1" w:styleId="WideTable">
    <w:name w:val="Wide Table"/>
    <w:basedOn w:val="Normal"/>
    <w:rsid w:val="00DA0EEA"/>
    <w:pPr>
      <w:ind w:left="-1418"/>
    </w:pPr>
    <w:rPr>
      <w:sz w:val="2"/>
      <w:szCs w:val="2"/>
    </w:rPr>
  </w:style>
  <w:style w:type="character" w:styleId="PageNumber">
    <w:name w:val="page number"/>
    <w:basedOn w:val="DefaultParagraphFont"/>
    <w:rsid w:val="00DA0EEA"/>
  </w:style>
  <w:style w:type="paragraph" w:styleId="Quote">
    <w:name w:val="Quote"/>
    <w:basedOn w:val="Heading1"/>
    <w:link w:val="QuoteChar"/>
    <w:qFormat/>
    <w:rsid w:val="00DA0EEA"/>
    <w:rPr>
      <w:b w:val="0"/>
      <w:sz w:val="72"/>
      <w:szCs w:val="72"/>
      <w:lang w:val="en-NZ"/>
    </w:rPr>
  </w:style>
  <w:style w:type="character" w:customStyle="1" w:styleId="QuoteChar">
    <w:name w:val="Quote Char"/>
    <w:basedOn w:val="DefaultParagraphFont"/>
    <w:link w:val="Quote"/>
    <w:rsid w:val="00DA0EE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A0EEA"/>
    <w:pPr>
      <w:pageBreakBefore/>
    </w:pPr>
  </w:style>
  <w:style w:type="paragraph" w:customStyle="1" w:styleId="Border">
    <w:name w:val="Border"/>
    <w:basedOn w:val="Normal"/>
    <w:qFormat/>
    <w:rsid w:val="00DA0EE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A0EEA"/>
    <w:rPr>
      <w:b/>
      <w:bCs/>
      <w:i/>
      <w:iCs/>
      <w:color w:val="auto"/>
    </w:rPr>
  </w:style>
  <w:style w:type="paragraph" w:styleId="IntenseQuote">
    <w:name w:val="Intense Quote"/>
    <w:basedOn w:val="Normal"/>
    <w:next w:val="Normal"/>
    <w:link w:val="IntenseQuoteChar"/>
    <w:uiPriority w:val="30"/>
    <w:qFormat/>
    <w:rsid w:val="00DA0EE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A0EE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A0EEA"/>
    <w:rPr>
      <w:smallCaps/>
      <w:color w:val="auto"/>
      <w:u w:val="single"/>
    </w:rPr>
  </w:style>
  <w:style w:type="character" w:styleId="IntenseReference">
    <w:name w:val="Intense Reference"/>
    <w:basedOn w:val="DefaultParagraphFont"/>
    <w:uiPriority w:val="32"/>
    <w:qFormat/>
    <w:rsid w:val="00DA0EEA"/>
    <w:rPr>
      <w:b/>
      <w:bCs/>
      <w:smallCaps/>
      <w:color w:val="auto"/>
      <w:spacing w:val="5"/>
      <w:u w:val="single"/>
    </w:rPr>
  </w:style>
  <w:style w:type="paragraph" w:customStyle="1" w:styleId="2ColumnHeading">
    <w:name w:val="2Column Heading"/>
    <w:basedOn w:val="BodyText"/>
    <w:qFormat/>
    <w:rsid w:val="00DA0EEA"/>
    <w:pPr>
      <w:spacing w:after="60"/>
      <w:ind w:left="-2268"/>
    </w:pPr>
    <w:rPr>
      <w:b/>
    </w:rPr>
  </w:style>
  <w:style w:type="paragraph" w:customStyle="1" w:styleId="Heading1TOC">
    <w:name w:val="Heading1 TOC"/>
    <w:basedOn w:val="Normal"/>
    <w:qFormat/>
    <w:rsid w:val="00DA0EEA"/>
    <w:pPr>
      <w:spacing w:before="240" w:after="120"/>
    </w:pPr>
    <w:rPr>
      <w:rFonts w:ascii="Times New Roman" w:hAnsi="Times New Roman"/>
      <w:b/>
      <w:sz w:val="32"/>
    </w:rPr>
  </w:style>
  <w:style w:type="paragraph" w:customStyle="1" w:styleId="Heading2TOC">
    <w:name w:val="Heading2 TOC"/>
    <w:basedOn w:val="Normal"/>
    <w:qFormat/>
    <w:rsid w:val="00DA0EEA"/>
    <w:pPr>
      <w:spacing w:before="240" w:after="60"/>
    </w:pPr>
    <w:rPr>
      <w:rFonts w:ascii="Times New Roman" w:hAnsi="Times New Roman"/>
      <w:b/>
      <w:sz w:val="28"/>
    </w:rPr>
  </w:style>
  <w:style w:type="character" w:customStyle="1" w:styleId="Underline">
    <w:name w:val="Underline"/>
    <w:basedOn w:val="DefaultParagraphFont"/>
    <w:qFormat/>
    <w:rsid w:val="00DA0EEA"/>
    <w:rPr>
      <w:u w:val="single"/>
    </w:rPr>
  </w:style>
  <w:style w:type="character" w:customStyle="1" w:styleId="BoldandItalics">
    <w:name w:val="Bold and Italics"/>
    <w:qFormat/>
    <w:rsid w:val="00DA0EEA"/>
    <w:rPr>
      <w:b/>
      <w:i/>
      <w:u w:val="none"/>
    </w:rPr>
  </w:style>
  <w:style w:type="paragraph" w:styleId="BalloonText">
    <w:name w:val="Balloon Text"/>
    <w:basedOn w:val="Normal"/>
    <w:link w:val="BalloonTextChar"/>
    <w:rsid w:val="00DA0EEA"/>
    <w:rPr>
      <w:rFonts w:ascii="Tahoma" w:hAnsi="Tahoma" w:cs="Tahoma"/>
      <w:sz w:val="16"/>
      <w:szCs w:val="16"/>
    </w:rPr>
  </w:style>
  <w:style w:type="character" w:customStyle="1" w:styleId="BalloonTextChar">
    <w:name w:val="Balloon Text Char"/>
    <w:basedOn w:val="DefaultParagraphFont"/>
    <w:link w:val="BalloonText"/>
    <w:rsid w:val="00DA0EE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A0EE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A0EE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A0EEA"/>
    <w:rPr>
      <w:b/>
      <w:color w:val="660033"/>
      <w:spacing w:val="0"/>
    </w:rPr>
  </w:style>
  <w:style w:type="paragraph" w:customStyle="1" w:styleId="Nameditemlist">
    <w:name w:val="Named item list"/>
    <w:basedOn w:val="BodyText"/>
    <w:qFormat/>
    <w:rsid w:val="00DA0EEA"/>
    <w:pPr>
      <w:tabs>
        <w:tab w:val="left" w:pos="2835"/>
      </w:tabs>
      <w:ind w:left="2835" w:hanging="2835"/>
    </w:pPr>
  </w:style>
  <w:style w:type="paragraph" w:customStyle="1" w:styleId="BodyTextnopadding">
    <w:name w:val="Body Text no padding"/>
    <w:basedOn w:val="BodyText"/>
    <w:qFormat/>
    <w:rsid w:val="00DA0EEA"/>
    <w:pPr>
      <w:spacing w:before="0" w:after="0"/>
    </w:pPr>
  </w:style>
  <w:style w:type="paragraph" w:customStyle="1" w:styleId="BodyTextBold">
    <w:name w:val="Body Text Bold"/>
    <w:basedOn w:val="BodyText"/>
    <w:qFormat/>
    <w:rsid w:val="00DA0EEA"/>
    <w:rPr>
      <w:b/>
    </w:rPr>
  </w:style>
  <w:style w:type="character" w:styleId="Hyperlink">
    <w:name w:val="Hyperlink"/>
    <w:basedOn w:val="DefaultParagraphFont"/>
    <w:uiPriority w:val="99"/>
    <w:unhideWhenUsed/>
    <w:rsid w:val="006953A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1204</Words>
  <Characters>7409</Characters>
  <Application>Microsoft Office Word</Application>
  <DocSecurity>0</DocSecurity>
  <Lines>336</Lines>
  <Paragraphs>191</Paragraphs>
  <ScaleCrop>false</ScaleCrop>
  <Company>Author-it Software Corporation Ltd.</Company>
  <LinksUpToDate>false</LinksUpToDate>
  <CharactersWithSpaces>8422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MSMOPS401 Trial new process or product</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2024-11-07T12:23:00Z</dcterms:created>
  <dcterms:modified xsi:type="dcterms:W3CDTF">2024-11-07T12:23:00Z</dcterms:modified>
</cp:coreProperties>
</file>