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199" w:rsidP="00101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MSMOPS301 Treat corrosion</w:t>
      </w:r>
      <w:r>
        <w:fldChar w:fldCharType="end"/>
      </w:r>
    </w:p>
    <w:p w:rsidR="00101199" w:rsidP="00101199">
      <w:pPr>
        <w:pStyle w:val="Version"/>
        <w:sectPr w:rsidSect="00177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400" w:rsidP="00177400">
      <w:pPr>
        <w:pStyle w:val="SuperHeading"/>
      </w:pPr>
      <w:r w:rsidRPr="00177400">
        <w:t>Assessment Requirements for MSMOPS301 Treat corrosion</w:t>
      </w:r>
    </w:p>
    <w:p w:rsidR="00000000" w:rsidRPr="00177400" w:rsidP="00177400">
      <w:pPr>
        <w:pStyle w:val="Heading1"/>
      </w:pPr>
      <w:bookmarkStart w:id="1" w:name="O_870730"/>
      <w:bookmarkEnd w:id="1"/>
      <w:r w:rsidRPr="00177400">
        <w:t>Modification History</w:t>
      </w:r>
    </w:p>
    <w:p w:rsidR="00000000" w:rsidRPr="00177400" w:rsidP="00101199">
      <w:pPr>
        <w:pStyle w:val="BodyText"/>
      </w:pPr>
      <w:r w:rsidRPr="00177400">
        <w:t>Release 1. Supersedes and is equivalent to MSAPMOPS301A Treat corrosion</w:t>
      </w:r>
    </w:p>
    <w:p w:rsidR="00000000" w:rsidRPr="00177400" w:rsidP="00177400">
      <w:pPr>
        <w:pStyle w:val="Heading1"/>
      </w:pPr>
      <w:bookmarkStart w:id="2" w:name="O_870733"/>
      <w:bookmarkEnd w:id="2"/>
      <w:r w:rsidRPr="00177400">
        <w:t>Performance Evidence</w:t>
      </w:r>
    </w:p>
    <w:p w:rsidR="00000000" w:rsidRPr="00177400" w:rsidP="00101199">
      <w:pPr>
        <w:pStyle w:val="BodyText"/>
      </w:pPr>
      <w:r w:rsidRPr="00177400">
        <w:t xml:space="preserve">Evidence required to demonstrate competence in this unit must be relevant to and satisfy the requirements of </w:t>
      </w:r>
      <w:r w:rsidRPr="00177400">
        <w:t>the elements and performance criteria and demonstrate the ability to:</w:t>
      </w:r>
    </w:p>
    <w:p w:rsidR="00000000" w:rsidRPr="00177400" w:rsidP="00177400">
      <w:pPr>
        <w:pStyle w:val="ListBullet"/>
      </w:pPr>
      <w:r w:rsidRPr="00177400">
        <w:t>observe and inspect service environment to identify:</w:t>
      </w:r>
    </w:p>
    <w:p w:rsidR="00000000" w:rsidRPr="00177400" w:rsidP="00177400">
      <w:pPr>
        <w:pStyle w:val="ListBullet2"/>
      </w:pPr>
      <w:r w:rsidRPr="00177400">
        <w:t xml:space="preserve">type of corrosion present  </w:t>
      </w:r>
    </w:p>
    <w:p w:rsidR="00000000" w:rsidRPr="00177400" w:rsidP="00177400">
      <w:pPr>
        <w:pStyle w:val="ListBullet2"/>
      </w:pPr>
      <w:r w:rsidRPr="00177400">
        <w:t>likely causes of corrosion</w:t>
      </w:r>
    </w:p>
    <w:p w:rsidR="00000000" w:rsidRPr="00177400" w:rsidP="00177400">
      <w:pPr>
        <w:pStyle w:val="ListBullet2"/>
      </w:pPr>
      <w:r w:rsidRPr="00177400">
        <w:t>vulnerability to corrosion</w:t>
      </w:r>
    </w:p>
    <w:p w:rsidR="00000000" w:rsidRPr="00177400" w:rsidP="00177400">
      <w:pPr>
        <w:pStyle w:val="ListBullet"/>
      </w:pPr>
      <w:r w:rsidRPr="00177400">
        <w:t>identify hazards and apply relevant hazard contr</w:t>
      </w:r>
      <w:r w:rsidRPr="00177400">
        <w:t>ols</w:t>
      </w:r>
    </w:p>
    <w:p w:rsidR="00000000" w:rsidRPr="00177400" w:rsidP="00177400">
      <w:pPr>
        <w:pStyle w:val="ListBullet"/>
      </w:pPr>
      <w:r w:rsidRPr="00177400">
        <w:t xml:space="preserve">read and interpret product specifications, job sheets, procedures, material labels and safety information </w:t>
      </w:r>
    </w:p>
    <w:p w:rsidR="00000000" w:rsidRPr="00177400" w:rsidP="00177400">
      <w:pPr>
        <w:pStyle w:val="ListBullet"/>
      </w:pPr>
      <w:r w:rsidRPr="00177400">
        <w:t>analyse proposed treatment for appropriateness</w:t>
      </w:r>
    </w:p>
    <w:p w:rsidR="00000000" w:rsidRPr="00177400" w:rsidP="00177400">
      <w:pPr>
        <w:pStyle w:val="ListBullet"/>
      </w:pPr>
      <w:r w:rsidRPr="00177400">
        <w:t>complete workplace forms/reports</w:t>
      </w:r>
    </w:p>
    <w:p w:rsidR="00000000" w:rsidRPr="00177400" w:rsidP="00177400">
      <w:pPr>
        <w:pStyle w:val="ListBullet"/>
      </w:pPr>
      <w:r w:rsidRPr="00177400">
        <w:t>communicate effectively with team/work</w:t>
      </w:r>
      <w:r w:rsidRPr="00177400">
        <w:t xml:space="preserve"> group, supervisors and other personnel</w:t>
      </w:r>
    </w:p>
    <w:p w:rsidR="00000000" w:rsidRPr="00177400" w:rsidP="00177400">
      <w:pPr>
        <w:pStyle w:val="ListBullet"/>
      </w:pPr>
      <w:r w:rsidRPr="00177400">
        <w:t>apply operational knowledge to non-routine problems.</w:t>
      </w:r>
    </w:p>
    <w:p w:rsidR="00000000" w:rsidRPr="00177400" w:rsidP="00177400">
      <w:pPr>
        <w:pStyle w:val="AllowPageBreak"/>
      </w:pPr>
    </w:p>
    <w:p w:rsidR="00000000" w:rsidRPr="00177400" w:rsidP="00177400">
      <w:pPr>
        <w:pStyle w:val="Heading1"/>
      </w:pPr>
      <w:bookmarkStart w:id="3" w:name="O_870732"/>
      <w:bookmarkEnd w:id="3"/>
      <w:r w:rsidRPr="00177400">
        <w:t>Knowledge Evidence</w:t>
      </w:r>
    </w:p>
    <w:p w:rsidR="00000000" w:rsidRPr="00177400" w:rsidP="00101199">
      <w:pPr>
        <w:pStyle w:val="BodyText"/>
      </w:pPr>
      <w:r w:rsidRPr="00177400">
        <w:t>Evidence must be provided that demonstrates knowledge of:</w:t>
      </w:r>
    </w:p>
    <w:p w:rsidR="00000000" w:rsidRPr="00177400" w:rsidP="00177400">
      <w:pPr>
        <w:pStyle w:val="ListBullet"/>
      </w:pPr>
      <w:r w:rsidRPr="00177400">
        <w:t>duty of care obligations</w:t>
      </w:r>
    </w:p>
    <w:p w:rsidR="00000000" w:rsidRPr="00177400" w:rsidP="00177400">
      <w:pPr>
        <w:pStyle w:val="ListBullet"/>
      </w:pPr>
      <w:r w:rsidRPr="00177400">
        <w:t>relevant organisational procedures</w:t>
      </w:r>
    </w:p>
    <w:p w:rsidR="00000000" w:rsidRPr="00177400" w:rsidP="00177400">
      <w:pPr>
        <w:pStyle w:val="ListBullet"/>
      </w:pPr>
      <w:r w:rsidRPr="00177400">
        <w:t xml:space="preserve">physics </w:t>
      </w:r>
      <w:r w:rsidRPr="00177400">
        <w:t>and chemistry relevant to corrosion in metals and non-metals</w:t>
      </w:r>
    </w:p>
    <w:p w:rsidR="00000000" w:rsidRPr="00177400" w:rsidP="00177400">
      <w:pPr>
        <w:pStyle w:val="ListBullet"/>
      </w:pPr>
      <w:r w:rsidRPr="00177400">
        <w:t xml:space="preserve">relevant coating/lining types and application methods </w:t>
      </w:r>
    </w:p>
    <w:p w:rsidR="00000000" w:rsidRPr="00177400" w:rsidP="00177400">
      <w:pPr>
        <w:pStyle w:val="ListBullet"/>
      </w:pPr>
      <w:r w:rsidRPr="00177400">
        <w:t>hazards that may arise in the job/work environment, including:</w:t>
      </w:r>
    </w:p>
    <w:p w:rsidR="00000000" w:rsidRPr="00177400" w:rsidP="00177400">
      <w:pPr>
        <w:pStyle w:val="ListBullet2"/>
      </w:pPr>
      <w:r w:rsidRPr="00177400">
        <w:t xml:space="preserve">their possible causes </w:t>
      </w:r>
    </w:p>
    <w:p w:rsidR="00000000" w:rsidRPr="00177400" w:rsidP="00177400">
      <w:pPr>
        <w:pStyle w:val="ListBullet2"/>
      </w:pPr>
      <w:r w:rsidRPr="00177400">
        <w:t>potential consequences</w:t>
      </w:r>
    </w:p>
    <w:p w:rsidR="00000000" w:rsidRPr="00177400" w:rsidP="00177400">
      <w:pPr>
        <w:pStyle w:val="ListBullet2"/>
      </w:pPr>
      <w:r w:rsidRPr="00177400">
        <w:t xml:space="preserve">appropriate risk controls </w:t>
      </w:r>
    </w:p>
    <w:p w:rsidR="00000000" w:rsidRPr="00177400" w:rsidP="00177400">
      <w:pPr>
        <w:pStyle w:val="ListBullet"/>
      </w:pPr>
      <w:r w:rsidRPr="00177400">
        <w:t>co</w:t>
      </w:r>
      <w:r w:rsidRPr="00177400">
        <w:t>sts and hazards of corrosion</w:t>
      </w:r>
    </w:p>
    <w:p w:rsidR="00000000" w:rsidRPr="00177400" w:rsidP="00177400">
      <w:pPr>
        <w:pStyle w:val="ListBullet"/>
      </w:pPr>
      <w:r w:rsidRPr="00177400">
        <w:t>impacts of preparation and coating variables, including:</w:t>
      </w:r>
    </w:p>
    <w:p w:rsidR="00000000" w:rsidRPr="00177400" w:rsidP="00177400">
      <w:pPr>
        <w:pStyle w:val="ListBullet2"/>
      </w:pPr>
      <w:r w:rsidRPr="00177400">
        <w:t>blast media type/size/shape</w:t>
      </w:r>
    </w:p>
    <w:p w:rsidR="00000000" w:rsidRPr="00177400" w:rsidP="00177400">
      <w:pPr>
        <w:pStyle w:val="ListBullet2"/>
      </w:pPr>
      <w:r w:rsidRPr="00177400">
        <w:t>temperature during/after application</w:t>
      </w:r>
    </w:p>
    <w:p w:rsidR="00000000" w:rsidRPr="00177400" w:rsidP="00177400">
      <w:pPr>
        <w:pStyle w:val="ListBullet2"/>
      </w:pPr>
      <w:r w:rsidRPr="00177400">
        <w:t>pressure of spray</w:t>
      </w:r>
    </w:p>
    <w:p w:rsidR="00000000" w:rsidRPr="00177400" w:rsidP="00177400">
      <w:pPr>
        <w:pStyle w:val="ListBullet2"/>
      </w:pPr>
      <w:r w:rsidRPr="00177400">
        <w:t xml:space="preserve">pH </w:t>
      </w:r>
    </w:p>
    <w:p w:rsidR="00000000" w:rsidRPr="00177400" w:rsidP="00177400">
      <w:pPr>
        <w:pStyle w:val="ListBullet"/>
      </w:pPr>
      <w:r w:rsidRPr="00177400">
        <w:t xml:space="preserve">non-routine problems that may arise, the range of possible causes and processes to develop solutions </w:t>
      </w:r>
    </w:p>
    <w:p w:rsidR="00000000" w:rsidRPr="00177400" w:rsidP="00177400">
      <w:pPr>
        <w:pStyle w:val="ListBullet"/>
      </w:pPr>
      <w:r w:rsidRPr="00177400">
        <w:t>major preparation and protection methods, their typical applications and how to troubleshoot problems.</w:t>
      </w:r>
    </w:p>
    <w:p w:rsidR="00000000" w:rsidRPr="00177400" w:rsidP="00177400">
      <w:pPr>
        <w:pStyle w:val="AllowPageBreak"/>
      </w:pPr>
    </w:p>
    <w:p w:rsidR="00000000" w:rsidRPr="00177400" w:rsidP="00177400">
      <w:pPr>
        <w:pStyle w:val="Heading1"/>
      </w:pPr>
      <w:bookmarkStart w:id="4" w:name="O_870731"/>
      <w:bookmarkEnd w:id="4"/>
      <w:r w:rsidRPr="00177400">
        <w:t>Assessment Conditions</w:t>
      </w:r>
    </w:p>
    <w:p w:rsidR="00000000" w:rsidRPr="00177400" w:rsidP="00177400">
      <w:pPr>
        <w:pStyle w:val="ListBullet"/>
      </w:pPr>
      <w:r w:rsidRPr="00177400">
        <w:t>The unit sh</w:t>
      </w:r>
      <w:r w:rsidRPr="00177400">
        <w:t xml:space="preserve">ould be assessed holistically and the judgement of competence based on a holistic assessment of the evidence. </w:t>
      </w:r>
    </w:p>
    <w:p w:rsidR="00000000" w:rsidRPr="00177400" w:rsidP="00177400">
      <w:pPr>
        <w:pStyle w:val="ListBullet"/>
      </w:pPr>
      <w:r w:rsidRPr="00177400">
        <w:t>The collection of performance evidence is best done from a report and/or folio of evidence drawn from:</w:t>
      </w:r>
    </w:p>
    <w:p w:rsidR="00000000" w:rsidRPr="00177400" w:rsidP="00177400">
      <w:pPr>
        <w:pStyle w:val="ListBullet2"/>
      </w:pPr>
      <w:r w:rsidRPr="00177400">
        <w:t>a single project which provides sufficien</w:t>
      </w:r>
      <w:r w:rsidRPr="00177400">
        <w:t>t evidence of the requirements of all the elements and performance criteria</w:t>
      </w:r>
    </w:p>
    <w:p w:rsidR="00000000" w:rsidRPr="00177400" w:rsidP="00177400">
      <w:pPr>
        <w:pStyle w:val="ListBullet2"/>
      </w:pPr>
      <w:r w:rsidRPr="00177400">
        <w:t>multiple smaller projects which together provide sufficient evidence of the requirements of all the elements and performance criteria.</w:t>
      </w:r>
    </w:p>
    <w:p w:rsidR="00000000" w:rsidRPr="00177400" w:rsidP="00177400">
      <w:pPr>
        <w:pStyle w:val="ListBullet"/>
      </w:pPr>
      <w:r w:rsidRPr="00177400">
        <w:t>A third-party report, or similar, may be nee</w:t>
      </w:r>
      <w:r w:rsidRPr="00177400">
        <w:t>ded to testify to the work done by the individual, particularly when the project has been done as part of a project team.</w:t>
      </w:r>
    </w:p>
    <w:p w:rsidR="00000000" w:rsidRPr="00177400" w:rsidP="00177400">
      <w:pPr>
        <w:pStyle w:val="ListBullet"/>
      </w:pPr>
      <w:r w:rsidRPr="00177400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177400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177400" w:rsidP="00177400">
      <w:pPr>
        <w:pStyle w:val="ListBullet"/>
      </w:pPr>
      <w:r w:rsidRPr="00177400">
        <w:t>Assessment in a simulated environment should use</w:t>
      </w:r>
      <w:r w:rsidRPr="00177400">
        <w:t xml:space="preserve"> evidence collected from one or more of: </w:t>
      </w:r>
    </w:p>
    <w:p w:rsidR="00000000" w:rsidRPr="00177400" w:rsidP="00177400">
      <w:pPr>
        <w:pStyle w:val="ListBullet2"/>
      </w:pPr>
      <w:r w:rsidRPr="00177400">
        <w:t>walk-throughs</w:t>
      </w:r>
    </w:p>
    <w:p w:rsidR="00000000" w:rsidRPr="00177400" w:rsidP="00177400">
      <w:pPr>
        <w:pStyle w:val="ListBullet2"/>
      </w:pPr>
      <w:r w:rsidRPr="00177400">
        <w:t xml:space="preserve">demonstration of skills </w:t>
      </w:r>
    </w:p>
    <w:p w:rsidR="00000000" w:rsidRPr="00177400" w:rsidP="00177400">
      <w:pPr>
        <w:pStyle w:val="ListBullet2"/>
      </w:pPr>
      <w:r w:rsidRPr="00177400">
        <w:t xml:space="preserve">industry based case studies/scenarios </w:t>
      </w:r>
    </w:p>
    <w:p w:rsidR="00000000" w:rsidRPr="00177400" w:rsidP="00177400">
      <w:pPr>
        <w:pStyle w:val="ListBullet2"/>
      </w:pPr>
      <w:r w:rsidRPr="00177400">
        <w:t>‘what ifs’.</w:t>
      </w:r>
    </w:p>
    <w:p w:rsidR="00000000" w:rsidRPr="00177400" w:rsidP="00177400">
      <w:pPr>
        <w:pStyle w:val="ListBullet"/>
      </w:pPr>
      <w:r w:rsidRPr="00177400">
        <w:t>Knowledge evidence may be collected concurrently with performance evidence or through an independent process, such as work</w:t>
      </w:r>
      <w:r w:rsidRPr="00177400">
        <w:t>books, written assessments or interviews (provided a record is kept).</w:t>
      </w:r>
    </w:p>
    <w:p w:rsidR="00000000" w:rsidRPr="00177400" w:rsidP="00177400">
      <w:pPr>
        <w:pStyle w:val="ListBullet"/>
      </w:pPr>
      <w:r w:rsidRPr="00177400">
        <w:t>Assessment processes and techniques must be appropriate to the language, literacy and numeracy requirements of the work being performed and the needs of the candidate.</w:t>
      </w:r>
    </w:p>
    <w:p w:rsidR="00000000" w:rsidRPr="00177400" w:rsidP="00177400">
      <w:pPr>
        <w:pStyle w:val="ListBullet"/>
      </w:pPr>
      <w:r w:rsidRPr="00177400">
        <w:t>Conditions for ass</w:t>
      </w:r>
      <w:r w:rsidRPr="00177400">
        <w:t>essment must include access to all tools, equipment, materials and documentation required, including relevant workplace procedures, product and manufacturing specifications associated with this unit.</w:t>
      </w:r>
    </w:p>
    <w:p w:rsidR="00000000" w:rsidRPr="00177400" w:rsidP="00177400">
      <w:pPr>
        <w:pStyle w:val="ListBullet"/>
      </w:pPr>
      <w:r w:rsidRPr="00177400">
        <w:t xml:space="preserve">The regulatory framework will be reflected in workplace </w:t>
      </w:r>
      <w:r w:rsidRPr="00177400">
        <w:t>policies and procedures and is not required to be independently assessed.</w:t>
      </w:r>
    </w:p>
    <w:p w:rsidR="00000000" w:rsidRPr="00177400" w:rsidP="00177400">
      <w:pPr>
        <w:pStyle w:val="ListBullet"/>
      </w:pPr>
      <w:r w:rsidRPr="00177400">
        <w:t>Foundation skills are integral to competent performance of the unit and should not be assessed separately.</w:t>
      </w:r>
    </w:p>
    <w:p w:rsidR="00000000" w:rsidRPr="00177400" w:rsidP="00177400">
      <w:pPr>
        <w:pStyle w:val="ListBullet"/>
      </w:pPr>
      <w:r w:rsidRPr="00177400">
        <w:t xml:space="preserve">As a minimum, assessors must satisfy the Standards for Registered Training </w:t>
      </w:r>
      <w:r w:rsidRPr="00177400">
        <w:t>Organisations 2015 assessor requirements.</w:t>
      </w:r>
    </w:p>
    <w:p w:rsidR="00000000" w:rsidRPr="00177400" w:rsidP="00177400">
      <w:pPr>
        <w:pStyle w:val="AllowPageBreak"/>
      </w:pPr>
    </w:p>
    <w:p w:rsidR="00000000" w:rsidRPr="00177400" w:rsidP="00177400">
      <w:pPr>
        <w:pStyle w:val="Heading1"/>
      </w:pPr>
      <w:bookmarkStart w:id="5" w:name="O_870729"/>
      <w:bookmarkEnd w:id="5"/>
      <w:r w:rsidRPr="00177400">
        <w:t>Links</w:t>
      </w:r>
    </w:p>
    <w:p w:rsidR="00000000" w:rsidRPr="00177400" w:rsidP="00101199">
      <w:pPr>
        <w:pStyle w:val="BodyText"/>
      </w:pPr>
      <w:r w:rsidRPr="001774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91B5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77400" w:rsidP="00177400"/>
    <w:sectPr w:rsidSect="001774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400" w:rsidRPr="00101199" w:rsidP="00101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99" w:rsidP="00177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199" w:rsidP="00177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1199" w:rsidP="00177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400" w:rsidRPr="00101199" w:rsidP="00101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99" w:rsidRPr="002D2AF8" w:rsidP="00177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MSMOPS301 Treat corrosion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01199" w:rsidP="00177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606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DE2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56E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400"/>
  </w:style>
  <w:style w:type="character" w:customStyle="1" w:styleId="Heading1Char">
    <w:name w:val="Heading 1 Char"/>
    <w:basedOn w:val="DefaultParagraphFont"/>
    <w:link w:val="Heading1"/>
    <w:rsid w:val="00177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4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4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4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4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4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4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400"/>
    <w:rPr>
      <w:b/>
      <w:spacing w:val="0"/>
    </w:rPr>
  </w:style>
  <w:style w:type="paragraph" w:customStyle="1" w:styleId="SuperTitle">
    <w:name w:val="SuperTitle"/>
    <w:basedOn w:val="Title"/>
    <w:rsid w:val="00177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4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400"/>
    <w:rPr>
      <w:i/>
    </w:rPr>
  </w:style>
  <w:style w:type="paragraph" w:styleId="Caption">
    <w:name w:val="caption"/>
    <w:basedOn w:val="BodyText"/>
    <w:next w:val="Normal"/>
    <w:qFormat/>
    <w:rsid w:val="00177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400"/>
  </w:style>
  <w:style w:type="paragraph" w:styleId="TableofFigures">
    <w:name w:val="table of figures"/>
    <w:basedOn w:val="Normal"/>
    <w:next w:val="Normal"/>
    <w:semiHidden/>
    <w:rsid w:val="00177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4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400"/>
    <w:rPr>
      <w:rFonts w:ascii="Wingdings" w:hAnsi="Wingdings"/>
    </w:rPr>
  </w:style>
  <w:style w:type="paragraph" w:customStyle="1" w:styleId="TableHeading">
    <w:name w:val="Table Heading"/>
    <w:basedOn w:val="HeadingBase"/>
    <w:rsid w:val="00177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400"/>
    <w:rPr>
      <w:color w:val="0033CC"/>
      <w:u w:val="none"/>
    </w:rPr>
  </w:style>
  <w:style w:type="paragraph" w:customStyle="1" w:styleId="BodyTextRight">
    <w:name w:val="Body Text Right"/>
    <w:basedOn w:val="BodyText"/>
    <w:rsid w:val="00177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4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400"/>
    <w:rPr>
      <w:sz w:val="32"/>
    </w:rPr>
  </w:style>
  <w:style w:type="paragraph" w:customStyle="1" w:styleId="HeadingProcedure">
    <w:name w:val="Heading Procedure"/>
    <w:basedOn w:val="HeadingBase"/>
    <w:next w:val="Normal"/>
    <w:rsid w:val="00177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400"/>
    <w:pPr>
      <w:spacing w:before="60" w:after="60"/>
    </w:pPr>
  </w:style>
  <w:style w:type="paragraph" w:styleId="ListContinue">
    <w:name w:val="List Continue"/>
    <w:basedOn w:val="List"/>
    <w:rsid w:val="00177400"/>
    <w:pPr>
      <w:ind w:firstLine="0"/>
    </w:pPr>
  </w:style>
  <w:style w:type="paragraph" w:customStyle="1" w:styleId="ListNote">
    <w:name w:val="List Note"/>
    <w:basedOn w:val="List"/>
    <w:rsid w:val="00177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400"/>
    <w:rPr>
      <w:rFonts w:ascii="Courier New" w:hAnsi="Courier New"/>
    </w:rPr>
  </w:style>
  <w:style w:type="paragraph" w:customStyle="1" w:styleId="NoteBullet">
    <w:name w:val="Note Bullet"/>
    <w:basedOn w:val="Note"/>
    <w:rsid w:val="00177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4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400"/>
    <w:rPr>
      <w:b/>
      <w:smallCaps/>
    </w:rPr>
  </w:style>
  <w:style w:type="paragraph" w:customStyle="1" w:styleId="TableListNumber">
    <w:name w:val="Table List Number"/>
    <w:basedOn w:val="ListNumber"/>
    <w:rsid w:val="00177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400"/>
    <w:pPr>
      <w:numPr>
        <w:numId w:val="9"/>
      </w:numPr>
    </w:pPr>
  </w:style>
  <w:style w:type="paragraph" w:customStyle="1" w:styleId="ListAlpha2">
    <w:name w:val="List Alpha 2"/>
    <w:basedOn w:val="List2"/>
    <w:rsid w:val="00177400"/>
    <w:pPr>
      <w:numPr>
        <w:numId w:val="8"/>
      </w:numPr>
    </w:pPr>
  </w:style>
  <w:style w:type="paragraph" w:styleId="List2">
    <w:name w:val="List 2"/>
    <w:basedOn w:val="BodyText"/>
    <w:rsid w:val="00177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4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4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400"/>
    <w:pPr>
      <w:numPr>
        <w:numId w:val="4"/>
      </w:numPr>
    </w:pPr>
  </w:style>
  <w:style w:type="paragraph" w:styleId="ListContinue2">
    <w:name w:val="List Continue 2"/>
    <w:basedOn w:val="List2"/>
    <w:rsid w:val="00177400"/>
    <w:pPr>
      <w:ind w:firstLine="0"/>
    </w:pPr>
  </w:style>
  <w:style w:type="paragraph" w:styleId="ListContinue3">
    <w:name w:val="List Continue 3"/>
    <w:basedOn w:val="List3"/>
    <w:rsid w:val="00177400"/>
    <w:pPr>
      <w:ind w:left="1021" w:firstLine="0"/>
    </w:pPr>
  </w:style>
  <w:style w:type="paragraph" w:styleId="ListContinue4">
    <w:name w:val="List Continue 4"/>
    <w:basedOn w:val="List4"/>
    <w:rsid w:val="00177400"/>
    <w:pPr>
      <w:ind w:firstLine="0"/>
    </w:pPr>
  </w:style>
  <w:style w:type="paragraph" w:styleId="ListContinue5">
    <w:name w:val="List Continue 5"/>
    <w:basedOn w:val="List5"/>
    <w:rsid w:val="00177400"/>
    <w:pPr>
      <w:ind w:firstLine="0"/>
    </w:pPr>
  </w:style>
  <w:style w:type="paragraph" w:styleId="ListNumber3">
    <w:name w:val="List Number 3"/>
    <w:basedOn w:val="List3"/>
    <w:rsid w:val="00177400"/>
    <w:pPr>
      <w:numPr>
        <w:numId w:val="5"/>
      </w:numPr>
    </w:pPr>
  </w:style>
  <w:style w:type="paragraph" w:styleId="ListNumber4">
    <w:name w:val="List Number 4"/>
    <w:basedOn w:val="List4"/>
    <w:rsid w:val="00177400"/>
    <w:pPr>
      <w:numPr>
        <w:numId w:val="6"/>
      </w:numPr>
    </w:pPr>
  </w:style>
  <w:style w:type="paragraph" w:styleId="ListNumber5">
    <w:name w:val="List Number 5"/>
    <w:basedOn w:val="List5"/>
    <w:rsid w:val="00177400"/>
    <w:pPr>
      <w:numPr>
        <w:numId w:val="7"/>
      </w:numPr>
    </w:pPr>
  </w:style>
  <w:style w:type="paragraph" w:styleId="BlockText">
    <w:name w:val="Block Text"/>
    <w:basedOn w:val="Normal"/>
    <w:rsid w:val="00177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400"/>
    <w:rPr>
      <w:sz w:val="16"/>
      <w:vertAlign w:val="superscript"/>
    </w:rPr>
  </w:style>
  <w:style w:type="character" w:customStyle="1" w:styleId="Symbols">
    <w:name w:val="Symbols"/>
    <w:basedOn w:val="DefaultParagraphFont"/>
    <w:rsid w:val="00177400"/>
    <w:rPr>
      <w:rFonts w:ascii="Symbol" w:hAnsi="Symbol"/>
    </w:rPr>
  </w:style>
  <w:style w:type="character" w:customStyle="1" w:styleId="MenuOptions">
    <w:name w:val="Menu Options"/>
    <w:basedOn w:val="DefaultParagraphFont"/>
    <w:rsid w:val="00177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400"/>
    <w:rPr>
      <w:b/>
    </w:rPr>
  </w:style>
  <w:style w:type="character" w:customStyle="1" w:styleId="Underlined">
    <w:name w:val="Underlined"/>
    <w:basedOn w:val="DefaultParagraphFont"/>
    <w:rsid w:val="00177400"/>
    <w:rPr>
      <w:u w:val="single"/>
    </w:rPr>
  </w:style>
  <w:style w:type="paragraph" w:customStyle="1" w:styleId="TableBodyTextRight">
    <w:name w:val="Table Body Text Right"/>
    <w:basedOn w:val="TableBodyText"/>
    <w:rsid w:val="00177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400"/>
    <w:rPr>
      <w:sz w:val="18"/>
    </w:rPr>
  </w:style>
  <w:style w:type="paragraph" w:customStyle="1" w:styleId="BodySmallRight">
    <w:name w:val="Body Small Right"/>
    <w:basedOn w:val="BodyTextRight"/>
    <w:rsid w:val="00177400"/>
    <w:rPr>
      <w:sz w:val="18"/>
      <w:szCs w:val="18"/>
    </w:rPr>
  </w:style>
  <w:style w:type="paragraph" w:customStyle="1" w:styleId="MarginEdition">
    <w:name w:val="Margin Edition"/>
    <w:basedOn w:val="MarginNote"/>
    <w:rsid w:val="00177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400"/>
    <w:rPr>
      <w:sz w:val="2"/>
      <w:szCs w:val="2"/>
    </w:rPr>
  </w:style>
  <w:style w:type="character" w:customStyle="1" w:styleId="Small">
    <w:name w:val="Small"/>
    <w:basedOn w:val="DefaultParagraphFont"/>
    <w:rsid w:val="00177400"/>
    <w:rPr>
      <w:sz w:val="16"/>
    </w:rPr>
  </w:style>
  <w:style w:type="paragraph" w:customStyle="1" w:styleId="WideTable">
    <w:name w:val="Wide Table"/>
    <w:basedOn w:val="Normal"/>
    <w:rsid w:val="00177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400"/>
  </w:style>
  <w:style w:type="paragraph" w:styleId="Quote">
    <w:name w:val="Quote"/>
    <w:basedOn w:val="Heading1"/>
    <w:link w:val="QuoteChar"/>
    <w:qFormat/>
    <w:rsid w:val="00177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400"/>
    <w:pPr>
      <w:pageBreakBefore/>
    </w:pPr>
  </w:style>
  <w:style w:type="paragraph" w:customStyle="1" w:styleId="Border">
    <w:name w:val="Border"/>
    <w:basedOn w:val="Normal"/>
    <w:qFormat/>
    <w:rsid w:val="00177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400"/>
    <w:rPr>
      <w:u w:val="single"/>
    </w:rPr>
  </w:style>
  <w:style w:type="character" w:customStyle="1" w:styleId="BoldandItalics">
    <w:name w:val="Bold and Italics"/>
    <w:qFormat/>
    <w:rsid w:val="00177400"/>
    <w:rPr>
      <w:b/>
      <w:i/>
      <w:u w:val="none"/>
    </w:rPr>
  </w:style>
  <w:style w:type="paragraph" w:styleId="BalloonText">
    <w:name w:val="Balloon Text"/>
    <w:basedOn w:val="Normal"/>
    <w:link w:val="BalloonTextChar"/>
    <w:rsid w:val="00177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4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4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400"/>
    <w:pPr>
      <w:spacing w:before="0" w:after="0"/>
    </w:pPr>
  </w:style>
  <w:style w:type="paragraph" w:customStyle="1" w:styleId="BodyTextBold">
    <w:name w:val="Body Text Bold"/>
    <w:basedOn w:val="BodyText"/>
    <w:qFormat/>
    <w:rsid w:val="00177400"/>
    <w:rPr>
      <w:b/>
    </w:rPr>
  </w:style>
  <w:style w:type="character" w:styleId="Hyperlink">
    <w:name w:val="Hyperlink"/>
    <w:basedOn w:val="DefaultParagraphFont"/>
    <w:uiPriority w:val="99"/>
    <w:unhideWhenUsed/>
    <w:rsid w:val="00101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3702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MSMOPS301 Treat corrosion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