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C5888" w:rsidP="008C5888">
      <w:pPr>
        <w:pStyle w:val="Title"/>
      </w:pPr>
      <w:r>
        <w:fldChar w:fldCharType="begin"/>
      </w:r>
      <w:r>
        <w:instrText xml:space="preserve"> TITLE   \* MERGEFORMAT </w:instrText>
      </w:r>
      <w:r>
        <w:fldChar w:fldCharType="separate"/>
      </w:r>
      <w:r>
        <w:t>MSMOPS102 Perform tasks to support production</w:t>
      </w:r>
      <w:r>
        <w:fldChar w:fldCharType="end"/>
      </w:r>
    </w:p>
    <w:p w:rsidR="008C5888" w:rsidP="008C5888">
      <w:pPr>
        <w:pStyle w:val="Version"/>
        <w:sectPr w:rsidSect="00D273A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273A9" w:rsidP="00D273A9">
      <w:pPr>
        <w:pStyle w:val="SuperHeading"/>
      </w:pPr>
      <w:r w:rsidRPr="00D273A9">
        <w:t>MSMOPS102 Perform tasks to support production</w:t>
      </w:r>
    </w:p>
    <w:p w:rsidR="00000000" w:rsidRPr="00D273A9" w:rsidP="00D273A9">
      <w:pPr>
        <w:pStyle w:val="Heading1"/>
      </w:pPr>
      <w:bookmarkStart w:id="1" w:name="O_852106"/>
      <w:bookmarkEnd w:id="1"/>
      <w:r w:rsidRPr="00D273A9">
        <w:t>Modification History</w:t>
      </w:r>
    </w:p>
    <w:p w:rsidR="00000000" w:rsidRPr="00D273A9" w:rsidP="008C5888">
      <w:pPr>
        <w:pStyle w:val="BodyText"/>
      </w:pPr>
      <w:r w:rsidRPr="00D273A9">
        <w:t>Release 1. Supersedes and is equivalent to MSAPMOPS102A Perform tasks to support production</w:t>
      </w:r>
    </w:p>
    <w:p w:rsidR="00000000" w:rsidRPr="00D273A9" w:rsidP="00D273A9">
      <w:pPr>
        <w:pStyle w:val="Heading1"/>
      </w:pPr>
      <w:bookmarkStart w:id="2" w:name="O_852115"/>
      <w:bookmarkEnd w:id="2"/>
      <w:r w:rsidRPr="00D273A9">
        <w:t>Application</w:t>
      </w:r>
    </w:p>
    <w:p w:rsidR="00000000" w:rsidRPr="00D273A9" w:rsidP="008C5888">
      <w:pPr>
        <w:pStyle w:val="BodyText"/>
      </w:pPr>
      <w:r w:rsidRPr="00D273A9">
        <w:t>This unit of competency covers the skills and knowledge required to perform tasks in support of the produc</w:t>
      </w:r>
      <w:r w:rsidRPr="00D273A9">
        <w:t xml:space="preserve">tion process working under close supervision. </w:t>
      </w:r>
    </w:p>
    <w:p w:rsidR="00000000" w:rsidRPr="00D273A9" w:rsidP="008C5888">
      <w:pPr>
        <w:pStyle w:val="BodyText"/>
      </w:pPr>
      <w:r w:rsidRPr="00D273A9">
        <w:t xml:space="preserve">This competency applies to personnel who are not operating equipment but are making products or contributing to the production process through predominantly manual tasks. These tasks might be referred to as </w:t>
      </w:r>
      <w:r>
        <w:t>‘</w:t>
      </w:r>
      <w:r w:rsidRPr="00D273A9">
        <w:t>fetch and carry</w:t>
      </w:r>
      <w:r>
        <w:t>’</w:t>
      </w:r>
      <w:r w:rsidRPr="00D273A9">
        <w:t xml:space="preserve"> type tasks.</w:t>
      </w:r>
    </w:p>
    <w:p w:rsidR="00000000" w:rsidRPr="00D273A9" w:rsidP="008C5888">
      <w:pPr>
        <w:pStyle w:val="BodyText"/>
      </w:pPr>
      <w:r w:rsidRPr="00D273A9">
        <w:t>This unit of competency applies to an individual working alone or as part of a team/work group and working in liaison with other shift team members and the control room operator, as appropriate. It might also apply to a more e</w:t>
      </w:r>
      <w:r w:rsidRPr="00D273A9">
        <w:t xml:space="preserve">xperienced operator working outside their field of expertise and under close supervision. </w:t>
      </w:r>
    </w:p>
    <w:p w:rsidR="00000000" w:rsidRPr="00D273A9" w:rsidP="008C5888">
      <w:pPr>
        <w:pStyle w:val="BodyText"/>
      </w:pPr>
      <w:r w:rsidRPr="00D273A9">
        <w:t>The competency applies to all sectors of the manufacturing industry.</w:t>
      </w:r>
    </w:p>
    <w:p w:rsidR="00000000" w:rsidRPr="00D273A9" w:rsidP="008C5888">
      <w:pPr>
        <w:pStyle w:val="BodyText"/>
      </w:pPr>
      <w:r w:rsidRPr="00D273A9">
        <w:t>No licensing, legislative or certification requirements apply to this unit at the time of publ</w:t>
      </w:r>
      <w:r w:rsidRPr="00D273A9">
        <w:t>ication.</w:t>
      </w:r>
    </w:p>
    <w:p w:rsidR="00000000" w:rsidRPr="00D273A9" w:rsidP="00D273A9">
      <w:pPr>
        <w:pStyle w:val="Heading1"/>
      </w:pPr>
      <w:bookmarkStart w:id="3" w:name="O_852113"/>
      <w:bookmarkEnd w:id="3"/>
      <w:r w:rsidRPr="00D273A9">
        <w:t>Pre-requisite Unit</w:t>
      </w:r>
    </w:p>
    <w:p w:rsidR="00000000" w:rsidRPr="00D273A9" w:rsidP="008C5888">
      <w:pPr>
        <w:pStyle w:val="BodyText"/>
      </w:pPr>
      <w:r w:rsidRPr="00D273A9">
        <w:t>Nil</w:t>
      </w:r>
    </w:p>
    <w:p w:rsidR="00000000" w:rsidRPr="00D273A9" w:rsidP="00D273A9">
      <w:pPr>
        <w:pStyle w:val="Heading1"/>
      </w:pPr>
      <w:bookmarkStart w:id="4" w:name="O_852112"/>
      <w:bookmarkEnd w:id="4"/>
      <w:r w:rsidRPr="00D273A9">
        <w:t>Competency Field</w:t>
      </w:r>
    </w:p>
    <w:p w:rsidR="00000000" w:rsidRPr="00D273A9" w:rsidP="008C5888">
      <w:pPr>
        <w:pStyle w:val="BodyText"/>
      </w:pPr>
      <w:r w:rsidRPr="00D273A9">
        <w:t>Operations</w:t>
      </w:r>
    </w:p>
    <w:p w:rsidR="00000000" w:rsidRPr="00D273A9" w:rsidP="00D273A9">
      <w:pPr>
        <w:pStyle w:val="Heading1"/>
      </w:pPr>
      <w:bookmarkStart w:id="5" w:name="O_852111"/>
      <w:bookmarkEnd w:id="5"/>
      <w:r w:rsidRPr="00D273A9">
        <w:t>Unit Sector</w:t>
      </w:r>
    </w:p>
    <w:p w:rsidR="00000000" w:rsidRPr="00D273A9" w:rsidP="00D273A9">
      <w:pPr>
        <w:pStyle w:val="Heading1"/>
      </w:pPr>
      <w:bookmarkStart w:id="6" w:name="O_852110"/>
      <w:bookmarkEnd w:id="6"/>
      <w:r w:rsidRPr="00D273A9">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D273A9">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D273A9">
            <w:pPr>
              <w:pStyle w:val="BodyText"/>
              <w:rPr>
                <w:lang w:val="en-NZ"/>
              </w:rPr>
            </w:pPr>
            <w:r w:rsidRPr="00D273A9">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D273A9">
            <w:pPr>
              <w:pStyle w:val="BodyText"/>
              <w:rPr>
                <w:lang w:val="en-NZ"/>
              </w:rPr>
            </w:pPr>
            <w:r w:rsidRPr="00D273A9">
              <w:t>Performance criteria describe the perform</w:t>
            </w:r>
            <w:r w:rsidRPr="00D273A9">
              <w:t>ance needed to demonstrate achievement of the element</w:t>
            </w:r>
          </w:p>
        </w:tc>
      </w:tr>
      <w:tr w:rsidTr="00D273A9">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380" w:type="dxa"/>
            <w:gridSpan w:val="2"/>
            <w:tcBorders>
              <w:top w:val="nil"/>
              <w:left w:val="nil"/>
              <w:bottom w:val="nil"/>
              <w:right w:val="nil"/>
            </w:tcBorders>
            <w:tcMar>
              <w:top w:w="0" w:type="dxa"/>
              <w:left w:w="62" w:type="dxa"/>
              <w:bottom w:w="0" w:type="dxa"/>
              <w:right w:w="62" w:type="dxa"/>
            </w:tcMar>
          </w:tcPr>
          <w:p w:rsidR="00000000" w:rsidP="00D273A9">
            <w:pPr>
              <w:pStyle w:val="BodyText"/>
              <w:rPr>
                <w:lang w:val="en-NZ"/>
              </w:rPr>
            </w:pPr>
          </w:p>
        </w:tc>
      </w:tr>
      <w:tr w:rsidTr="00D273A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D273A9" w:rsidP="00D273A9">
            <w:pPr>
              <w:pStyle w:val="BodyText"/>
            </w:pPr>
            <w:r w:rsidRPr="00D273A9">
              <w:t>1</w:t>
            </w:r>
          </w:p>
        </w:tc>
        <w:tc>
          <w:tcPr>
            <w:tcW w:w="1962" w:type="dxa"/>
            <w:vMerge w:val="restart"/>
            <w:tcBorders>
              <w:top w:val="nil"/>
              <w:left w:val="nil"/>
              <w:bottom w:val="nil"/>
              <w:right w:val="nil"/>
            </w:tcBorders>
            <w:tcMar>
              <w:top w:w="0" w:type="dxa"/>
              <w:left w:w="62" w:type="dxa"/>
              <w:bottom w:w="0" w:type="dxa"/>
              <w:right w:w="62" w:type="dxa"/>
            </w:tcMar>
          </w:tcPr>
          <w:p w:rsidR="00000000" w:rsidP="00D273A9">
            <w:pPr>
              <w:pStyle w:val="BodyText"/>
              <w:rPr>
                <w:lang w:val="en-NZ"/>
              </w:rPr>
            </w:pPr>
            <w:r w:rsidRPr="00D273A9">
              <w:rPr>
                <w:rStyle w:val="SpecialBold"/>
              </w:rPr>
              <w:t>Perform general duties and tasks</w:t>
            </w:r>
          </w:p>
        </w:tc>
        <w:tc>
          <w:tcPr>
            <w:tcW w:w="770" w:type="dxa"/>
            <w:tcBorders>
              <w:top w:val="nil"/>
              <w:left w:val="nil"/>
              <w:bottom w:val="nil"/>
              <w:right w:val="nil"/>
            </w:tcBorders>
            <w:tcMar>
              <w:top w:w="0" w:type="dxa"/>
              <w:left w:w="62" w:type="dxa"/>
              <w:bottom w:w="0" w:type="dxa"/>
              <w:right w:w="62" w:type="dxa"/>
            </w:tcMar>
          </w:tcPr>
          <w:p w:rsidR="00000000" w:rsidP="00D273A9">
            <w:pPr>
              <w:pStyle w:val="BodyText"/>
              <w:rPr>
                <w:lang w:val="en-NZ"/>
              </w:rPr>
            </w:pPr>
            <w:r w:rsidRPr="00D273A9">
              <w:t>1.1</w:t>
            </w:r>
          </w:p>
        </w:tc>
        <w:tc>
          <w:tcPr>
            <w:tcW w:w="5610" w:type="dxa"/>
            <w:tcBorders>
              <w:top w:val="nil"/>
              <w:left w:val="nil"/>
              <w:bottom w:val="nil"/>
              <w:right w:val="nil"/>
            </w:tcBorders>
            <w:tcMar>
              <w:top w:w="0" w:type="dxa"/>
              <w:left w:w="62" w:type="dxa"/>
              <w:bottom w:w="0" w:type="dxa"/>
              <w:right w:w="62" w:type="dxa"/>
            </w:tcMar>
          </w:tcPr>
          <w:p w:rsidR="00000000" w:rsidP="00D273A9">
            <w:pPr>
              <w:pStyle w:val="BodyText"/>
              <w:rPr>
                <w:lang w:val="en-NZ"/>
              </w:rPr>
            </w:pPr>
            <w:r w:rsidRPr="00D273A9">
              <w:t>Perform tasks as directed</w:t>
            </w:r>
          </w:p>
        </w:tc>
      </w:tr>
      <w:tr w:rsidTr="00D273A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273A9">
            <w:pPr>
              <w:pStyle w:val="BodyText"/>
              <w:rPr>
                <w:lang w:val="en-NZ"/>
              </w:rPr>
            </w:pPr>
            <w:r w:rsidRPr="00D273A9">
              <w:t>1.2</w:t>
            </w:r>
          </w:p>
        </w:tc>
        <w:tc>
          <w:tcPr>
            <w:tcW w:w="5610" w:type="dxa"/>
            <w:tcBorders>
              <w:top w:val="nil"/>
              <w:left w:val="nil"/>
              <w:bottom w:val="nil"/>
              <w:right w:val="nil"/>
            </w:tcBorders>
            <w:tcMar>
              <w:top w:w="0" w:type="dxa"/>
              <w:left w:w="62" w:type="dxa"/>
              <w:bottom w:w="0" w:type="dxa"/>
              <w:right w:w="62" w:type="dxa"/>
            </w:tcMar>
          </w:tcPr>
          <w:p w:rsidR="00000000" w:rsidP="00D273A9">
            <w:pPr>
              <w:pStyle w:val="BodyText"/>
              <w:rPr>
                <w:lang w:val="en-NZ"/>
              </w:rPr>
            </w:pPr>
            <w:r w:rsidRPr="00D273A9">
              <w:t>Ask questions of appropriate person to confirm unusual requirements</w:t>
            </w:r>
          </w:p>
        </w:tc>
      </w:tr>
      <w:tr w:rsidTr="00D273A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273A9">
            <w:pPr>
              <w:pStyle w:val="BodyText"/>
              <w:rPr>
                <w:lang w:val="en-NZ"/>
              </w:rPr>
            </w:pPr>
            <w:r w:rsidRPr="00D273A9">
              <w:t>1.3</w:t>
            </w:r>
          </w:p>
        </w:tc>
        <w:tc>
          <w:tcPr>
            <w:tcW w:w="5610" w:type="dxa"/>
            <w:tcBorders>
              <w:top w:val="nil"/>
              <w:left w:val="nil"/>
              <w:bottom w:val="nil"/>
              <w:right w:val="nil"/>
            </w:tcBorders>
            <w:tcMar>
              <w:top w:w="0" w:type="dxa"/>
              <w:left w:w="62" w:type="dxa"/>
              <w:bottom w:w="0" w:type="dxa"/>
              <w:right w:w="62" w:type="dxa"/>
            </w:tcMar>
          </w:tcPr>
          <w:p w:rsidR="00000000" w:rsidP="00D273A9">
            <w:pPr>
              <w:pStyle w:val="BodyText"/>
              <w:rPr>
                <w:lang w:val="en-NZ"/>
              </w:rPr>
            </w:pPr>
            <w:r w:rsidRPr="00D273A9">
              <w:t>Organise relevant equipment and tools and check to confirm good working condition</w:t>
            </w:r>
          </w:p>
        </w:tc>
      </w:tr>
      <w:tr w:rsidTr="00D273A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273A9">
            <w:pPr>
              <w:pStyle w:val="BodyText"/>
              <w:rPr>
                <w:lang w:val="en-NZ"/>
              </w:rPr>
            </w:pPr>
            <w:r w:rsidRPr="00D273A9">
              <w:t>1.4</w:t>
            </w:r>
          </w:p>
        </w:tc>
        <w:tc>
          <w:tcPr>
            <w:tcW w:w="5610" w:type="dxa"/>
            <w:tcBorders>
              <w:top w:val="nil"/>
              <w:left w:val="nil"/>
              <w:bottom w:val="nil"/>
              <w:right w:val="nil"/>
            </w:tcBorders>
            <w:tcMar>
              <w:top w:w="0" w:type="dxa"/>
              <w:left w:w="62" w:type="dxa"/>
              <w:bottom w:w="0" w:type="dxa"/>
              <w:right w:w="62" w:type="dxa"/>
            </w:tcMar>
          </w:tcPr>
          <w:p w:rsidR="00000000" w:rsidP="00D273A9">
            <w:pPr>
              <w:pStyle w:val="BodyText"/>
              <w:rPr>
                <w:lang w:val="en-NZ"/>
              </w:rPr>
            </w:pPr>
            <w:r w:rsidRPr="00D273A9">
              <w:t>Identify hazards and follow specified hazard controls</w:t>
            </w:r>
          </w:p>
        </w:tc>
      </w:tr>
      <w:tr w:rsidTr="00D273A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273A9">
            <w:pPr>
              <w:pStyle w:val="BodyText"/>
              <w:rPr>
                <w:lang w:val="en-NZ"/>
              </w:rPr>
            </w:pPr>
            <w:r w:rsidRPr="00D273A9">
              <w:t>1.5</w:t>
            </w:r>
          </w:p>
        </w:tc>
        <w:tc>
          <w:tcPr>
            <w:tcW w:w="5610" w:type="dxa"/>
            <w:tcBorders>
              <w:top w:val="nil"/>
              <w:left w:val="nil"/>
              <w:bottom w:val="nil"/>
              <w:right w:val="nil"/>
            </w:tcBorders>
            <w:tcMar>
              <w:top w:w="0" w:type="dxa"/>
              <w:left w:w="62" w:type="dxa"/>
              <w:bottom w:w="0" w:type="dxa"/>
              <w:right w:w="62" w:type="dxa"/>
            </w:tcMar>
          </w:tcPr>
          <w:p w:rsidR="00000000" w:rsidRPr="00D273A9" w:rsidP="00D273A9">
            <w:pPr>
              <w:pStyle w:val="BodyText"/>
            </w:pPr>
            <w:r w:rsidRPr="00D273A9">
              <w:t>Select and use personal protective equipment (PPE), where needed, in accordance with organisation procedur</w:t>
            </w:r>
            <w:r w:rsidRPr="00D273A9">
              <w:t>es</w:t>
            </w:r>
          </w:p>
        </w:tc>
      </w:tr>
    </w:tbl>
    <w:p w:rsidR="00000000" w:rsidRPr="00D273A9" w:rsidP="00D273A9">
      <w:pPr>
        <w:pStyle w:val="BodyText"/>
      </w:pPr>
    </w:p>
    <w:tbl>
      <w:tblPr>
        <w:tblW w:w="0" w:type="auto"/>
        <w:tblLayout w:type="fixed"/>
        <w:tblCellMar>
          <w:left w:w="62" w:type="dxa"/>
          <w:right w:w="62" w:type="dxa"/>
        </w:tblCellMar>
        <w:tblLook w:val="0000"/>
      </w:tblPr>
      <w:tblGrid>
        <w:gridCol w:w="678"/>
        <w:gridCol w:w="1962"/>
        <w:gridCol w:w="770"/>
        <w:gridCol w:w="5610"/>
      </w:tblGrid>
      <w:tr w:rsidTr="00D273A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D273A9" w:rsidP="00D273A9">
            <w:pPr>
              <w:pStyle w:val="BodyText"/>
            </w:pPr>
            <w:r w:rsidRPr="00D273A9">
              <w:t>2</w:t>
            </w:r>
          </w:p>
        </w:tc>
        <w:tc>
          <w:tcPr>
            <w:tcW w:w="1962" w:type="dxa"/>
            <w:vMerge w:val="restart"/>
            <w:tcBorders>
              <w:top w:val="nil"/>
              <w:left w:val="nil"/>
              <w:bottom w:val="nil"/>
              <w:right w:val="nil"/>
            </w:tcBorders>
            <w:tcMar>
              <w:top w:w="0" w:type="dxa"/>
              <w:left w:w="62" w:type="dxa"/>
              <w:bottom w:w="0" w:type="dxa"/>
              <w:right w:w="62" w:type="dxa"/>
            </w:tcMar>
          </w:tcPr>
          <w:p w:rsidR="00000000" w:rsidP="00D273A9">
            <w:pPr>
              <w:pStyle w:val="BodyText"/>
              <w:rPr>
                <w:lang w:val="en-NZ"/>
              </w:rPr>
            </w:pPr>
            <w:r w:rsidRPr="00D273A9">
              <w:rPr>
                <w:rStyle w:val="SpecialBold"/>
              </w:rPr>
              <w:t>Transfer, remove or supply materials/ product where required</w:t>
            </w:r>
          </w:p>
        </w:tc>
        <w:tc>
          <w:tcPr>
            <w:tcW w:w="770" w:type="dxa"/>
            <w:tcBorders>
              <w:top w:val="nil"/>
              <w:left w:val="nil"/>
              <w:bottom w:val="nil"/>
              <w:right w:val="nil"/>
            </w:tcBorders>
            <w:tcMar>
              <w:top w:w="0" w:type="dxa"/>
              <w:left w:w="62" w:type="dxa"/>
              <w:bottom w:w="0" w:type="dxa"/>
              <w:right w:w="62" w:type="dxa"/>
            </w:tcMar>
          </w:tcPr>
          <w:p w:rsidR="00000000" w:rsidP="00D273A9">
            <w:pPr>
              <w:pStyle w:val="BodyText"/>
              <w:rPr>
                <w:lang w:val="en-NZ"/>
              </w:rPr>
            </w:pPr>
            <w:r w:rsidRPr="00D273A9">
              <w:t>2.1</w:t>
            </w:r>
          </w:p>
        </w:tc>
        <w:tc>
          <w:tcPr>
            <w:tcW w:w="5610" w:type="dxa"/>
            <w:tcBorders>
              <w:top w:val="nil"/>
              <w:left w:val="nil"/>
              <w:bottom w:val="nil"/>
              <w:right w:val="nil"/>
            </w:tcBorders>
            <w:tcMar>
              <w:top w:w="0" w:type="dxa"/>
              <w:left w:w="62" w:type="dxa"/>
              <w:bottom w:w="0" w:type="dxa"/>
              <w:right w:w="62" w:type="dxa"/>
            </w:tcMar>
          </w:tcPr>
          <w:p w:rsidR="00000000" w:rsidP="00D273A9">
            <w:pPr>
              <w:pStyle w:val="BodyText"/>
              <w:rPr>
                <w:lang w:val="en-NZ"/>
              </w:rPr>
            </w:pPr>
            <w:r w:rsidRPr="00D273A9">
              <w:t>Organise, confirm and record requests and tasks according to specified procedures</w:t>
            </w:r>
          </w:p>
        </w:tc>
      </w:tr>
      <w:tr w:rsidTr="00D273A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273A9">
            <w:pPr>
              <w:pStyle w:val="BodyText"/>
              <w:rPr>
                <w:lang w:val="en-NZ"/>
              </w:rPr>
            </w:pPr>
            <w:r w:rsidRPr="00D273A9">
              <w:t>2.2</w:t>
            </w:r>
          </w:p>
        </w:tc>
        <w:tc>
          <w:tcPr>
            <w:tcW w:w="5610" w:type="dxa"/>
            <w:tcBorders>
              <w:top w:val="nil"/>
              <w:left w:val="nil"/>
              <w:bottom w:val="nil"/>
              <w:right w:val="nil"/>
            </w:tcBorders>
            <w:tcMar>
              <w:top w:w="0" w:type="dxa"/>
              <w:left w:w="62" w:type="dxa"/>
              <w:bottom w:w="0" w:type="dxa"/>
              <w:right w:w="62" w:type="dxa"/>
            </w:tcMar>
          </w:tcPr>
          <w:p w:rsidR="00000000" w:rsidP="00D273A9">
            <w:pPr>
              <w:pStyle w:val="BodyText"/>
              <w:rPr>
                <w:lang w:val="en-NZ"/>
              </w:rPr>
            </w:pPr>
            <w:r w:rsidRPr="00D273A9">
              <w:t>Identify and organise appropriate equipment for transferring material where relevant</w:t>
            </w:r>
          </w:p>
        </w:tc>
      </w:tr>
      <w:tr w:rsidTr="00D273A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273A9">
            <w:pPr>
              <w:pStyle w:val="BodyText"/>
              <w:rPr>
                <w:lang w:val="en-NZ"/>
              </w:rPr>
            </w:pPr>
            <w:r w:rsidRPr="00D273A9">
              <w:t>2.3</w:t>
            </w:r>
          </w:p>
        </w:tc>
        <w:tc>
          <w:tcPr>
            <w:tcW w:w="5610" w:type="dxa"/>
            <w:tcBorders>
              <w:top w:val="nil"/>
              <w:left w:val="nil"/>
              <w:bottom w:val="nil"/>
              <w:right w:val="nil"/>
            </w:tcBorders>
            <w:tcMar>
              <w:top w:w="0" w:type="dxa"/>
              <w:left w:w="62" w:type="dxa"/>
              <w:bottom w:w="0" w:type="dxa"/>
              <w:right w:w="62" w:type="dxa"/>
            </w:tcMar>
          </w:tcPr>
          <w:p w:rsidR="00000000" w:rsidP="00D273A9">
            <w:pPr>
              <w:pStyle w:val="BodyText"/>
              <w:rPr>
                <w:lang w:val="en-NZ"/>
              </w:rPr>
            </w:pPr>
            <w:r w:rsidRPr="00D273A9">
              <w:t>Load and unload material using suitable aids</w:t>
            </w:r>
          </w:p>
        </w:tc>
      </w:tr>
      <w:tr w:rsidTr="00D273A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273A9">
            <w:pPr>
              <w:pStyle w:val="BodyText"/>
              <w:rPr>
                <w:lang w:val="en-NZ"/>
              </w:rPr>
            </w:pPr>
            <w:r w:rsidRPr="00D273A9">
              <w:t>2.4</w:t>
            </w:r>
          </w:p>
        </w:tc>
        <w:tc>
          <w:tcPr>
            <w:tcW w:w="5610" w:type="dxa"/>
            <w:tcBorders>
              <w:top w:val="nil"/>
              <w:left w:val="nil"/>
              <w:bottom w:val="nil"/>
              <w:right w:val="nil"/>
            </w:tcBorders>
            <w:tcMar>
              <w:top w:w="0" w:type="dxa"/>
              <w:left w:w="62" w:type="dxa"/>
              <w:bottom w:w="0" w:type="dxa"/>
              <w:right w:w="62" w:type="dxa"/>
            </w:tcMar>
          </w:tcPr>
          <w:p w:rsidR="00000000" w:rsidRPr="00D273A9" w:rsidP="00D273A9">
            <w:pPr>
              <w:pStyle w:val="BodyText"/>
            </w:pPr>
            <w:r w:rsidRPr="00D273A9">
              <w:t>Transfer/move material to the correct destination in a safe manner</w:t>
            </w:r>
          </w:p>
        </w:tc>
      </w:tr>
    </w:tbl>
    <w:p w:rsidR="00000000" w:rsidRPr="00D273A9" w:rsidP="00D273A9">
      <w:pPr>
        <w:pStyle w:val="BodyText"/>
      </w:pPr>
    </w:p>
    <w:tbl>
      <w:tblPr>
        <w:tblW w:w="0" w:type="auto"/>
        <w:tblLayout w:type="fixed"/>
        <w:tblCellMar>
          <w:left w:w="62" w:type="dxa"/>
          <w:right w:w="62" w:type="dxa"/>
        </w:tblCellMar>
        <w:tblLook w:val="0000"/>
      </w:tblPr>
      <w:tblGrid>
        <w:gridCol w:w="678"/>
        <w:gridCol w:w="1962"/>
        <w:gridCol w:w="770"/>
        <w:gridCol w:w="5610"/>
      </w:tblGrid>
      <w:tr w:rsidTr="00D273A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D273A9" w:rsidP="00D273A9">
            <w:pPr>
              <w:pStyle w:val="BodyText"/>
            </w:pPr>
            <w:r w:rsidRPr="00D273A9">
              <w:t>3</w:t>
            </w:r>
          </w:p>
        </w:tc>
        <w:tc>
          <w:tcPr>
            <w:tcW w:w="1962" w:type="dxa"/>
            <w:vMerge w:val="restart"/>
            <w:tcBorders>
              <w:top w:val="nil"/>
              <w:left w:val="nil"/>
              <w:bottom w:val="nil"/>
              <w:right w:val="nil"/>
            </w:tcBorders>
            <w:tcMar>
              <w:top w:w="0" w:type="dxa"/>
              <w:left w:w="62" w:type="dxa"/>
              <w:bottom w:w="0" w:type="dxa"/>
              <w:right w:w="62" w:type="dxa"/>
            </w:tcMar>
          </w:tcPr>
          <w:p w:rsidR="00000000" w:rsidP="00D273A9">
            <w:pPr>
              <w:pStyle w:val="BodyText"/>
              <w:rPr>
                <w:lang w:val="en-NZ"/>
              </w:rPr>
            </w:pPr>
            <w:r w:rsidRPr="00D273A9">
              <w:rPr>
                <w:rStyle w:val="SpecialBold"/>
              </w:rPr>
              <w:t>Perform cleaning duties associated with role</w:t>
            </w:r>
          </w:p>
        </w:tc>
        <w:tc>
          <w:tcPr>
            <w:tcW w:w="770" w:type="dxa"/>
            <w:tcBorders>
              <w:top w:val="nil"/>
              <w:left w:val="nil"/>
              <w:bottom w:val="nil"/>
              <w:right w:val="nil"/>
            </w:tcBorders>
            <w:tcMar>
              <w:top w:w="0" w:type="dxa"/>
              <w:left w:w="62" w:type="dxa"/>
              <w:bottom w:w="0" w:type="dxa"/>
              <w:right w:w="62" w:type="dxa"/>
            </w:tcMar>
          </w:tcPr>
          <w:p w:rsidR="00000000" w:rsidP="00D273A9">
            <w:pPr>
              <w:pStyle w:val="BodyText"/>
              <w:rPr>
                <w:lang w:val="en-NZ"/>
              </w:rPr>
            </w:pPr>
            <w:r w:rsidRPr="00D273A9">
              <w:t>3.1</w:t>
            </w:r>
          </w:p>
        </w:tc>
        <w:tc>
          <w:tcPr>
            <w:tcW w:w="5610" w:type="dxa"/>
            <w:tcBorders>
              <w:top w:val="nil"/>
              <w:left w:val="nil"/>
              <w:bottom w:val="nil"/>
              <w:right w:val="nil"/>
            </w:tcBorders>
            <w:tcMar>
              <w:top w:w="0" w:type="dxa"/>
              <w:left w:w="62" w:type="dxa"/>
              <w:bottom w:w="0" w:type="dxa"/>
              <w:right w:w="62" w:type="dxa"/>
            </w:tcMar>
          </w:tcPr>
          <w:p w:rsidR="00000000" w:rsidP="00D273A9">
            <w:pPr>
              <w:pStyle w:val="BodyText"/>
              <w:rPr>
                <w:lang w:val="en-NZ"/>
              </w:rPr>
            </w:pPr>
            <w:r w:rsidRPr="00D273A9">
              <w:t>Clarify cleaning duties</w:t>
            </w:r>
          </w:p>
        </w:tc>
      </w:tr>
      <w:tr w:rsidTr="00D273A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273A9">
            <w:pPr>
              <w:pStyle w:val="BodyText"/>
              <w:rPr>
                <w:lang w:val="en-NZ"/>
              </w:rPr>
            </w:pPr>
            <w:r w:rsidRPr="00D273A9">
              <w:t>3.2</w:t>
            </w:r>
          </w:p>
        </w:tc>
        <w:tc>
          <w:tcPr>
            <w:tcW w:w="5610" w:type="dxa"/>
            <w:tcBorders>
              <w:top w:val="nil"/>
              <w:left w:val="nil"/>
              <w:bottom w:val="nil"/>
              <w:right w:val="nil"/>
            </w:tcBorders>
            <w:tcMar>
              <w:top w:w="0" w:type="dxa"/>
              <w:left w:w="62" w:type="dxa"/>
              <w:bottom w:w="0" w:type="dxa"/>
              <w:right w:w="62" w:type="dxa"/>
            </w:tcMar>
          </w:tcPr>
          <w:p w:rsidR="00000000" w:rsidP="00D273A9">
            <w:pPr>
              <w:pStyle w:val="BodyText"/>
              <w:rPr>
                <w:lang w:val="en-NZ"/>
              </w:rPr>
            </w:pPr>
            <w:r w:rsidRPr="00D273A9">
              <w:t>Determine, prepare and mix appropriate cleaning equipment and chemicals/detergents for specific tasks</w:t>
            </w:r>
          </w:p>
        </w:tc>
      </w:tr>
      <w:tr w:rsidTr="00D273A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273A9">
            <w:pPr>
              <w:pStyle w:val="BodyText"/>
              <w:rPr>
                <w:lang w:val="en-NZ"/>
              </w:rPr>
            </w:pPr>
            <w:r w:rsidRPr="00D273A9">
              <w:t>3.3</w:t>
            </w:r>
          </w:p>
        </w:tc>
        <w:tc>
          <w:tcPr>
            <w:tcW w:w="5610" w:type="dxa"/>
            <w:tcBorders>
              <w:top w:val="nil"/>
              <w:left w:val="nil"/>
              <w:bottom w:val="nil"/>
              <w:right w:val="nil"/>
            </w:tcBorders>
            <w:tcMar>
              <w:top w:w="0" w:type="dxa"/>
              <w:left w:w="62" w:type="dxa"/>
              <w:bottom w:w="0" w:type="dxa"/>
              <w:right w:w="62" w:type="dxa"/>
            </w:tcMar>
          </w:tcPr>
          <w:p w:rsidR="00000000" w:rsidP="00D273A9">
            <w:pPr>
              <w:pStyle w:val="BodyText"/>
              <w:rPr>
                <w:lang w:val="en-NZ"/>
              </w:rPr>
            </w:pPr>
            <w:r w:rsidRPr="00D273A9">
              <w:t>Follow procedures for handling and storage of cleaning liquids in accordance with organisation or manufacturer specifications</w:t>
            </w:r>
          </w:p>
        </w:tc>
      </w:tr>
      <w:tr w:rsidTr="00D273A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273A9">
            <w:pPr>
              <w:pStyle w:val="BodyText"/>
              <w:rPr>
                <w:lang w:val="en-NZ"/>
              </w:rPr>
            </w:pPr>
            <w:r w:rsidRPr="00D273A9">
              <w:t>3.4</w:t>
            </w:r>
          </w:p>
        </w:tc>
        <w:tc>
          <w:tcPr>
            <w:tcW w:w="5610" w:type="dxa"/>
            <w:tcBorders>
              <w:top w:val="nil"/>
              <w:left w:val="nil"/>
              <w:bottom w:val="nil"/>
              <w:right w:val="nil"/>
            </w:tcBorders>
            <w:tcMar>
              <w:top w:w="0" w:type="dxa"/>
              <w:left w:w="62" w:type="dxa"/>
              <w:bottom w:w="0" w:type="dxa"/>
              <w:right w:w="62" w:type="dxa"/>
            </w:tcMar>
          </w:tcPr>
          <w:p w:rsidR="00000000" w:rsidRPr="00D273A9" w:rsidP="00D273A9">
            <w:pPr>
              <w:pStyle w:val="BodyText"/>
            </w:pPr>
            <w:r w:rsidRPr="00D273A9">
              <w:t>Clean as required</w:t>
            </w:r>
          </w:p>
        </w:tc>
      </w:tr>
    </w:tbl>
    <w:p w:rsidR="00000000" w:rsidRPr="00D273A9" w:rsidP="00D273A9">
      <w:pPr>
        <w:pStyle w:val="BodyText"/>
      </w:pPr>
    </w:p>
    <w:tbl>
      <w:tblPr>
        <w:tblW w:w="0" w:type="auto"/>
        <w:tblLayout w:type="fixed"/>
        <w:tblCellMar>
          <w:left w:w="62" w:type="dxa"/>
          <w:right w:w="62" w:type="dxa"/>
        </w:tblCellMar>
        <w:tblLook w:val="0000"/>
      </w:tblPr>
      <w:tblGrid>
        <w:gridCol w:w="678"/>
        <w:gridCol w:w="1962"/>
        <w:gridCol w:w="770"/>
        <w:gridCol w:w="5610"/>
      </w:tblGrid>
      <w:tr w:rsidTr="00D273A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D273A9" w:rsidP="00D273A9">
            <w:pPr>
              <w:pStyle w:val="BodyText"/>
            </w:pPr>
            <w:r w:rsidRPr="00D273A9">
              <w:t>4</w:t>
            </w:r>
          </w:p>
        </w:tc>
        <w:tc>
          <w:tcPr>
            <w:tcW w:w="1962" w:type="dxa"/>
            <w:vMerge w:val="restart"/>
            <w:tcBorders>
              <w:top w:val="nil"/>
              <w:left w:val="nil"/>
              <w:bottom w:val="nil"/>
              <w:right w:val="nil"/>
            </w:tcBorders>
            <w:tcMar>
              <w:top w:w="0" w:type="dxa"/>
              <w:left w:w="62" w:type="dxa"/>
              <w:bottom w:w="0" w:type="dxa"/>
              <w:right w:w="62" w:type="dxa"/>
            </w:tcMar>
          </w:tcPr>
          <w:p w:rsidR="00000000" w:rsidP="00D273A9">
            <w:pPr>
              <w:pStyle w:val="BodyText"/>
              <w:rPr>
                <w:lang w:val="en-NZ"/>
              </w:rPr>
            </w:pPr>
            <w:r w:rsidRPr="00D273A9">
              <w:rPr>
                <w:rStyle w:val="SpecialBold"/>
              </w:rPr>
              <w:t>Complete duties and reporting requirements</w:t>
            </w:r>
          </w:p>
        </w:tc>
        <w:tc>
          <w:tcPr>
            <w:tcW w:w="770" w:type="dxa"/>
            <w:tcBorders>
              <w:top w:val="nil"/>
              <w:left w:val="nil"/>
              <w:bottom w:val="nil"/>
              <w:right w:val="nil"/>
            </w:tcBorders>
            <w:tcMar>
              <w:top w:w="0" w:type="dxa"/>
              <w:left w:w="62" w:type="dxa"/>
              <w:bottom w:w="0" w:type="dxa"/>
              <w:right w:w="62" w:type="dxa"/>
            </w:tcMar>
          </w:tcPr>
          <w:p w:rsidR="00000000" w:rsidP="00D273A9">
            <w:pPr>
              <w:pStyle w:val="BodyText"/>
              <w:rPr>
                <w:lang w:val="en-NZ"/>
              </w:rPr>
            </w:pPr>
            <w:r w:rsidRPr="00D273A9">
              <w:t>4.1</w:t>
            </w:r>
          </w:p>
        </w:tc>
        <w:tc>
          <w:tcPr>
            <w:tcW w:w="5610" w:type="dxa"/>
            <w:tcBorders>
              <w:top w:val="nil"/>
              <w:left w:val="nil"/>
              <w:bottom w:val="nil"/>
              <w:right w:val="nil"/>
            </w:tcBorders>
            <w:tcMar>
              <w:top w:w="0" w:type="dxa"/>
              <w:left w:w="62" w:type="dxa"/>
              <w:bottom w:w="0" w:type="dxa"/>
              <w:right w:w="62" w:type="dxa"/>
            </w:tcMar>
          </w:tcPr>
          <w:p w:rsidR="00000000" w:rsidP="00D273A9">
            <w:pPr>
              <w:pStyle w:val="BodyText"/>
              <w:rPr>
                <w:lang w:val="en-NZ"/>
              </w:rPr>
            </w:pPr>
            <w:r w:rsidRPr="00D273A9">
              <w:t>Identify routine problems and take corrective actions, as required</w:t>
            </w:r>
          </w:p>
        </w:tc>
      </w:tr>
      <w:tr w:rsidTr="00D273A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273A9">
            <w:pPr>
              <w:pStyle w:val="BodyText"/>
              <w:rPr>
                <w:lang w:val="en-NZ"/>
              </w:rPr>
            </w:pPr>
            <w:r w:rsidRPr="00D273A9">
              <w:t>4.2</w:t>
            </w:r>
          </w:p>
        </w:tc>
        <w:tc>
          <w:tcPr>
            <w:tcW w:w="5610" w:type="dxa"/>
            <w:tcBorders>
              <w:top w:val="nil"/>
              <w:left w:val="nil"/>
              <w:bottom w:val="nil"/>
              <w:right w:val="nil"/>
            </w:tcBorders>
            <w:tcMar>
              <w:top w:w="0" w:type="dxa"/>
              <w:left w:w="62" w:type="dxa"/>
              <w:bottom w:w="0" w:type="dxa"/>
              <w:right w:w="62" w:type="dxa"/>
            </w:tcMar>
          </w:tcPr>
          <w:p w:rsidR="00000000" w:rsidRPr="00D273A9" w:rsidP="00D273A9">
            <w:pPr>
              <w:pStyle w:val="BodyText"/>
            </w:pPr>
            <w:r w:rsidRPr="00D273A9">
              <w:t>Complete reporting requirements in accordance with organisation procedures</w:t>
            </w:r>
          </w:p>
        </w:tc>
      </w:tr>
    </w:tbl>
    <w:p w:rsidR="00000000" w:rsidRPr="00D273A9" w:rsidP="00D273A9">
      <w:pPr>
        <w:pStyle w:val="BodyText"/>
      </w:pPr>
    </w:p>
    <w:p w:rsidR="00000000" w:rsidRPr="00D273A9" w:rsidP="00D273A9">
      <w:pPr>
        <w:pStyle w:val="AllowPageBreak"/>
      </w:pPr>
    </w:p>
    <w:p w:rsidR="00000000" w:rsidRPr="00D273A9" w:rsidP="00D273A9">
      <w:pPr>
        <w:pStyle w:val="Heading1"/>
      </w:pPr>
      <w:bookmarkStart w:id="7" w:name="O_852109"/>
      <w:bookmarkEnd w:id="7"/>
      <w:r w:rsidRPr="00D273A9">
        <w:t>Foundation Skills</w:t>
      </w:r>
    </w:p>
    <w:p w:rsidR="00000000" w:rsidRPr="00D273A9" w:rsidP="008C5888">
      <w:pPr>
        <w:pStyle w:val="BodyText"/>
      </w:pPr>
      <w:r w:rsidRPr="00D273A9">
        <w:t>This section describes those language, literacy, numeracy and employment skills that are essential to performance.</w:t>
      </w:r>
    </w:p>
    <w:p w:rsidR="00000000" w:rsidRPr="00D273A9" w:rsidP="008C5888">
      <w:pPr>
        <w:pStyle w:val="BodyText"/>
      </w:pPr>
      <w:r w:rsidRPr="00D273A9">
        <w:t>Foundation skills essential to performance are explicit in the performance criteria of this unit of competency.</w:t>
      </w:r>
    </w:p>
    <w:p w:rsidR="00000000" w:rsidRPr="00D273A9" w:rsidP="00D273A9">
      <w:pPr>
        <w:pStyle w:val="Heading1"/>
      </w:pPr>
      <w:bookmarkStart w:id="8" w:name="O_852108"/>
      <w:bookmarkEnd w:id="8"/>
      <w:r w:rsidRPr="00D273A9">
        <w:t>Range of Co</w:t>
      </w:r>
      <w:r w:rsidRPr="00D273A9">
        <w:t>nditions</w:t>
      </w:r>
    </w:p>
    <w:tbl>
      <w:tblPr>
        <w:tblW w:w="0" w:type="auto"/>
        <w:tblCellMar>
          <w:left w:w="62" w:type="dxa"/>
          <w:right w:w="62" w:type="dxa"/>
        </w:tblCellMar>
        <w:tblLook w:val="0000"/>
      </w:tblPr>
      <w:tblGrid>
        <w:gridCol w:w="2163"/>
        <w:gridCol w:w="7033"/>
      </w:tblGrid>
      <w:tr w:rsidTr="008C5888">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D273A9">
            <w:pPr>
              <w:pStyle w:val="BodyText"/>
              <w:rPr>
                <w:lang w:val="en-NZ"/>
              </w:rPr>
            </w:pPr>
            <w:r w:rsidRPr="00D273A9">
              <w:t>This field allows for different work environments and conditions that may affect performance. Essential operating conditions that may be present (depending on the work situation, needs of the candidate, accessibility of the item, and local industr</w:t>
            </w:r>
            <w:r w:rsidRPr="00D273A9">
              <w:t>y and regional contexts) are included.</w:t>
            </w:r>
          </w:p>
        </w:tc>
      </w:tr>
      <w:tr w:rsidTr="008C588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273A9">
            <w:pPr>
              <w:pStyle w:val="BodyText"/>
              <w:rPr>
                <w:lang w:val="en-NZ"/>
              </w:rPr>
            </w:pPr>
            <w:r w:rsidRPr="00D273A9">
              <w:rPr>
                <w:rStyle w:val="SpecialBold"/>
              </w:rPr>
              <w:t>Procedures</w:t>
            </w:r>
          </w:p>
        </w:tc>
        <w:tc>
          <w:tcPr>
            <w:tcW w:w="0" w:type="auto"/>
            <w:tcBorders>
              <w:top w:val="nil"/>
              <w:left w:val="nil"/>
              <w:bottom w:val="nil"/>
              <w:right w:val="nil"/>
            </w:tcBorders>
            <w:tcMar>
              <w:top w:w="0" w:type="dxa"/>
              <w:left w:w="62" w:type="dxa"/>
              <w:bottom w:w="0" w:type="dxa"/>
              <w:right w:w="62" w:type="dxa"/>
            </w:tcMar>
          </w:tcPr>
          <w:p w:rsidR="00000000" w:rsidRPr="00D273A9" w:rsidP="00D273A9">
            <w:pPr>
              <w:pStyle w:val="BodyText"/>
            </w:pPr>
            <w:r w:rsidRPr="00D273A9">
              <w:t>All operations must be performed in accordance with relevant procedures.</w:t>
            </w:r>
          </w:p>
          <w:p w:rsidR="00000000" w:rsidRPr="00D273A9" w:rsidP="00D273A9">
            <w:pPr>
              <w:pStyle w:val="BodyText"/>
            </w:pPr>
          </w:p>
          <w:p w:rsidR="00000000" w:rsidRPr="00D273A9" w:rsidP="00D273A9">
            <w:pPr>
              <w:pStyle w:val="BodyText"/>
            </w:pPr>
            <w:r w:rsidRPr="00D273A9">
              <w:t>Procedures are written, verbal, visual, computer-based or in some other form, and include one or more of the following:</w:t>
            </w:r>
          </w:p>
          <w:p w:rsidR="00000000" w:rsidRPr="00D273A9" w:rsidP="00D273A9">
            <w:pPr>
              <w:pStyle w:val="ListBullet"/>
            </w:pPr>
            <w:r w:rsidRPr="00D273A9">
              <w:t>emergency procedures</w:t>
            </w:r>
          </w:p>
          <w:p w:rsidR="00000000" w:rsidRPr="00D273A9" w:rsidP="00D273A9">
            <w:pPr>
              <w:pStyle w:val="ListBullet"/>
            </w:pPr>
            <w:r w:rsidRPr="00D273A9">
              <w:t>work instructions</w:t>
            </w:r>
          </w:p>
          <w:p w:rsidR="00000000" w:rsidRPr="00D273A9" w:rsidP="00D273A9">
            <w:pPr>
              <w:pStyle w:val="ListBullet"/>
            </w:pPr>
            <w:r w:rsidRPr="00D273A9">
              <w:t>standard operating procedures (SOPs)</w:t>
            </w:r>
          </w:p>
          <w:p w:rsidR="00000000" w:rsidRPr="00D273A9" w:rsidP="00D273A9">
            <w:pPr>
              <w:pStyle w:val="ListBullet"/>
            </w:pPr>
            <w:r w:rsidRPr="00D273A9">
              <w:t>safe work method statements (SWMS)</w:t>
            </w:r>
          </w:p>
          <w:p w:rsidR="00000000" w:rsidRPr="00D273A9" w:rsidP="00D273A9">
            <w:pPr>
              <w:pStyle w:val="ListBullet"/>
            </w:pPr>
            <w:r w:rsidRPr="00D273A9">
              <w:t>formulas/recipes</w:t>
            </w:r>
          </w:p>
          <w:p w:rsidR="00000000" w:rsidRPr="00D273A9" w:rsidP="00D273A9">
            <w:pPr>
              <w:pStyle w:val="ListBullet"/>
            </w:pPr>
            <w:r w:rsidRPr="00D273A9">
              <w:t>batch sheets</w:t>
            </w:r>
          </w:p>
          <w:p w:rsidR="00000000" w:rsidRPr="00D273A9" w:rsidP="00D273A9">
            <w:pPr>
              <w:pStyle w:val="ListBullet"/>
            </w:pPr>
            <w:r w:rsidRPr="00D273A9">
              <w:t>temporary instructions</w:t>
            </w:r>
          </w:p>
          <w:p w:rsidR="00000000" w:rsidRPr="00D273A9" w:rsidP="00D273A9">
            <w:pPr>
              <w:pStyle w:val="ListBullet"/>
            </w:pPr>
            <w:r w:rsidRPr="00D273A9">
              <w:t>any similar instructions provided for the smooth running of the plant</w:t>
            </w:r>
          </w:p>
          <w:p w:rsidR="00000000" w:rsidP="00D273A9">
            <w:pPr>
              <w:pStyle w:val="BodyText"/>
              <w:rPr>
                <w:lang w:val="en-NZ"/>
              </w:rPr>
            </w:pPr>
          </w:p>
        </w:tc>
      </w:tr>
      <w:tr w:rsidTr="008C588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273A9">
            <w:pPr>
              <w:pStyle w:val="BodyText"/>
              <w:rPr>
                <w:lang w:val="en-NZ"/>
              </w:rPr>
            </w:pPr>
            <w:r w:rsidRPr="00D273A9">
              <w:rPr>
                <w:rStyle w:val="SpecialBold"/>
              </w:rPr>
              <w:t>Tools and equipment</w:t>
            </w:r>
          </w:p>
        </w:tc>
        <w:tc>
          <w:tcPr>
            <w:tcW w:w="0" w:type="auto"/>
            <w:tcBorders>
              <w:top w:val="nil"/>
              <w:left w:val="nil"/>
              <w:bottom w:val="nil"/>
              <w:right w:val="nil"/>
            </w:tcBorders>
            <w:tcMar>
              <w:top w:w="0" w:type="dxa"/>
              <w:left w:w="62" w:type="dxa"/>
              <w:bottom w:w="0" w:type="dxa"/>
              <w:right w:w="62" w:type="dxa"/>
            </w:tcMar>
          </w:tcPr>
          <w:p w:rsidR="00000000" w:rsidRPr="00D273A9" w:rsidP="00D273A9">
            <w:pPr>
              <w:pStyle w:val="BodyText"/>
            </w:pPr>
            <w:r w:rsidRPr="00D273A9">
              <w:t>Tools and equipment include one or more of the following:</w:t>
            </w:r>
          </w:p>
          <w:p w:rsidR="00000000" w:rsidRPr="00D273A9" w:rsidP="00D273A9">
            <w:pPr>
              <w:pStyle w:val="ListBullet"/>
            </w:pPr>
            <w:r w:rsidRPr="00D273A9">
              <w:t>cleaning equipment</w:t>
            </w:r>
          </w:p>
          <w:p w:rsidR="00000000" w:rsidRPr="00D273A9" w:rsidP="00D273A9">
            <w:pPr>
              <w:pStyle w:val="ListBullet"/>
            </w:pPr>
            <w:r w:rsidRPr="00D273A9">
              <w:t xml:space="preserve">detergents and other chemicals </w:t>
            </w:r>
          </w:p>
          <w:p w:rsidR="00000000" w:rsidRPr="00D273A9" w:rsidP="00D273A9">
            <w:pPr>
              <w:pStyle w:val="ListBullet"/>
            </w:pPr>
            <w:r w:rsidRPr="00D273A9">
              <w:t>simple hand and power tools</w:t>
            </w:r>
          </w:p>
          <w:p w:rsidR="00000000" w:rsidRPr="00D273A9" w:rsidP="00D273A9">
            <w:pPr>
              <w:pStyle w:val="ListBullet"/>
            </w:pPr>
            <w:r w:rsidRPr="00D273A9">
              <w:t>hand trolleys pallet trucks</w:t>
            </w:r>
          </w:p>
          <w:p w:rsidR="00000000" w:rsidRPr="00D273A9" w:rsidP="00D273A9">
            <w:pPr>
              <w:pStyle w:val="BodyText"/>
            </w:pPr>
          </w:p>
          <w:p w:rsidR="00000000" w:rsidP="00D273A9">
            <w:pPr>
              <w:pStyle w:val="BodyText"/>
              <w:rPr>
                <w:lang w:val="en-NZ"/>
              </w:rPr>
            </w:pPr>
            <w:r w:rsidRPr="00D273A9">
              <w:t>Note that production equipment and complex equipment, such as forklifts, overhead cranes or front-end loaders, are not covered by this unit.</w:t>
            </w:r>
          </w:p>
        </w:tc>
      </w:tr>
      <w:tr w:rsidTr="008C588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273A9">
            <w:pPr>
              <w:pStyle w:val="BodyText"/>
              <w:rPr>
                <w:lang w:val="en-NZ"/>
              </w:rPr>
            </w:pPr>
            <w:r w:rsidRPr="00D273A9">
              <w:rPr>
                <w:rStyle w:val="SpecialBold"/>
              </w:rPr>
              <w:t>Loading and unloading aids</w:t>
            </w:r>
          </w:p>
        </w:tc>
        <w:tc>
          <w:tcPr>
            <w:tcW w:w="0" w:type="auto"/>
            <w:tcBorders>
              <w:top w:val="nil"/>
              <w:left w:val="nil"/>
              <w:bottom w:val="nil"/>
              <w:right w:val="nil"/>
            </w:tcBorders>
            <w:tcMar>
              <w:top w:w="0" w:type="dxa"/>
              <w:left w:w="62" w:type="dxa"/>
              <w:bottom w:w="0" w:type="dxa"/>
              <w:right w:w="62" w:type="dxa"/>
            </w:tcMar>
          </w:tcPr>
          <w:p w:rsidR="00000000" w:rsidRPr="00D273A9" w:rsidP="00D273A9">
            <w:pPr>
              <w:pStyle w:val="BodyText"/>
            </w:pPr>
            <w:r w:rsidRPr="00D273A9">
              <w:t>Loading and unloading aids include equipment other than regulated load shifting equipme</w:t>
            </w:r>
            <w:r w:rsidRPr="00D273A9">
              <w:t>nt.</w:t>
            </w:r>
          </w:p>
          <w:p w:rsidR="00000000" w:rsidP="00D273A9">
            <w:pPr>
              <w:pStyle w:val="BodyText"/>
              <w:rPr>
                <w:lang w:val="en-NZ"/>
              </w:rPr>
            </w:pPr>
            <w:r w:rsidRPr="00D273A9">
              <w:t xml:space="preserve">Loading and unloading aids must conform to materials handling requirements, safe work practices and manual handling techniques and workplace procedures. </w:t>
            </w:r>
          </w:p>
        </w:tc>
      </w:tr>
      <w:tr w:rsidTr="008C588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273A9">
            <w:pPr>
              <w:pStyle w:val="BodyText"/>
              <w:rPr>
                <w:lang w:val="en-NZ"/>
              </w:rPr>
            </w:pPr>
            <w:r w:rsidRPr="00D273A9">
              <w:rPr>
                <w:rStyle w:val="SpecialBold"/>
              </w:rPr>
              <w:t>Hazards</w:t>
            </w:r>
          </w:p>
        </w:tc>
        <w:tc>
          <w:tcPr>
            <w:tcW w:w="0" w:type="auto"/>
            <w:tcBorders>
              <w:top w:val="nil"/>
              <w:left w:val="nil"/>
              <w:bottom w:val="nil"/>
              <w:right w:val="nil"/>
            </w:tcBorders>
            <w:tcMar>
              <w:top w:w="0" w:type="dxa"/>
              <w:left w:w="62" w:type="dxa"/>
              <w:bottom w:w="0" w:type="dxa"/>
              <w:right w:w="62" w:type="dxa"/>
            </w:tcMar>
          </w:tcPr>
          <w:p w:rsidR="00000000" w:rsidRPr="00D273A9" w:rsidP="00D273A9">
            <w:pPr>
              <w:pStyle w:val="BodyText"/>
            </w:pPr>
            <w:r w:rsidRPr="00D273A9">
              <w:t>Hazards include one or more of the following:</w:t>
            </w:r>
          </w:p>
          <w:p w:rsidR="00000000" w:rsidRPr="00D273A9" w:rsidP="00D273A9">
            <w:pPr>
              <w:pStyle w:val="ListBullet"/>
            </w:pPr>
            <w:r w:rsidRPr="00D273A9">
              <w:t>manual handling injuries</w:t>
            </w:r>
          </w:p>
          <w:p w:rsidR="00000000" w:rsidRPr="00D273A9" w:rsidP="00D273A9">
            <w:pPr>
              <w:pStyle w:val="ListBullet"/>
            </w:pPr>
            <w:r w:rsidRPr="00D273A9">
              <w:t>slip/trip hazards</w:t>
            </w:r>
          </w:p>
          <w:p w:rsidR="00000000" w:rsidRPr="00D273A9" w:rsidP="00D273A9">
            <w:pPr>
              <w:pStyle w:val="ListBullet"/>
            </w:pPr>
            <w:r w:rsidRPr="00D273A9">
              <w:t>smoke, darkness and heat</w:t>
            </w:r>
          </w:p>
          <w:p w:rsidR="00000000" w:rsidRPr="00D273A9" w:rsidP="00D273A9">
            <w:pPr>
              <w:pStyle w:val="ListBullet"/>
            </w:pPr>
            <w:r w:rsidRPr="00D273A9">
              <w:t>heat, smoke, dust or other atmospheric hazards</w:t>
            </w:r>
          </w:p>
          <w:p w:rsidR="00000000" w:rsidRPr="00D273A9" w:rsidP="00D273A9">
            <w:pPr>
              <w:pStyle w:val="ListBullet"/>
            </w:pPr>
            <w:r w:rsidRPr="00D273A9">
              <w:t>electricity</w:t>
            </w:r>
          </w:p>
          <w:p w:rsidR="00000000" w:rsidRPr="00D273A9" w:rsidP="00D273A9">
            <w:pPr>
              <w:pStyle w:val="ListBullet"/>
            </w:pPr>
            <w:r w:rsidRPr="00D273A9">
              <w:t>gas</w:t>
            </w:r>
          </w:p>
          <w:p w:rsidR="00000000" w:rsidRPr="00D273A9" w:rsidP="00D273A9">
            <w:pPr>
              <w:pStyle w:val="ListBullet"/>
            </w:pPr>
            <w:r w:rsidRPr="00D273A9">
              <w:t xml:space="preserve">gases and liquids under pressure </w:t>
            </w:r>
          </w:p>
          <w:p w:rsidR="00000000" w:rsidRPr="00D273A9" w:rsidP="00D273A9">
            <w:pPr>
              <w:pStyle w:val="ListBullet"/>
            </w:pPr>
            <w:r w:rsidRPr="00D273A9">
              <w:t>structural hazards</w:t>
            </w:r>
          </w:p>
          <w:p w:rsidR="00000000" w:rsidRPr="00D273A9" w:rsidP="00D273A9">
            <w:pPr>
              <w:pStyle w:val="ListBullet"/>
            </w:pPr>
            <w:r w:rsidRPr="00D273A9">
              <w:t>structural collapse</w:t>
            </w:r>
          </w:p>
          <w:p w:rsidR="00000000" w:rsidRPr="00D273A9" w:rsidP="00D273A9">
            <w:pPr>
              <w:pStyle w:val="ListBullet"/>
            </w:pPr>
            <w:r w:rsidRPr="00D273A9">
              <w:t>equipment failures</w:t>
            </w:r>
          </w:p>
          <w:p w:rsidR="00000000" w:rsidRPr="00D273A9" w:rsidP="00D273A9">
            <w:pPr>
              <w:pStyle w:val="ListBullet"/>
            </w:pPr>
            <w:r w:rsidRPr="00D273A9">
              <w:t>industrial (machinery, equipment and product)</w:t>
            </w:r>
          </w:p>
          <w:p w:rsidR="00000000" w:rsidRPr="00D273A9" w:rsidP="00D273A9">
            <w:pPr>
              <w:pStyle w:val="ListBullet"/>
            </w:pPr>
            <w:r w:rsidRPr="00D273A9">
              <w:t>equipment or product mass</w:t>
            </w:r>
          </w:p>
          <w:p w:rsidR="00000000" w:rsidRPr="00D273A9" w:rsidP="00D273A9">
            <w:pPr>
              <w:pStyle w:val="ListBullet"/>
            </w:pPr>
            <w:r w:rsidRPr="00D273A9">
              <w:t>noise, rotational equipment or vibration</w:t>
            </w:r>
          </w:p>
          <w:p w:rsidR="00000000" w:rsidRPr="00D273A9" w:rsidP="00D273A9">
            <w:pPr>
              <w:pStyle w:val="ListBullet"/>
            </w:pPr>
            <w:r w:rsidRPr="00D273A9">
              <w:t xml:space="preserve">limited head spaces or overhangs </w:t>
            </w:r>
          </w:p>
          <w:p w:rsidR="00000000" w:rsidRPr="00D273A9" w:rsidP="00D273A9">
            <w:pPr>
              <w:pStyle w:val="ListBullet"/>
            </w:pPr>
            <w:r w:rsidRPr="00D273A9">
              <w:t>working at heights, in restricted or confined spaces, or in environments subjected to heat, noise, dusts or vapours</w:t>
            </w:r>
          </w:p>
          <w:p w:rsidR="00000000" w:rsidRPr="00D273A9" w:rsidP="00D273A9">
            <w:pPr>
              <w:pStyle w:val="ListBullet"/>
            </w:pPr>
            <w:r w:rsidRPr="00D273A9">
              <w:t xml:space="preserve">fire and explosion </w:t>
            </w:r>
          </w:p>
          <w:p w:rsidR="00000000" w:rsidRPr="00D273A9" w:rsidP="00D273A9">
            <w:pPr>
              <w:pStyle w:val="ListBullet"/>
            </w:pPr>
            <w:r w:rsidRPr="00D273A9">
              <w:t>flammability and explosivity</w:t>
            </w:r>
          </w:p>
          <w:p w:rsidR="00000000" w:rsidRPr="00D273A9" w:rsidP="00D273A9">
            <w:pPr>
              <w:pStyle w:val="ListBullet"/>
            </w:pPr>
            <w:r w:rsidRPr="00D273A9">
              <w:t>hazardous produc</w:t>
            </w:r>
            <w:r w:rsidRPr="00D273A9">
              <w:t>ts and materials</w:t>
            </w:r>
          </w:p>
          <w:p w:rsidR="00000000" w:rsidRPr="00D273A9" w:rsidP="00D273A9">
            <w:pPr>
              <w:pStyle w:val="ListBullet"/>
            </w:pPr>
            <w:r w:rsidRPr="00D273A9">
              <w:t>unauthorised personnel</w:t>
            </w:r>
          </w:p>
          <w:p w:rsidR="00000000" w:rsidRPr="00D273A9" w:rsidP="00D273A9">
            <w:pPr>
              <w:pStyle w:val="ListBullet"/>
            </w:pPr>
            <w:r w:rsidRPr="00D273A9">
              <w:t>sharp edges, protrusions or obstructions</w:t>
            </w:r>
          </w:p>
          <w:p w:rsidR="00000000" w:rsidRPr="00D273A9" w:rsidP="00D273A9">
            <w:pPr>
              <w:pStyle w:val="ListBullet"/>
            </w:pPr>
            <w:r w:rsidRPr="00D273A9">
              <w:t>slippery surfaces, spills or leaks</w:t>
            </w:r>
          </w:p>
          <w:p w:rsidR="00000000" w:rsidRPr="00D273A9" w:rsidP="00D273A9">
            <w:pPr>
              <w:pStyle w:val="ListBullet"/>
            </w:pPr>
            <w:r w:rsidRPr="00D273A9">
              <w:t>extreme weather</w:t>
            </w:r>
          </w:p>
          <w:p w:rsidR="00000000" w:rsidRPr="00D273A9" w:rsidP="00D273A9">
            <w:pPr>
              <w:pStyle w:val="ListBullet"/>
            </w:pPr>
            <w:r w:rsidRPr="00D273A9">
              <w:t>other hazards that might arise</w:t>
            </w:r>
          </w:p>
          <w:p w:rsidR="00000000" w:rsidP="00D273A9">
            <w:pPr>
              <w:pStyle w:val="BodyText"/>
              <w:rPr>
                <w:lang w:val="en-NZ"/>
              </w:rPr>
            </w:pPr>
          </w:p>
        </w:tc>
      </w:tr>
      <w:tr w:rsidTr="008C588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273A9">
            <w:pPr>
              <w:pStyle w:val="BodyText"/>
              <w:rPr>
                <w:lang w:val="en-NZ"/>
              </w:rPr>
            </w:pPr>
            <w:r w:rsidRPr="00D273A9">
              <w:rPr>
                <w:rStyle w:val="SpecialBold"/>
              </w:rPr>
              <w:t>Routine problems</w:t>
            </w:r>
          </w:p>
        </w:tc>
        <w:tc>
          <w:tcPr>
            <w:tcW w:w="0" w:type="auto"/>
            <w:tcBorders>
              <w:top w:val="nil"/>
              <w:left w:val="nil"/>
              <w:bottom w:val="nil"/>
              <w:right w:val="nil"/>
            </w:tcBorders>
            <w:tcMar>
              <w:top w:w="0" w:type="dxa"/>
              <w:left w:w="62" w:type="dxa"/>
              <w:bottom w:w="0" w:type="dxa"/>
              <w:right w:w="62" w:type="dxa"/>
            </w:tcMar>
          </w:tcPr>
          <w:p w:rsidR="00000000" w:rsidRPr="00D273A9" w:rsidP="00D273A9">
            <w:pPr>
              <w:pStyle w:val="BodyText"/>
            </w:pPr>
            <w:r w:rsidRPr="00D273A9">
              <w:t>Routine problems must be reported and corrective action taken according to relevant procedures.</w:t>
            </w:r>
          </w:p>
          <w:p w:rsidR="00000000" w:rsidRPr="00D273A9" w:rsidP="00D273A9">
            <w:pPr>
              <w:pStyle w:val="BodyText"/>
            </w:pPr>
            <w:r w:rsidRPr="00D273A9">
              <w:t>Routine problems include one or more of the following:</w:t>
            </w:r>
          </w:p>
          <w:p w:rsidR="00000000" w:rsidRPr="00D273A9" w:rsidP="00D273A9">
            <w:pPr>
              <w:pStyle w:val="ListBullet"/>
            </w:pPr>
            <w:r w:rsidRPr="00D273A9">
              <w:t>difficult access to the work area</w:t>
            </w:r>
          </w:p>
          <w:p w:rsidR="00000000" w:rsidRPr="00D273A9" w:rsidP="00D273A9">
            <w:pPr>
              <w:pStyle w:val="ListBullet"/>
            </w:pPr>
            <w:r w:rsidRPr="00D273A9">
              <w:t>awkward work spaces</w:t>
            </w:r>
          </w:p>
          <w:p w:rsidR="00000000" w:rsidRPr="00D273A9" w:rsidP="00D273A9">
            <w:pPr>
              <w:pStyle w:val="ListBullet"/>
            </w:pPr>
            <w:r w:rsidRPr="00D273A9">
              <w:t>tool failures or breakages</w:t>
            </w:r>
          </w:p>
          <w:p w:rsidR="00000000" w:rsidRPr="00D273A9" w:rsidP="00D273A9">
            <w:pPr>
              <w:pStyle w:val="ListBullet"/>
            </w:pPr>
            <w:r w:rsidRPr="00D273A9">
              <w:t>defective equipment</w:t>
            </w:r>
          </w:p>
          <w:p w:rsidR="00000000" w:rsidRPr="00D273A9" w:rsidP="00D273A9">
            <w:pPr>
              <w:pStyle w:val="ListBullet"/>
            </w:pPr>
            <w:r w:rsidRPr="00D273A9">
              <w:t>inc</w:t>
            </w:r>
            <w:r w:rsidRPr="00D273A9">
              <w:t>orrect or defective materials</w:t>
            </w:r>
          </w:p>
          <w:p w:rsidR="00000000" w:rsidRPr="00D273A9" w:rsidP="00D273A9">
            <w:pPr>
              <w:pStyle w:val="ListBullet"/>
            </w:pPr>
            <w:r w:rsidRPr="00D273A9">
              <w:t>wrong quantities of materials</w:t>
            </w:r>
          </w:p>
          <w:p w:rsidR="00000000" w:rsidP="00D273A9">
            <w:pPr>
              <w:pStyle w:val="BodyText"/>
              <w:rPr>
                <w:lang w:val="en-NZ"/>
              </w:rPr>
            </w:pPr>
          </w:p>
        </w:tc>
      </w:tr>
      <w:tr w:rsidTr="008C588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273A9">
            <w:pPr>
              <w:pStyle w:val="BodyText"/>
              <w:rPr>
                <w:lang w:val="en-NZ"/>
              </w:rPr>
            </w:pPr>
            <w:r w:rsidRPr="00D273A9">
              <w:rPr>
                <w:rStyle w:val="SpecialBold"/>
              </w:rPr>
              <w:t>Corrective actions</w:t>
            </w:r>
          </w:p>
        </w:tc>
        <w:tc>
          <w:tcPr>
            <w:tcW w:w="0" w:type="auto"/>
            <w:tcBorders>
              <w:top w:val="nil"/>
              <w:left w:val="nil"/>
              <w:bottom w:val="nil"/>
              <w:right w:val="nil"/>
            </w:tcBorders>
            <w:tcMar>
              <w:top w:w="0" w:type="dxa"/>
              <w:left w:w="62" w:type="dxa"/>
              <w:bottom w:w="0" w:type="dxa"/>
              <w:right w:w="62" w:type="dxa"/>
            </w:tcMar>
          </w:tcPr>
          <w:p w:rsidR="00000000" w:rsidRPr="00D273A9" w:rsidP="00D273A9">
            <w:pPr>
              <w:pStyle w:val="BodyText"/>
            </w:pPr>
            <w:r w:rsidRPr="00D273A9">
              <w:t>Corrective actions include one or more of:</w:t>
            </w:r>
          </w:p>
          <w:p w:rsidR="00000000" w:rsidRPr="00D273A9" w:rsidP="00D273A9">
            <w:pPr>
              <w:pStyle w:val="ListBullet"/>
            </w:pPr>
            <w:r w:rsidRPr="00D273A9">
              <w:t>reporting to an appropriate person</w:t>
            </w:r>
          </w:p>
          <w:p w:rsidR="00000000" w:rsidP="00D273A9">
            <w:pPr>
              <w:pStyle w:val="ListBullet"/>
              <w:rPr>
                <w:lang w:val="en-NZ"/>
              </w:rPr>
            </w:pPr>
            <w:r w:rsidRPr="00D273A9">
              <w:t>taking action specified in the procedure</w:t>
            </w:r>
          </w:p>
        </w:tc>
      </w:tr>
      <w:tr w:rsidTr="008C588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273A9">
            <w:pPr>
              <w:pStyle w:val="BodyText"/>
              <w:rPr>
                <w:lang w:val="en-NZ"/>
              </w:rPr>
            </w:pPr>
            <w:r w:rsidRPr="00D273A9">
              <w:rPr>
                <w:rStyle w:val="SpecialBold"/>
              </w:rPr>
              <w:t>Appropriate personnel</w:t>
            </w:r>
          </w:p>
        </w:tc>
        <w:tc>
          <w:tcPr>
            <w:tcW w:w="0" w:type="auto"/>
            <w:tcBorders>
              <w:top w:val="nil"/>
              <w:left w:val="nil"/>
              <w:bottom w:val="nil"/>
              <w:right w:val="nil"/>
            </w:tcBorders>
            <w:tcMar>
              <w:top w:w="0" w:type="dxa"/>
              <w:left w:w="62" w:type="dxa"/>
              <w:bottom w:w="0" w:type="dxa"/>
              <w:right w:w="62" w:type="dxa"/>
            </w:tcMar>
          </w:tcPr>
          <w:p w:rsidR="00000000" w:rsidRPr="00D273A9" w:rsidP="00D273A9">
            <w:pPr>
              <w:pStyle w:val="BodyText"/>
            </w:pPr>
            <w:r w:rsidRPr="00D273A9">
              <w:t>Appropriate personnel includes one or more of:</w:t>
            </w:r>
          </w:p>
          <w:p w:rsidR="00000000" w:rsidRPr="00D273A9" w:rsidP="00D273A9">
            <w:pPr>
              <w:pStyle w:val="ListBullet"/>
            </w:pPr>
            <w:r w:rsidRPr="00D273A9">
              <w:t>supervisor</w:t>
            </w:r>
          </w:p>
          <w:p w:rsidR="00000000" w:rsidRPr="00D273A9" w:rsidP="00D273A9">
            <w:pPr>
              <w:pStyle w:val="ListBullet"/>
            </w:pPr>
            <w:r w:rsidRPr="00D273A9">
              <w:t>more senior operator</w:t>
            </w:r>
          </w:p>
          <w:p w:rsidR="00000000" w:rsidRPr="00D273A9" w:rsidP="00D273A9">
            <w:pPr>
              <w:pStyle w:val="ListBullet"/>
            </w:pPr>
            <w:r w:rsidRPr="00D273A9">
              <w:t>other designated personnel</w:t>
            </w:r>
          </w:p>
          <w:p w:rsidR="00000000" w:rsidRPr="00D273A9" w:rsidP="00D273A9">
            <w:pPr>
              <w:pStyle w:val="BodyText"/>
            </w:pPr>
          </w:p>
        </w:tc>
      </w:tr>
    </w:tbl>
    <w:p w:rsidR="00000000" w:rsidRPr="00D273A9" w:rsidP="00D273A9">
      <w:pPr>
        <w:pStyle w:val="BodyText"/>
      </w:pPr>
    </w:p>
    <w:p w:rsidR="00000000" w:rsidRPr="00D273A9" w:rsidP="00D273A9">
      <w:pPr>
        <w:pStyle w:val="AllowPageBreak"/>
      </w:pPr>
    </w:p>
    <w:p w:rsidR="00000000" w:rsidRPr="00D273A9" w:rsidP="00D273A9">
      <w:pPr>
        <w:pStyle w:val="Heading1"/>
      </w:pPr>
      <w:bookmarkStart w:id="9" w:name="O_852107"/>
      <w:bookmarkEnd w:id="9"/>
      <w:r w:rsidRPr="00D273A9">
        <w:t>Unit Mapping Information</w:t>
      </w:r>
    </w:p>
    <w:p w:rsidR="00000000" w:rsidRPr="00D273A9" w:rsidP="008C5888">
      <w:pPr>
        <w:pStyle w:val="BodyText"/>
      </w:pPr>
      <w:r w:rsidRPr="00D273A9">
        <w:t>Release 1. Supersedes and is equivalent to MSAPMOPS102A Perform tasks to support production</w:t>
      </w:r>
    </w:p>
    <w:p w:rsidR="00000000" w:rsidRPr="00D273A9" w:rsidP="00D273A9">
      <w:pPr>
        <w:pStyle w:val="Heading1"/>
      </w:pPr>
      <w:bookmarkStart w:id="10" w:name="O_852100"/>
      <w:bookmarkEnd w:id="10"/>
      <w:r w:rsidRPr="00D273A9">
        <w:t>Links</w:t>
      </w:r>
    </w:p>
    <w:p w:rsidR="00000000" w:rsidRPr="00D273A9" w:rsidP="008C5888">
      <w:pPr>
        <w:pStyle w:val="BodyText"/>
      </w:pPr>
      <w:r w:rsidRPr="00D273A9">
        <w:t xml:space="preserve">Companion Volume implementation guides are found in VETNet - </w:t>
      </w:r>
      <w:r>
        <w:fldChar w:fldCharType="begin"/>
      </w:r>
      <w:r>
        <w:instrText xml:space="preserve"> HYPERLINK "https://vetnet.gov.au/Pages/TrainingDocs.aspx?q=d1287d36-dff4-4e9f-ad2c-9d6270054027" </w:instrText>
      </w:r>
      <w:r>
        <w:fldChar w:fldCharType="separate"/>
      </w:r>
      <w:r w:rsidRPr="00252A58">
        <w:rPr>
          <w:rStyle w:val="Hyperlink"/>
        </w:rPr>
        <w:t>https://vetnet.gov.au/Pages/TrainingDocs.aspx?q=d1287d36-dff4-4e9f-ad2c-9d6270054027</w:t>
      </w:r>
      <w:r>
        <w:fldChar w:fldCharType="end"/>
      </w:r>
    </w:p>
    <w:p w:rsidR="00000000" w:rsidRPr="00D273A9" w:rsidP="00D273A9"/>
    <w:sectPr w:rsidSect="00D273A9">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73A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73A9" w:rsidRPr="008C5888" w:rsidP="008C588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73A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5888" w:rsidP="00D273A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C5888" w:rsidP="00D273A9">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8C5888" w:rsidP="00D273A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73A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588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273A9" w:rsidRPr="008C5888" w:rsidP="008C588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73A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5888" w:rsidRPr="002D2AF8" w:rsidP="00D273A9">
    <w:pPr>
      <w:pStyle w:val="Header"/>
      <w:framePr w:wrap="around"/>
    </w:pPr>
    <w:r>
      <w:fldChar w:fldCharType="begin"/>
    </w:r>
    <w:r>
      <w:instrText xml:space="preserve"> TITLE   \* MERGEFORMAT </w:instrText>
    </w:r>
    <w:r>
      <w:fldChar w:fldCharType="separate"/>
    </w:r>
    <w:r>
      <w:t>MSMOPS102 Perform tasks to support production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April 2024</w:t>
    </w:r>
    <w:r>
      <w:fldChar w:fldCharType="end"/>
    </w:r>
  </w:p>
  <w:p w:rsidR="008C5888" w:rsidP="00D273A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38CFD8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8C8A11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273A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273A9"/>
    <w:pPr>
      <w:spacing w:before="360" w:after="60"/>
      <w:outlineLvl w:val="0"/>
    </w:pPr>
    <w:rPr>
      <w:sz w:val="32"/>
    </w:rPr>
  </w:style>
  <w:style w:type="paragraph" w:styleId="Heading2">
    <w:name w:val="heading 2"/>
    <w:basedOn w:val="HeadingBase"/>
    <w:next w:val="BodyText"/>
    <w:link w:val="Heading2Char"/>
    <w:qFormat/>
    <w:rsid w:val="00D273A9"/>
    <w:pPr>
      <w:keepLines/>
      <w:spacing w:before="240" w:after="120"/>
      <w:outlineLvl w:val="1"/>
    </w:pPr>
    <w:rPr>
      <w:sz w:val="28"/>
      <w:szCs w:val="40"/>
    </w:rPr>
  </w:style>
  <w:style w:type="paragraph" w:styleId="Heading3">
    <w:name w:val="heading 3"/>
    <w:basedOn w:val="HeadingBase"/>
    <w:next w:val="BodyText"/>
    <w:link w:val="Heading3Char"/>
    <w:qFormat/>
    <w:rsid w:val="00D273A9"/>
    <w:pPr>
      <w:spacing w:before="180" w:after="120"/>
      <w:outlineLvl w:val="2"/>
    </w:pPr>
    <w:rPr>
      <w:spacing w:val="-10"/>
      <w:kern w:val="32"/>
    </w:rPr>
  </w:style>
  <w:style w:type="paragraph" w:styleId="Heading4">
    <w:name w:val="heading 4"/>
    <w:basedOn w:val="HeadingBase"/>
    <w:next w:val="BodyText"/>
    <w:link w:val="Heading4Char"/>
    <w:qFormat/>
    <w:rsid w:val="00D273A9"/>
    <w:pPr>
      <w:spacing w:before="160" w:after="120"/>
      <w:outlineLvl w:val="3"/>
    </w:pPr>
    <w:rPr>
      <w:sz w:val="22"/>
    </w:rPr>
  </w:style>
  <w:style w:type="paragraph" w:styleId="Heading5">
    <w:name w:val="heading 5"/>
    <w:basedOn w:val="HeadingBase"/>
    <w:next w:val="Normal"/>
    <w:link w:val="Heading5Char"/>
    <w:qFormat/>
    <w:rsid w:val="00D273A9"/>
    <w:pPr>
      <w:spacing w:before="80"/>
      <w:outlineLvl w:val="4"/>
    </w:pPr>
    <w:rPr>
      <w:color w:val="918585"/>
      <w:sz w:val="20"/>
    </w:rPr>
  </w:style>
  <w:style w:type="paragraph" w:styleId="Heading6">
    <w:name w:val="heading 6"/>
    <w:basedOn w:val="HeadingBase"/>
    <w:next w:val="Normal"/>
    <w:link w:val="Heading6Char"/>
    <w:qFormat/>
    <w:rsid w:val="00D273A9"/>
    <w:pPr>
      <w:spacing w:before="60"/>
      <w:outlineLvl w:val="5"/>
    </w:pPr>
    <w:rPr>
      <w:color w:val="918585"/>
      <w:sz w:val="20"/>
    </w:rPr>
  </w:style>
  <w:style w:type="paragraph" w:styleId="Heading7">
    <w:name w:val="heading 7"/>
    <w:basedOn w:val="Normal"/>
    <w:next w:val="Normal"/>
    <w:link w:val="Heading7Char"/>
    <w:qFormat/>
    <w:rsid w:val="00D273A9"/>
    <w:pPr>
      <w:ind w:left="720"/>
      <w:outlineLvl w:val="6"/>
    </w:pPr>
    <w:rPr>
      <w:i/>
    </w:rPr>
  </w:style>
  <w:style w:type="paragraph" w:styleId="Heading8">
    <w:name w:val="heading 8"/>
    <w:basedOn w:val="Normal"/>
    <w:next w:val="Normal"/>
    <w:link w:val="Heading8Char"/>
    <w:qFormat/>
    <w:rsid w:val="00D273A9"/>
    <w:pPr>
      <w:ind w:left="720"/>
      <w:outlineLvl w:val="7"/>
    </w:pPr>
    <w:rPr>
      <w:i/>
    </w:rPr>
  </w:style>
  <w:style w:type="paragraph" w:styleId="Heading9">
    <w:name w:val="heading 9"/>
    <w:basedOn w:val="Normal"/>
    <w:next w:val="Normal"/>
    <w:link w:val="Heading9Char"/>
    <w:qFormat/>
    <w:rsid w:val="00D273A9"/>
    <w:pPr>
      <w:ind w:left="720"/>
      <w:outlineLvl w:val="8"/>
    </w:pPr>
    <w:rPr>
      <w:i/>
    </w:rPr>
  </w:style>
  <w:style w:type="character" w:default="1" w:styleId="DefaultParagraphFont">
    <w:name w:val="Default Paragraph Font"/>
    <w:uiPriority w:val="1"/>
    <w:unhideWhenUsed/>
    <w:rsid w:val="00D273A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273A9"/>
  </w:style>
  <w:style w:type="character" w:customStyle="1" w:styleId="Heading1Char">
    <w:name w:val="Heading 1 Char"/>
    <w:basedOn w:val="DefaultParagraphFont"/>
    <w:link w:val="Heading1"/>
    <w:rsid w:val="00D273A9"/>
    <w:rPr>
      <w:rFonts w:ascii="Times New Roman" w:eastAsia="Times New Roman" w:hAnsi="Times New Roman" w:cs="Times New Roman"/>
      <w:b/>
      <w:sz w:val="32"/>
      <w:szCs w:val="20"/>
      <w:lang w:eastAsia="en-US"/>
    </w:rPr>
  </w:style>
  <w:style w:type="paragraph" w:styleId="BodyText">
    <w:name w:val="Body Text"/>
    <w:basedOn w:val="Normal"/>
    <w:link w:val="BodyTextChar"/>
    <w:rsid w:val="00D273A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273A9"/>
    <w:rPr>
      <w:rFonts w:ascii="Times New Roman" w:eastAsia="Times New Roman" w:hAnsi="Times New Roman" w:cs="Times New Roman"/>
      <w:sz w:val="24"/>
      <w:lang w:eastAsia="en-US"/>
    </w:rPr>
  </w:style>
  <w:style w:type="paragraph" w:styleId="ListBullet">
    <w:name w:val="List Bullet"/>
    <w:basedOn w:val="List"/>
    <w:rsid w:val="00D273A9"/>
    <w:pPr>
      <w:numPr>
        <w:numId w:val="11"/>
      </w:numPr>
      <w:tabs>
        <w:tab w:val="clear" w:pos="340"/>
      </w:tabs>
      <w:spacing w:before="40" w:after="40"/>
    </w:pPr>
  </w:style>
  <w:style w:type="character" w:customStyle="1" w:styleId="SpecialBold">
    <w:name w:val="Special Bold"/>
    <w:basedOn w:val="DefaultParagraphFont"/>
    <w:rsid w:val="00D273A9"/>
    <w:rPr>
      <w:b/>
      <w:spacing w:val="0"/>
    </w:rPr>
  </w:style>
  <w:style w:type="paragraph" w:customStyle="1" w:styleId="SuperHeading">
    <w:name w:val="SuperHeading"/>
    <w:basedOn w:val="Normal"/>
    <w:rsid w:val="00D273A9"/>
    <w:pPr>
      <w:spacing w:before="240" w:after="120"/>
      <w:outlineLvl w:val="0"/>
    </w:pPr>
    <w:rPr>
      <w:rFonts w:ascii="Times New Roman" w:hAnsi="Times New Roman"/>
      <w:b/>
      <w:sz w:val="32"/>
    </w:rPr>
  </w:style>
  <w:style w:type="paragraph" w:customStyle="1" w:styleId="AllowPageBreak">
    <w:name w:val="AllowPageBreak"/>
    <w:rsid w:val="00D273A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273A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273A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273A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273A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273A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273A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273A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273A9"/>
    <w:rPr>
      <w:rFonts w:ascii="Courier New" w:eastAsia="Times New Roman" w:hAnsi="Courier New" w:cs="Times New Roman"/>
      <w:i/>
      <w:szCs w:val="20"/>
      <w:lang w:eastAsia="en-US"/>
    </w:rPr>
  </w:style>
  <w:style w:type="paragraph" w:customStyle="1" w:styleId="HeadingBase">
    <w:name w:val="Heading Base"/>
    <w:rsid w:val="00D273A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273A9"/>
    <w:pPr>
      <w:tabs>
        <w:tab w:val="right" w:leader="dot" w:pos="9072"/>
      </w:tabs>
      <w:ind w:left="567"/>
    </w:pPr>
    <w:rPr>
      <w:szCs w:val="22"/>
    </w:rPr>
  </w:style>
  <w:style w:type="paragraph" w:customStyle="1" w:styleId="TOCBase">
    <w:name w:val="TOC Base"/>
    <w:rsid w:val="00D273A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273A9"/>
    <w:pPr>
      <w:tabs>
        <w:tab w:val="right" w:leader="dot" w:pos="9072"/>
      </w:tabs>
      <w:spacing w:before="40" w:after="40"/>
      <w:ind w:left="284"/>
    </w:pPr>
    <w:rPr>
      <w:rFonts w:ascii="Times New Roman" w:hAnsi="Times New Roman"/>
    </w:rPr>
  </w:style>
  <w:style w:type="paragraph" w:styleId="TOC1">
    <w:name w:val="toc 1"/>
    <w:basedOn w:val="TOCBase"/>
    <w:next w:val="Normal"/>
    <w:rsid w:val="00D273A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273A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273A9"/>
    <w:rPr>
      <w:rFonts w:ascii="Times New Roman" w:eastAsia="Times New Roman" w:hAnsi="Times New Roman" w:cs="Times New Roman"/>
      <w:sz w:val="16"/>
      <w:lang w:eastAsia="en-US"/>
    </w:rPr>
  </w:style>
  <w:style w:type="paragraph" w:styleId="Title">
    <w:name w:val="Title"/>
    <w:basedOn w:val="HeadingBase"/>
    <w:link w:val="TitleChar"/>
    <w:qFormat/>
    <w:rsid w:val="00D273A9"/>
    <w:pPr>
      <w:spacing w:before="5040"/>
      <w:jc w:val="center"/>
    </w:pPr>
    <w:rPr>
      <w:sz w:val="48"/>
      <w:szCs w:val="72"/>
      <w:lang w:val="en-US"/>
    </w:rPr>
  </w:style>
  <w:style w:type="character" w:customStyle="1" w:styleId="TitleChar">
    <w:name w:val="Title Char"/>
    <w:basedOn w:val="DefaultParagraphFont"/>
    <w:link w:val="Title"/>
    <w:rsid w:val="00D273A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273A9"/>
    <w:pPr>
      <w:tabs>
        <w:tab w:val="left" w:pos="3600"/>
        <w:tab w:val="left" w:pos="3958"/>
      </w:tabs>
    </w:pPr>
  </w:style>
  <w:style w:type="paragraph" w:styleId="List">
    <w:name w:val="List"/>
    <w:basedOn w:val="BodyText"/>
    <w:next w:val="BodyText"/>
    <w:rsid w:val="00D273A9"/>
    <w:pPr>
      <w:tabs>
        <w:tab w:val="left" w:pos="340"/>
      </w:tabs>
      <w:spacing w:before="60" w:after="60"/>
      <w:ind w:left="340" w:hanging="340"/>
    </w:pPr>
  </w:style>
  <w:style w:type="paragraph" w:customStyle="1" w:styleId="Note">
    <w:name w:val="Note"/>
    <w:basedOn w:val="BodyText"/>
    <w:rsid w:val="00D273A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273A9"/>
    <w:pPr>
      <w:framePr w:wrap="auto" w:hAnchor="text" w:y="6049"/>
    </w:pPr>
    <w:rPr>
      <w:color w:val="000000"/>
      <w:sz w:val="40"/>
    </w:rPr>
  </w:style>
  <w:style w:type="paragraph" w:customStyle="1" w:styleId="TOCTitle">
    <w:name w:val="TOCTitle"/>
    <w:basedOn w:val="Heading1"/>
    <w:rsid w:val="00D273A9"/>
    <w:pPr>
      <w:spacing w:after="240"/>
      <w:jc w:val="center"/>
      <w:outlineLvl w:val="9"/>
    </w:pPr>
    <w:rPr>
      <w:caps/>
    </w:rPr>
  </w:style>
  <w:style w:type="paragraph" w:customStyle="1" w:styleId="Version">
    <w:name w:val="Version"/>
    <w:rsid w:val="00D273A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273A9"/>
    <w:pPr>
      <w:numPr>
        <w:numId w:val="12"/>
      </w:numPr>
      <w:tabs>
        <w:tab w:val="clear" w:pos="680"/>
      </w:tabs>
    </w:pPr>
  </w:style>
  <w:style w:type="paragraph" w:styleId="Index1">
    <w:name w:val="index 1"/>
    <w:basedOn w:val="Normal"/>
    <w:next w:val="Normal"/>
    <w:semiHidden/>
    <w:rsid w:val="00D273A9"/>
    <w:pPr>
      <w:keepNext w:val="0"/>
      <w:tabs>
        <w:tab w:val="right" w:pos="4176"/>
      </w:tabs>
      <w:ind w:left="198" w:hanging="198"/>
    </w:pPr>
    <w:rPr>
      <w:rFonts w:ascii="Garamond" w:hAnsi="Garamond"/>
    </w:rPr>
  </w:style>
  <w:style w:type="paragraph" w:styleId="IndexHeading">
    <w:name w:val="index heading"/>
    <w:basedOn w:val="Normal"/>
    <w:next w:val="Index1"/>
    <w:semiHidden/>
    <w:rsid w:val="00D273A9"/>
    <w:pPr>
      <w:spacing w:before="120" w:after="120"/>
    </w:pPr>
    <w:rPr>
      <w:rFonts w:ascii="Arial" w:hAnsi="Arial"/>
      <w:b/>
      <w:color w:val="918585"/>
      <w:sz w:val="24"/>
    </w:rPr>
  </w:style>
  <w:style w:type="paragraph" w:styleId="Header">
    <w:name w:val="header"/>
    <w:basedOn w:val="Normal"/>
    <w:link w:val="HeaderChar"/>
    <w:rsid w:val="00D273A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273A9"/>
    <w:rPr>
      <w:rFonts w:ascii="Times New Roman" w:eastAsia="Times New Roman" w:hAnsi="Times New Roman" w:cs="Times New Roman"/>
      <w:sz w:val="16"/>
      <w:szCs w:val="20"/>
      <w:lang w:val="en-GB" w:eastAsia="en-US"/>
    </w:rPr>
  </w:style>
  <w:style w:type="paragraph" w:customStyle="1" w:styleId="Chapter">
    <w:name w:val="Chapter"/>
    <w:basedOn w:val="Normal"/>
    <w:rsid w:val="00D273A9"/>
    <w:pPr>
      <w:spacing w:before="240"/>
    </w:pPr>
    <w:rPr>
      <w:rFonts w:ascii="Times New Roman" w:hAnsi="Times New Roman"/>
      <w:smallCaps/>
      <w:spacing w:val="80"/>
      <w:sz w:val="28"/>
    </w:rPr>
  </w:style>
  <w:style w:type="paragraph" w:customStyle="1" w:styleId="InChapter">
    <w:name w:val="InChapter"/>
    <w:basedOn w:val="Heading3"/>
    <w:rsid w:val="00D273A9"/>
    <w:pPr>
      <w:spacing w:after="240"/>
      <w:outlineLvl w:val="9"/>
    </w:pPr>
    <w:rPr>
      <w:noProof/>
    </w:rPr>
  </w:style>
  <w:style w:type="paragraph" w:styleId="Index2">
    <w:name w:val="index 2"/>
    <w:basedOn w:val="Normal"/>
    <w:next w:val="Normal"/>
    <w:semiHidden/>
    <w:rsid w:val="00D273A9"/>
    <w:pPr>
      <w:tabs>
        <w:tab w:val="right" w:pos="4176"/>
      </w:tabs>
      <w:ind w:left="568" w:hanging="284"/>
    </w:pPr>
    <w:rPr>
      <w:rFonts w:ascii="Garamond" w:hAnsi="Garamond"/>
    </w:rPr>
  </w:style>
  <w:style w:type="paragraph" w:customStyle="1" w:styleId="Byline">
    <w:name w:val="Byline"/>
    <w:rsid w:val="00D273A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273A9"/>
    <w:pPr>
      <w:tabs>
        <w:tab w:val="clear" w:pos="3600"/>
        <w:tab w:val="clear" w:pos="3958"/>
      </w:tabs>
      <w:jc w:val="right"/>
    </w:pPr>
  </w:style>
  <w:style w:type="character" w:styleId="Emphasis">
    <w:name w:val="Emphasis"/>
    <w:basedOn w:val="DefaultParagraphFont"/>
    <w:qFormat/>
    <w:rsid w:val="00D273A9"/>
    <w:rPr>
      <w:i/>
    </w:rPr>
  </w:style>
  <w:style w:type="paragraph" w:styleId="Caption">
    <w:name w:val="caption"/>
    <w:basedOn w:val="BodyText"/>
    <w:next w:val="Normal"/>
    <w:qFormat/>
    <w:rsid w:val="00D273A9"/>
    <w:pPr>
      <w:framePr w:w="2268" w:hSpace="181" w:vSpace="181" w:wrap="around" w:vAnchor="text" w:hAnchor="page" w:x="1135" w:y="285" w:anchorLock="1"/>
    </w:pPr>
    <w:rPr>
      <w:i/>
    </w:rPr>
  </w:style>
  <w:style w:type="paragraph" w:customStyle="1" w:styleId="MiniTOCTitle">
    <w:name w:val="MiniTOCTitle"/>
    <w:basedOn w:val="Heading4"/>
    <w:rsid w:val="00D273A9"/>
    <w:pPr>
      <w:spacing w:before="240"/>
      <w:outlineLvl w:val="9"/>
    </w:pPr>
    <w:rPr>
      <w:noProof/>
      <w:sz w:val="24"/>
    </w:rPr>
  </w:style>
  <w:style w:type="paragraph" w:customStyle="1" w:styleId="MiniTOCItem">
    <w:name w:val="MiniTOCItem"/>
    <w:basedOn w:val="ListBullet"/>
    <w:rsid w:val="00D273A9"/>
    <w:pPr>
      <w:numPr>
        <w:numId w:val="0"/>
      </w:numPr>
      <w:tabs>
        <w:tab w:val="right" w:leader="dot" w:pos="6521"/>
      </w:tabs>
      <w:spacing w:before="0" w:after="0"/>
    </w:pPr>
  </w:style>
  <w:style w:type="paragraph" w:customStyle="1" w:styleId="TOFTitle">
    <w:name w:val="TOFTitle"/>
    <w:basedOn w:val="TOCTitle"/>
    <w:rsid w:val="00D273A9"/>
  </w:style>
  <w:style w:type="paragraph" w:styleId="TableofFigures">
    <w:name w:val="table of figures"/>
    <w:basedOn w:val="Normal"/>
    <w:next w:val="Normal"/>
    <w:semiHidden/>
    <w:rsid w:val="00D273A9"/>
    <w:pPr>
      <w:tabs>
        <w:tab w:val="right" w:leader="dot" w:pos="9072"/>
      </w:tabs>
      <w:ind w:left="970" w:hanging="403"/>
    </w:pPr>
    <w:rPr>
      <w:rFonts w:ascii="Times New Roman" w:hAnsi="Times New Roman"/>
      <w:b/>
    </w:rPr>
  </w:style>
  <w:style w:type="paragraph" w:styleId="ListNumber">
    <w:name w:val="List Number"/>
    <w:basedOn w:val="List"/>
    <w:rsid w:val="00D273A9"/>
    <w:pPr>
      <w:numPr>
        <w:numId w:val="14"/>
      </w:numPr>
      <w:tabs>
        <w:tab w:val="clear" w:pos="340"/>
      </w:tabs>
    </w:pPr>
  </w:style>
  <w:style w:type="character" w:customStyle="1" w:styleId="WingdingSymbols">
    <w:name w:val="Wingding Symbols"/>
    <w:rsid w:val="00D273A9"/>
    <w:rPr>
      <w:rFonts w:ascii="Wingdings" w:hAnsi="Wingdings"/>
    </w:rPr>
  </w:style>
  <w:style w:type="paragraph" w:customStyle="1" w:styleId="TableHeading">
    <w:name w:val="Table Heading"/>
    <w:basedOn w:val="HeadingBase"/>
    <w:rsid w:val="00D273A9"/>
    <w:pPr>
      <w:keepLines/>
      <w:pBdr>
        <w:bottom w:val="single" w:sz="6" w:space="1" w:color="918585"/>
      </w:pBdr>
      <w:spacing w:before="240"/>
    </w:pPr>
  </w:style>
  <w:style w:type="character" w:customStyle="1" w:styleId="HotSpot">
    <w:name w:val="HotSpot"/>
    <w:rsid w:val="00D273A9"/>
    <w:rPr>
      <w:color w:val="0033CC"/>
      <w:u w:val="none"/>
    </w:rPr>
  </w:style>
  <w:style w:type="paragraph" w:customStyle="1" w:styleId="BodyTextRight">
    <w:name w:val="Body Text Right"/>
    <w:basedOn w:val="BodyText"/>
    <w:rsid w:val="00D273A9"/>
    <w:pPr>
      <w:spacing w:before="0" w:after="0"/>
      <w:jc w:val="right"/>
    </w:pPr>
  </w:style>
  <w:style w:type="paragraph" w:styleId="Index3">
    <w:name w:val="index 3"/>
    <w:basedOn w:val="ListNumber2"/>
    <w:next w:val="Normal"/>
    <w:semiHidden/>
    <w:rsid w:val="00D273A9"/>
    <w:pPr>
      <w:numPr>
        <w:numId w:val="0"/>
      </w:numPr>
      <w:tabs>
        <w:tab w:val="right" w:leader="dot" w:pos="4176"/>
      </w:tabs>
    </w:pPr>
  </w:style>
  <w:style w:type="paragraph" w:styleId="ListNumber2">
    <w:name w:val="List Number 2"/>
    <w:basedOn w:val="List2"/>
    <w:rsid w:val="00D273A9"/>
    <w:pPr>
      <w:numPr>
        <w:numId w:val="9"/>
      </w:numPr>
      <w:tabs>
        <w:tab w:val="clear" w:pos="1060"/>
      </w:tabs>
    </w:pPr>
  </w:style>
  <w:style w:type="paragraph" w:customStyle="1" w:styleId="MarginNote">
    <w:name w:val="Margin Note"/>
    <w:basedOn w:val="BodyText"/>
    <w:rsid w:val="00D273A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273A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273A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273A9"/>
    <w:rPr>
      <w:sz w:val="32"/>
    </w:rPr>
  </w:style>
  <w:style w:type="paragraph" w:customStyle="1" w:styleId="HeadingProcedure">
    <w:name w:val="Heading Procedure"/>
    <w:basedOn w:val="HeadingBase"/>
    <w:next w:val="Normal"/>
    <w:rsid w:val="00D273A9"/>
    <w:pPr>
      <w:tabs>
        <w:tab w:val="left" w:pos="0"/>
      </w:tabs>
      <w:spacing w:before="120" w:after="60"/>
    </w:pPr>
    <w:rPr>
      <w:i/>
      <w:color w:val="918585"/>
      <w:sz w:val="22"/>
    </w:rPr>
  </w:style>
  <w:style w:type="paragraph" w:customStyle="1" w:styleId="TableBodyText">
    <w:name w:val="Table Body Text"/>
    <w:basedOn w:val="BodyText"/>
    <w:rsid w:val="00D273A9"/>
    <w:pPr>
      <w:spacing w:before="60" w:after="60"/>
    </w:pPr>
  </w:style>
  <w:style w:type="paragraph" w:styleId="ListContinue">
    <w:name w:val="List Continue"/>
    <w:basedOn w:val="List"/>
    <w:rsid w:val="00D273A9"/>
    <w:pPr>
      <w:ind w:firstLine="0"/>
    </w:pPr>
  </w:style>
  <w:style w:type="paragraph" w:customStyle="1" w:styleId="ListNote">
    <w:name w:val="List Note"/>
    <w:basedOn w:val="List"/>
    <w:rsid w:val="00D273A9"/>
    <w:pPr>
      <w:pBdr>
        <w:top w:val="single" w:sz="6" w:space="2" w:color="918585"/>
        <w:bottom w:val="single" w:sz="6" w:space="2" w:color="918585"/>
      </w:pBdr>
      <w:tabs>
        <w:tab w:val="left" w:pos="1021"/>
      </w:tabs>
      <w:ind w:firstLine="0"/>
    </w:pPr>
  </w:style>
  <w:style w:type="paragraph" w:customStyle="1" w:styleId="Warning">
    <w:name w:val="Warning"/>
    <w:basedOn w:val="BodyText"/>
    <w:rsid w:val="00D273A9"/>
    <w:pPr>
      <w:shd w:val="clear" w:color="auto" w:fill="D9D9D9"/>
      <w:tabs>
        <w:tab w:val="left" w:pos="992"/>
      </w:tabs>
      <w:ind w:left="119" w:right="119"/>
    </w:pPr>
    <w:rPr>
      <w:sz w:val="20"/>
    </w:rPr>
  </w:style>
  <w:style w:type="paragraph" w:customStyle="1" w:styleId="MarginIcons">
    <w:name w:val="Margin Icons"/>
    <w:basedOn w:val="BodyText"/>
    <w:rsid w:val="00D273A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273A9"/>
    <w:rPr>
      <w:rFonts w:ascii="Courier New" w:hAnsi="Courier New"/>
    </w:rPr>
  </w:style>
  <w:style w:type="paragraph" w:customStyle="1" w:styleId="NoteBullet">
    <w:name w:val="Note Bullet"/>
    <w:basedOn w:val="Note"/>
    <w:rsid w:val="00D273A9"/>
    <w:pPr>
      <w:tabs>
        <w:tab w:val="clear" w:pos="680"/>
      </w:tabs>
      <w:spacing w:before="60" w:after="60"/>
    </w:pPr>
  </w:style>
  <w:style w:type="paragraph" w:customStyle="1" w:styleId="SubHeading2">
    <w:name w:val="SubHeading2"/>
    <w:basedOn w:val="HeadingBase"/>
    <w:rsid w:val="00D273A9"/>
    <w:pPr>
      <w:spacing w:before="240" w:after="60"/>
    </w:pPr>
    <w:rPr>
      <w:sz w:val="20"/>
    </w:rPr>
  </w:style>
  <w:style w:type="paragraph" w:customStyle="1" w:styleId="SubHeading1">
    <w:name w:val="SubHeading1"/>
    <w:basedOn w:val="HeadingBase"/>
    <w:rsid w:val="00D273A9"/>
    <w:pPr>
      <w:spacing w:before="240" w:after="60"/>
    </w:pPr>
    <w:rPr>
      <w:color w:val="918585"/>
      <w:sz w:val="22"/>
    </w:rPr>
  </w:style>
  <w:style w:type="paragraph" w:customStyle="1" w:styleId="SideHeading">
    <w:name w:val="Side Heading"/>
    <w:basedOn w:val="HeadingBase"/>
    <w:rsid w:val="00D273A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273A9"/>
    <w:pPr>
      <w:numPr>
        <w:numId w:val="10"/>
      </w:numPr>
    </w:pPr>
  </w:style>
  <w:style w:type="paragraph" w:styleId="PlainText">
    <w:name w:val="Plain Text"/>
    <w:basedOn w:val="Normal"/>
    <w:link w:val="PlainTextChar"/>
    <w:rsid w:val="00D273A9"/>
    <w:rPr>
      <w:sz w:val="20"/>
    </w:rPr>
  </w:style>
  <w:style w:type="character" w:customStyle="1" w:styleId="PlainTextChar">
    <w:name w:val="Plain Text Char"/>
    <w:basedOn w:val="DefaultParagraphFont"/>
    <w:link w:val="PlainText"/>
    <w:rsid w:val="00D273A9"/>
    <w:rPr>
      <w:rFonts w:ascii="Courier New" w:eastAsia="Times New Roman" w:hAnsi="Courier New" w:cs="Times New Roman"/>
      <w:sz w:val="20"/>
      <w:szCs w:val="20"/>
      <w:lang w:eastAsia="en-US"/>
    </w:rPr>
  </w:style>
  <w:style w:type="character" w:customStyle="1" w:styleId="MenuOption">
    <w:name w:val="Menu Option"/>
    <w:basedOn w:val="DefaultParagraphFont"/>
    <w:rsid w:val="00D273A9"/>
    <w:rPr>
      <w:b/>
      <w:smallCaps/>
    </w:rPr>
  </w:style>
  <w:style w:type="paragraph" w:customStyle="1" w:styleId="TableListNumber">
    <w:name w:val="Table List Number"/>
    <w:basedOn w:val="ListNumber"/>
    <w:rsid w:val="00D273A9"/>
    <w:pPr>
      <w:numPr>
        <w:numId w:val="0"/>
      </w:numPr>
    </w:pPr>
  </w:style>
  <w:style w:type="paragraph" w:styleId="TOC4">
    <w:name w:val="toc 4"/>
    <w:basedOn w:val="TOCBase"/>
    <w:next w:val="Normal"/>
    <w:semiHidden/>
    <w:rsid w:val="00D273A9"/>
    <w:pPr>
      <w:tabs>
        <w:tab w:val="right" w:leader="dot" w:pos="9071"/>
      </w:tabs>
      <w:ind w:left="1701"/>
    </w:pPr>
  </w:style>
  <w:style w:type="paragraph" w:customStyle="1" w:styleId="ListAlpha">
    <w:name w:val="List Alpha"/>
    <w:basedOn w:val="List"/>
    <w:rsid w:val="00D273A9"/>
    <w:pPr>
      <w:numPr>
        <w:numId w:val="8"/>
      </w:numPr>
    </w:pPr>
  </w:style>
  <w:style w:type="paragraph" w:customStyle="1" w:styleId="ListAlpha2">
    <w:name w:val="List Alpha 2"/>
    <w:basedOn w:val="List2"/>
    <w:rsid w:val="00D273A9"/>
    <w:pPr>
      <w:numPr>
        <w:numId w:val="7"/>
      </w:numPr>
    </w:pPr>
  </w:style>
  <w:style w:type="paragraph" w:styleId="List2">
    <w:name w:val="List 2"/>
    <w:basedOn w:val="BodyText"/>
    <w:rsid w:val="00D273A9"/>
    <w:pPr>
      <w:tabs>
        <w:tab w:val="left" w:pos="680"/>
      </w:tabs>
      <w:spacing w:before="60" w:after="60"/>
      <w:ind w:left="680" w:hanging="340"/>
    </w:pPr>
  </w:style>
  <w:style w:type="paragraph" w:styleId="List3">
    <w:name w:val="List 3"/>
    <w:basedOn w:val="BodyText"/>
    <w:rsid w:val="00D273A9"/>
    <w:pPr>
      <w:tabs>
        <w:tab w:val="left" w:pos="1021"/>
      </w:tabs>
      <w:spacing w:before="60" w:after="60"/>
      <w:ind w:left="1020" w:hanging="340"/>
    </w:pPr>
  </w:style>
  <w:style w:type="paragraph" w:styleId="List4">
    <w:name w:val="List 4"/>
    <w:basedOn w:val="BodyText"/>
    <w:rsid w:val="00D273A9"/>
    <w:pPr>
      <w:tabs>
        <w:tab w:val="left" w:pos="1361"/>
      </w:tabs>
      <w:spacing w:before="60" w:after="60"/>
      <w:ind w:left="1361" w:hanging="340"/>
    </w:pPr>
  </w:style>
  <w:style w:type="paragraph" w:styleId="List5">
    <w:name w:val="List 5"/>
    <w:basedOn w:val="BodyText"/>
    <w:rsid w:val="00D273A9"/>
    <w:pPr>
      <w:tabs>
        <w:tab w:val="left" w:pos="1701"/>
      </w:tabs>
      <w:spacing w:before="60" w:after="60"/>
      <w:ind w:left="1701" w:hanging="340"/>
    </w:pPr>
  </w:style>
  <w:style w:type="paragraph" w:styleId="ListBullet3">
    <w:name w:val="List Bullet 3"/>
    <w:basedOn w:val="List3"/>
    <w:rsid w:val="00D273A9"/>
    <w:pPr>
      <w:numPr>
        <w:numId w:val="13"/>
      </w:numPr>
      <w:tabs>
        <w:tab w:val="clear" w:pos="1021"/>
      </w:tabs>
      <w:ind w:left="1037" w:hanging="357"/>
    </w:pPr>
  </w:style>
  <w:style w:type="paragraph" w:styleId="ListBullet4">
    <w:name w:val="List Bullet 4"/>
    <w:basedOn w:val="List4"/>
    <w:rsid w:val="00D273A9"/>
    <w:pPr>
      <w:numPr>
        <w:numId w:val="2"/>
      </w:numPr>
      <w:tabs>
        <w:tab w:val="clear" w:pos="1361"/>
      </w:tabs>
    </w:pPr>
  </w:style>
  <w:style w:type="paragraph" w:styleId="ListBullet5">
    <w:name w:val="List Bullet 5"/>
    <w:basedOn w:val="List5"/>
    <w:rsid w:val="00D273A9"/>
    <w:pPr>
      <w:numPr>
        <w:numId w:val="3"/>
      </w:numPr>
    </w:pPr>
  </w:style>
  <w:style w:type="paragraph" w:styleId="ListContinue2">
    <w:name w:val="List Continue 2"/>
    <w:basedOn w:val="List2"/>
    <w:rsid w:val="00D273A9"/>
    <w:pPr>
      <w:ind w:firstLine="0"/>
    </w:pPr>
  </w:style>
  <w:style w:type="paragraph" w:styleId="ListContinue3">
    <w:name w:val="List Continue 3"/>
    <w:basedOn w:val="List3"/>
    <w:rsid w:val="00D273A9"/>
    <w:pPr>
      <w:ind w:left="1021" w:firstLine="0"/>
    </w:pPr>
  </w:style>
  <w:style w:type="paragraph" w:styleId="ListContinue4">
    <w:name w:val="List Continue 4"/>
    <w:basedOn w:val="List4"/>
    <w:rsid w:val="00D273A9"/>
    <w:pPr>
      <w:ind w:firstLine="0"/>
    </w:pPr>
  </w:style>
  <w:style w:type="paragraph" w:styleId="ListContinue5">
    <w:name w:val="List Continue 5"/>
    <w:basedOn w:val="List5"/>
    <w:rsid w:val="00D273A9"/>
    <w:pPr>
      <w:ind w:firstLine="0"/>
    </w:pPr>
  </w:style>
  <w:style w:type="paragraph" w:styleId="ListNumber3">
    <w:name w:val="List Number 3"/>
    <w:basedOn w:val="List3"/>
    <w:rsid w:val="00D273A9"/>
    <w:pPr>
      <w:numPr>
        <w:numId w:val="4"/>
      </w:numPr>
    </w:pPr>
  </w:style>
  <w:style w:type="paragraph" w:styleId="ListNumber4">
    <w:name w:val="List Number 4"/>
    <w:basedOn w:val="List4"/>
    <w:rsid w:val="00D273A9"/>
    <w:pPr>
      <w:numPr>
        <w:numId w:val="5"/>
      </w:numPr>
    </w:pPr>
  </w:style>
  <w:style w:type="paragraph" w:styleId="ListNumber5">
    <w:name w:val="List Number 5"/>
    <w:basedOn w:val="List5"/>
    <w:rsid w:val="00D273A9"/>
    <w:pPr>
      <w:numPr>
        <w:numId w:val="6"/>
      </w:numPr>
    </w:pPr>
  </w:style>
  <w:style w:type="paragraph" w:styleId="BlockText">
    <w:name w:val="Block Text"/>
    <w:basedOn w:val="Normal"/>
    <w:rsid w:val="00D273A9"/>
    <w:pPr>
      <w:spacing w:after="120"/>
      <w:ind w:left="1440" w:right="1440"/>
    </w:pPr>
  </w:style>
  <w:style w:type="character" w:customStyle="1" w:styleId="Subscript">
    <w:name w:val="Subscript"/>
    <w:basedOn w:val="DefaultParagraphFont"/>
    <w:rsid w:val="00D273A9"/>
    <w:rPr>
      <w:sz w:val="16"/>
      <w:vertAlign w:val="subscript"/>
    </w:rPr>
  </w:style>
  <w:style w:type="character" w:customStyle="1" w:styleId="Superscript">
    <w:name w:val="Superscript"/>
    <w:basedOn w:val="DefaultParagraphFont"/>
    <w:rsid w:val="00D273A9"/>
    <w:rPr>
      <w:sz w:val="16"/>
      <w:vertAlign w:val="superscript"/>
    </w:rPr>
  </w:style>
  <w:style w:type="character" w:customStyle="1" w:styleId="Symbols">
    <w:name w:val="Symbols"/>
    <w:basedOn w:val="DefaultParagraphFont"/>
    <w:rsid w:val="00D273A9"/>
    <w:rPr>
      <w:rFonts w:ascii="Symbol" w:hAnsi="Symbol"/>
    </w:rPr>
  </w:style>
  <w:style w:type="character" w:customStyle="1" w:styleId="MenuOptions">
    <w:name w:val="Menu Options"/>
    <w:basedOn w:val="DefaultParagraphFont"/>
    <w:rsid w:val="00D273A9"/>
    <w:rPr>
      <w:rFonts w:ascii="Arial Narrow" w:hAnsi="Arial Narrow"/>
      <w:smallCaps/>
    </w:rPr>
  </w:style>
  <w:style w:type="character" w:customStyle="1" w:styleId="Buttons">
    <w:name w:val="Buttons"/>
    <w:basedOn w:val="DefaultParagraphFont"/>
    <w:rsid w:val="00D273A9"/>
    <w:rPr>
      <w:b/>
    </w:rPr>
  </w:style>
  <w:style w:type="character" w:customStyle="1" w:styleId="Underlined">
    <w:name w:val="Underlined"/>
    <w:basedOn w:val="DefaultParagraphFont"/>
    <w:rsid w:val="00D273A9"/>
    <w:rPr>
      <w:u w:val="single"/>
    </w:rPr>
  </w:style>
  <w:style w:type="paragraph" w:customStyle="1" w:styleId="TableBodyTextRight">
    <w:name w:val="Table Body Text Right"/>
    <w:basedOn w:val="TableBodyText"/>
    <w:rsid w:val="00D273A9"/>
    <w:pPr>
      <w:widowControl w:val="0"/>
      <w:autoSpaceDE w:val="0"/>
      <w:autoSpaceDN w:val="0"/>
      <w:adjustRightInd w:val="0"/>
      <w:jc w:val="right"/>
    </w:pPr>
    <w:rPr>
      <w:rFonts w:cs="Arial"/>
      <w:szCs w:val="18"/>
    </w:rPr>
  </w:style>
  <w:style w:type="paragraph" w:customStyle="1" w:styleId="CopyrightText">
    <w:name w:val="Copyright Text"/>
    <w:basedOn w:val="BodyText"/>
    <w:rsid w:val="00D273A9"/>
    <w:rPr>
      <w:sz w:val="18"/>
    </w:rPr>
  </w:style>
  <w:style w:type="paragraph" w:customStyle="1" w:styleId="BodySmallRight">
    <w:name w:val="Body Small Right"/>
    <w:basedOn w:val="BodyTextRight"/>
    <w:rsid w:val="00D273A9"/>
    <w:rPr>
      <w:sz w:val="18"/>
      <w:szCs w:val="18"/>
    </w:rPr>
  </w:style>
  <w:style w:type="paragraph" w:customStyle="1" w:styleId="MarginEdition">
    <w:name w:val="Margin Edition"/>
    <w:basedOn w:val="MarginNote"/>
    <w:rsid w:val="00D273A9"/>
    <w:pPr>
      <w:spacing w:before="0" w:after="0"/>
    </w:pPr>
    <w:rPr>
      <w:rFonts w:ascii="Times New Roman" w:hAnsi="Times New Roman"/>
      <w:color w:val="999999"/>
    </w:rPr>
  </w:style>
  <w:style w:type="paragraph" w:customStyle="1" w:styleId="Spacer">
    <w:name w:val="Spacer"/>
    <w:basedOn w:val="Normal"/>
    <w:rsid w:val="00D273A9"/>
    <w:rPr>
      <w:sz w:val="2"/>
      <w:szCs w:val="2"/>
    </w:rPr>
  </w:style>
  <w:style w:type="character" w:customStyle="1" w:styleId="Small">
    <w:name w:val="Small"/>
    <w:basedOn w:val="DefaultParagraphFont"/>
    <w:rsid w:val="00D273A9"/>
    <w:rPr>
      <w:sz w:val="16"/>
    </w:rPr>
  </w:style>
  <w:style w:type="paragraph" w:customStyle="1" w:styleId="WideTable">
    <w:name w:val="Wide Table"/>
    <w:basedOn w:val="Normal"/>
    <w:rsid w:val="00D273A9"/>
    <w:pPr>
      <w:ind w:left="-1418"/>
    </w:pPr>
    <w:rPr>
      <w:sz w:val="2"/>
      <w:szCs w:val="2"/>
    </w:rPr>
  </w:style>
  <w:style w:type="character" w:styleId="PageNumber">
    <w:name w:val="page number"/>
    <w:basedOn w:val="DefaultParagraphFont"/>
    <w:rsid w:val="00D273A9"/>
  </w:style>
  <w:style w:type="paragraph" w:styleId="Quote">
    <w:name w:val="Quote"/>
    <w:basedOn w:val="Heading1"/>
    <w:link w:val="QuoteChar"/>
    <w:qFormat/>
    <w:rsid w:val="00D273A9"/>
    <w:rPr>
      <w:b w:val="0"/>
      <w:sz w:val="72"/>
      <w:szCs w:val="72"/>
      <w:lang w:val="en-NZ"/>
    </w:rPr>
  </w:style>
  <w:style w:type="character" w:customStyle="1" w:styleId="QuoteChar">
    <w:name w:val="Quote Char"/>
    <w:basedOn w:val="DefaultParagraphFont"/>
    <w:link w:val="Quote"/>
    <w:rsid w:val="00D273A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273A9"/>
    <w:pPr>
      <w:pageBreakBefore/>
    </w:pPr>
  </w:style>
  <w:style w:type="paragraph" w:customStyle="1" w:styleId="Border">
    <w:name w:val="Border"/>
    <w:basedOn w:val="Normal"/>
    <w:qFormat/>
    <w:rsid w:val="00D273A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273A9"/>
    <w:rPr>
      <w:b/>
      <w:bCs/>
      <w:i/>
      <w:iCs/>
      <w:color w:val="auto"/>
    </w:rPr>
  </w:style>
  <w:style w:type="paragraph" w:styleId="IntenseQuote">
    <w:name w:val="Intense Quote"/>
    <w:basedOn w:val="Normal"/>
    <w:next w:val="Normal"/>
    <w:link w:val="IntenseQuoteChar"/>
    <w:uiPriority w:val="30"/>
    <w:qFormat/>
    <w:rsid w:val="00D273A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273A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273A9"/>
    <w:rPr>
      <w:smallCaps/>
      <w:color w:val="auto"/>
      <w:u w:val="single"/>
    </w:rPr>
  </w:style>
  <w:style w:type="character" w:styleId="IntenseReference">
    <w:name w:val="Intense Reference"/>
    <w:basedOn w:val="DefaultParagraphFont"/>
    <w:uiPriority w:val="32"/>
    <w:qFormat/>
    <w:rsid w:val="00D273A9"/>
    <w:rPr>
      <w:b/>
      <w:bCs/>
      <w:smallCaps/>
      <w:color w:val="auto"/>
      <w:spacing w:val="5"/>
      <w:u w:val="single"/>
    </w:rPr>
  </w:style>
  <w:style w:type="paragraph" w:customStyle="1" w:styleId="2ColumnHeading">
    <w:name w:val="2Column Heading"/>
    <w:basedOn w:val="BodyText"/>
    <w:qFormat/>
    <w:rsid w:val="00D273A9"/>
    <w:pPr>
      <w:spacing w:after="60"/>
      <w:ind w:left="-2268"/>
    </w:pPr>
    <w:rPr>
      <w:b/>
    </w:rPr>
  </w:style>
  <w:style w:type="paragraph" w:customStyle="1" w:styleId="Heading1TOC">
    <w:name w:val="Heading1 TOC"/>
    <w:basedOn w:val="Normal"/>
    <w:qFormat/>
    <w:rsid w:val="00D273A9"/>
    <w:pPr>
      <w:spacing w:before="240" w:after="120"/>
    </w:pPr>
    <w:rPr>
      <w:rFonts w:ascii="Times New Roman" w:hAnsi="Times New Roman"/>
      <w:b/>
      <w:sz w:val="32"/>
    </w:rPr>
  </w:style>
  <w:style w:type="paragraph" w:customStyle="1" w:styleId="Heading2TOC">
    <w:name w:val="Heading2 TOC"/>
    <w:basedOn w:val="Normal"/>
    <w:qFormat/>
    <w:rsid w:val="00D273A9"/>
    <w:pPr>
      <w:spacing w:before="240" w:after="60"/>
    </w:pPr>
    <w:rPr>
      <w:rFonts w:ascii="Times New Roman" w:hAnsi="Times New Roman"/>
      <w:b/>
      <w:sz w:val="28"/>
    </w:rPr>
  </w:style>
  <w:style w:type="character" w:customStyle="1" w:styleId="Underline">
    <w:name w:val="Underline"/>
    <w:basedOn w:val="DefaultParagraphFont"/>
    <w:qFormat/>
    <w:rsid w:val="00D273A9"/>
    <w:rPr>
      <w:u w:val="single"/>
    </w:rPr>
  </w:style>
  <w:style w:type="character" w:customStyle="1" w:styleId="BoldandItalics">
    <w:name w:val="Bold and Italics"/>
    <w:qFormat/>
    <w:rsid w:val="00D273A9"/>
    <w:rPr>
      <w:b/>
      <w:i/>
      <w:u w:val="none"/>
    </w:rPr>
  </w:style>
  <w:style w:type="paragraph" w:styleId="BalloonText">
    <w:name w:val="Balloon Text"/>
    <w:basedOn w:val="Normal"/>
    <w:link w:val="BalloonTextChar"/>
    <w:rsid w:val="00D273A9"/>
    <w:rPr>
      <w:rFonts w:ascii="Tahoma" w:hAnsi="Tahoma" w:cs="Tahoma"/>
      <w:sz w:val="16"/>
      <w:szCs w:val="16"/>
    </w:rPr>
  </w:style>
  <w:style w:type="character" w:customStyle="1" w:styleId="BalloonTextChar">
    <w:name w:val="Balloon Text Char"/>
    <w:basedOn w:val="DefaultParagraphFont"/>
    <w:link w:val="BalloonText"/>
    <w:rsid w:val="00D273A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273A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273A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273A9"/>
    <w:rPr>
      <w:b/>
      <w:color w:val="660033"/>
      <w:spacing w:val="0"/>
    </w:rPr>
  </w:style>
  <w:style w:type="paragraph" w:customStyle="1" w:styleId="Nameditemlist">
    <w:name w:val="Named item list"/>
    <w:basedOn w:val="BodyText"/>
    <w:qFormat/>
    <w:rsid w:val="00D273A9"/>
    <w:pPr>
      <w:tabs>
        <w:tab w:val="left" w:pos="2835"/>
      </w:tabs>
      <w:ind w:left="2835" w:hanging="2835"/>
    </w:pPr>
  </w:style>
  <w:style w:type="paragraph" w:customStyle="1" w:styleId="BodyTextnopadding">
    <w:name w:val="Body Text no padding"/>
    <w:basedOn w:val="BodyText"/>
    <w:qFormat/>
    <w:rsid w:val="00D273A9"/>
    <w:pPr>
      <w:spacing w:before="0" w:after="0"/>
    </w:pPr>
  </w:style>
  <w:style w:type="paragraph" w:customStyle="1" w:styleId="BodyTextBold">
    <w:name w:val="Body Text Bold"/>
    <w:basedOn w:val="BodyText"/>
    <w:qFormat/>
    <w:rsid w:val="00D273A9"/>
    <w:rPr>
      <w:b/>
    </w:rPr>
  </w:style>
  <w:style w:type="character" w:styleId="Hyperlink">
    <w:name w:val="Hyperlink"/>
    <w:basedOn w:val="DefaultParagraphFont"/>
    <w:uiPriority w:val="99"/>
    <w:unhideWhenUsed/>
    <w:rsid w:val="008C588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835</Words>
  <Characters>5240</Characters>
  <Application>Microsoft Office Word</Application>
  <DocSecurity>0</DocSecurity>
  <Lines>238</Lines>
  <Paragraphs>151</Paragraphs>
  <ScaleCrop>false</ScaleCrop>
  <Company>Author-it Software Corporation Ltd.</Company>
  <LinksUpToDate>false</LinksUpToDate>
  <CharactersWithSpaces>5924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MSMOPS102 Perform tasks to support production</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2024-04-26T01:58:00Z</dcterms:created>
  <dcterms:modified xsi:type="dcterms:W3CDTF">2024-04-26T01:58:00Z</dcterms:modified>
</cp:coreProperties>
</file>