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1C70" w:rsidP="00411C70">
      <w:pPr>
        <w:pStyle w:val="Title"/>
      </w:pPr>
      <w:r>
        <w:fldChar w:fldCharType="begin"/>
      </w:r>
      <w:r>
        <w:instrText xml:space="preserve"> TITLE   \* MERGEFORMAT </w:instrText>
      </w:r>
      <w:r>
        <w:fldChar w:fldCharType="separate"/>
      </w:r>
      <w:r>
        <w:t>MSMENV472 Implement and monitor environmentally sustainable work practices</w:t>
      </w:r>
      <w:r>
        <w:fldChar w:fldCharType="end"/>
      </w:r>
    </w:p>
    <w:p w:rsidR="00411C70" w:rsidP="00411C70">
      <w:pPr>
        <w:pStyle w:val="Version"/>
        <w:sectPr w:rsidSect="003D1B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1B67" w:rsidP="003D1B67">
      <w:pPr>
        <w:pStyle w:val="SuperHeading"/>
      </w:pPr>
      <w:r w:rsidRPr="003D1B67">
        <w:t>MSMENV472 Implement and monitor environmentally sustainable work practices</w:t>
      </w:r>
    </w:p>
    <w:p w:rsidR="00000000" w:rsidRPr="003D1B67" w:rsidP="003D1B67">
      <w:pPr>
        <w:pStyle w:val="Heading1"/>
      </w:pPr>
      <w:bookmarkStart w:id="1" w:name="O_852012"/>
      <w:bookmarkEnd w:id="1"/>
      <w:r w:rsidRPr="003D1B67">
        <w:t>Modification History</w:t>
      </w:r>
    </w:p>
    <w:p w:rsidR="00000000" w:rsidRPr="003D1B67" w:rsidP="00411C70">
      <w:pPr>
        <w:pStyle w:val="BodyText"/>
      </w:pPr>
      <w:r w:rsidRPr="003D1B67">
        <w:t>Release 1. Supersedes and is equivalent to MSAENV472B Implement and monitor environmentally sustainable work practices</w:t>
      </w:r>
    </w:p>
    <w:p w:rsidR="00000000" w:rsidRPr="003D1B67" w:rsidP="003D1B67">
      <w:pPr>
        <w:pStyle w:val="Heading1"/>
      </w:pPr>
      <w:bookmarkStart w:id="2" w:name="O_852020"/>
      <w:bookmarkEnd w:id="2"/>
      <w:r w:rsidRPr="003D1B67">
        <w:t>Application</w:t>
      </w:r>
    </w:p>
    <w:p w:rsidR="00000000" w:rsidRPr="003D1B67" w:rsidP="00411C70">
      <w:pPr>
        <w:pStyle w:val="BodyText"/>
      </w:pPr>
      <w:r w:rsidRPr="003D1B67">
        <w:t>This unit of competency covers the skills and knowledge required to effectively analyse the workplace in relation to environmentally sustainable work practices, and to implement improvements and monitor their effectiveness.</w:t>
      </w:r>
    </w:p>
    <w:p w:rsidR="00000000" w:rsidRPr="003D1B67" w:rsidP="00411C70">
      <w:pPr>
        <w:pStyle w:val="BodyText"/>
      </w:pPr>
      <w:r w:rsidRPr="003D1B67">
        <w:t>This unit of compet</w:t>
      </w:r>
      <w:r w:rsidRPr="003D1B67">
        <w:t>ency applies to those who have responsibility for a specific area of work or who lead a work group or team. It addresses the knowledge, processes and techniques necessary to implement and monitor environmentally sustainable work practices, including the de</w:t>
      </w:r>
      <w:r w:rsidRPr="003D1B67">
        <w:t>velopment of processes and tools.</w:t>
      </w:r>
    </w:p>
    <w:p w:rsidR="00000000" w:rsidRPr="003D1B67" w:rsidP="00411C70">
      <w:pPr>
        <w:pStyle w:val="BodyText"/>
      </w:pPr>
      <w:r w:rsidRPr="003D1B67">
        <w:t>It includes identifying areas for improvement, developing plans to make improvements, and implementing and monitoring improvements in environmental performance.</w:t>
      </w:r>
    </w:p>
    <w:p w:rsidR="00000000" w:rsidRPr="003D1B67" w:rsidP="00411C70">
      <w:pPr>
        <w:pStyle w:val="BodyText"/>
      </w:pPr>
      <w:r w:rsidRPr="003D1B67">
        <w:t>This unit of competency applies to all sectors of the manuf</w:t>
      </w:r>
      <w:r w:rsidRPr="003D1B67">
        <w:t>acturing industry and members of its value chain. It may also be applied to all sections of an organisation, including office and warehouse. This unit will need to be appropriately contextualised as it is applied across an organisation and across different</w:t>
      </w:r>
      <w:r w:rsidRPr="003D1B67">
        <w:t xml:space="preserve"> industry sectors.</w:t>
      </w:r>
    </w:p>
    <w:p w:rsidR="00000000" w:rsidRPr="003D1B67" w:rsidP="00411C70">
      <w:pPr>
        <w:pStyle w:val="BodyText"/>
      </w:pPr>
      <w:r w:rsidRPr="003D1B67">
        <w:t>This unit of competency applies to an individual working alone or as part of a team/work group and working in liaison with other shift team members and the control room operator, as appropriate.</w:t>
      </w:r>
    </w:p>
    <w:p w:rsidR="00000000" w:rsidRPr="003D1B67" w:rsidP="00411C70">
      <w:pPr>
        <w:pStyle w:val="BodyText"/>
      </w:pPr>
      <w:r w:rsidRPr="003D1B67">
        <w:t>No licensing, legislative or certificati</w:t>
      </w:r>
      <w:r w:rsidRPr="003D1B67">
        <w:t>on requirements apply to this unit at the time of publication.</w:t>
      </w:r>
    </w:p>
    <w:p w:rsidR="00000000" w:rsidRPr="003D1B67" w:rsidP="003D1B67">
      <w:pPr>
        <w:pStyle w:val="Heading1"/>
      </w:pPr>
      <w:bookmarkStart w:id="3" w:name="O_852019"/>
      <w:bookmarkEnd w:id="3"/>
      <w:r w:rsidRPr="003D1B67">
        <w:t>Pre-requisite Unit</w:t>
      </w:r>
    </w:p>
    <w:p w:rsidR="00000000" w:rsidRPr="003D1B67" w:rsidP="00411C70">
      <w:pPr>
        <w:pStyle w:val="BodyText"/>
      </w:pPr>
      <w:r w:rsidRPr="003D1B67">
        <w:t>Nil</w:t>
      </w:r>
    </w:p>
    <w:p w:rsidR="00000000" w:rsidRPr="003D1B67" w:rsidP="003D1B67">
      <w:pPr>
        <w:pStyle w:val="Heading1"/>
      </w:pPr>
      <w:bookmarkStart w:id="4" w:name="O_852018"/>
      <w:bookmarkEnd w:id="4"/>
      <w:r w:rsidRPr="003D1B67">
        <w:t>Competency Field</w:t>
      </w:r>
    </w:p>
    <w:p w:rsidR="00000000" w:rsidRPr="003D1B67" w:rsidP="00411C70">
      <w:pPr>
        <w:pStyle w:val="BodyText"/>
      </w:pPr>
      <w:r w:rsidRPr="003D1B67">
        <w:t>HSE</w:t>
      </w:r>
    </w:p>
    <w:p w:rsidR="00000000" w:rsidRPr="003D1B67" w:rsidP="003D1B67">
      <w:pPr>
        <w:pStyle w:val="Heading1"/>
      </w:pPr>
      <w:bookmarkStart w:id="5" w:name="O_852017"/>
      <w:bookmarkEnd w:id="5"/>
      <w:r w:rsidRPr="003D1B67">
        <w:t>Unit Sector</w:t>
      </w:r>
    </w:p>
    <w:p w:rsidR="00000000" w:rsidRPr="003D1B67" w:rsidP="003D1B67">
      <w:pPr>
        <w:pStyle w:val="Heading1"/>
      </w:pPr>
      <w:bookmarkStart w:id="6" w:name="O_852016"/>
      <w:bookmarkEnd w:id="6"/>
      <w:r w:rsidRPr="003D1B6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D1B6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t>Elements describe the essential outc</w:t>
            </w:r>
            <w:r w:rsidRPr="003D1B67">
              <w:t>omes</w:t>
            </w:r>
          </w:p>
        </w:tc>
        <w:tc>
          <w:tcPr>
            <w:tcW w:w="6380" w:type="dxa"/>
            <w:gridSpan w:val="2"/>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t>Performance criteria describe the performance needed to demonstrate achievement of the element</w:t>
            </w:r>
          </w:p>
        </w:tc>
      </w:tr>
      <w:tr w:rsidTr="003D1B6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3D1B67">
            <w:pPr>
              <w:pStyle w:val="BodyText"/>
              <w:rPr>
                <w:lang w:val="en-NZ"/>
              </w:rPr>
            </w:pPr>
          </w:p>
        </w:tc>
      </w:tr>
      <w:tr w:rsidTr="003D1B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D1B67" w:rsidP="003D1B67">
            <w:pPr>
              <w:pStyle w:val="BodyText"/>
            </w:pPr>
            <w:r w:rsidRPr="003D1B67">
              <w:t>1</w:t>
            </w:r>
          </w:p>
        </w:tc>
        <w:tc>
          <w:tcPr>
            <w:tcW w:w="1962" w:type="dxa"/>
            <w:vMerge w:val="restart"/>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rPr>
                <w:rStyle w:val="SpecialBold"/>
              </w:rPr>
              <w:t>Investigate current practices in relation to resource usage</w:t>
            </w:r>
          </w:p>
        </w:tc>
        <w:tc>
          <w:tcPr>
            <w:tcW w:w="770" w:type="dxa"/>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t>1.1</w:t>
            </w:r>
          </w:p>
        </w:tc>
        <w:tc>
          <w:tcPr>
            <w:tcW w:w="5610" w:type="dxa"/>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t>Identify environmental regulations applying to the enterprise</w:t>
            </w:r>
          </w:p>
        </w:tc>
      </w:tr>
      <w:tr w:rsidTr="003D1B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t>1.2</w:t>
            </w:r>
          </w:p>
        </w:tc>
        <w:tc>
          <w:tcPr>
            <w:tcW w:w="5610" w:type="dxa"/>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t>Assess procedures for assessing compliance with environmental regulations</w:t>
            </w:r>
          </w:p>
        </w:tc>
      </w:tr>
      <w:tr w:rsidTr="003D1B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t>1.3</w:t>
            </w:r>
          </w:p>
        </w:tc>
        <w:tc>
          <w:tcPr>
            <w:tcW w:w="5610" w:type="dxa"/>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t>Collect information on environmental and resource efficiency systems and procedures and provide to the work group, as required</w:t>
            </w:r>
          </w:p>
        </w:tc>
      </w:tr>
      <w:tr w:rsidTr="003D1B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t>1.4</w:t>
            </w:r>
          </w:p>
        </w:tc>
        <w:tc>
          <w:tcPr>
            <w:tcW w:w="5610" w:type="dxa"/>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t>Measure and record current resource usage</w:t>
            </w:r>
            <w:r w:rsidRPr="003D1B67">
              <w:t xml:space="preserve"> by members of the work group</w:t>
            </w:r>
          </w:p>
        </w:tc>
      </w:tr>
      <w:tr w:rsidTr="003D1B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t>1.5</w:t>
            </w:r>
          </w:p>
        </w:tc>
        <w:tc>
          <w:tcPr>
            <w:tcW w:w="5610" w:type="dxa"/>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t>Analyse and record current purchasing strategies</w:t>
            </w:r>
          </w:p>
        </w:tc>
      </w:tr>
      <w:tr w:rsidTr="003D1B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t>1.6</w:t>
            </w:r>
          </w:p>
        </w:tc>
        <w:tc>
          <w:tcPr>
            <w:tcW w:w="5610" w:type="dxa"/>
            <w:tcBorders>
              <w:top w:val="nil"/>
              <w:left w:val="nil"/>
              <w:bottom w:val="nil"/>
              <w:right w:val="nil"/>
            </w:tcBorders>
            <w:tcMar>
              <w:top w:w="0" w:type="dxa"/>
              <w:left w:w="62" w:type="dxa"/>
              <w:bottom w:w="0" w:type="dxa"/>
              <w:right w:w="62" w:type="dxa"/>
            </w:tcMar>
          </w:tcPr>
          <w:p w:rsidR="00000000" w:rsidRPr="003D1B67" w:rsidP="003D1B67">
            <w:pPr>
              <w:pStyle w:val="BodyText"/>
            </w:pPr>
            <w:r w:rsidRPr="003D1B67">
              <w:t>Analyse current work processes to access information and data, and assist in identifying areas for improvement</w:t>
            </w:r>
          </w:p>
        </w:tc>
      </w:tr>
    </w:tbl>
    <w:p w:rsidR="00000000" w:rsidRPr="003D1B67" w:rsidP="003D1B67">
      <w:pPr>
        <w:pStyle w:val="BodyText"/>
      </w:pPr>
    </w:p>
    <w:tbl>
      <w:tblPr>
        <w:tblW w:w="0" w:type="auto"/>
        <w:tblLayout w:type="fixed"/>
        <w:tblCellMar>
          <w:left w:w="62" w:type="dxa"/>
          <w:right w:w="62" w:type="dxa"/>
        </w:tblCellMar>
        <w:tblLook w:val="0000"/>
      </w:tblPr>
      <w:tblGrid>
        <w:gridCol w:w="678"/>
        <w:gridCol w:w="1962"/>
        <w:gridCol w:w="770"/>
        <w:gridCol w:w="5610"/>
      </w:tblGrid>
      <w:tr w:rsidTr="003D1B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D1B67" w:rsidP="003D1B67">
            <w:pPr>
              <w:pStyle w:val="BodyText"/>
            </w:pPr>
            <w:r w:rsidRPr="003D1B67">
              <w:t>2</w:t>
            </w:r>
          </w:p>
        </w:tc>
        <w:tc>
          <w:tcPr>
            <w:tcW w:w="1962" w:type="dxa"/>
            <w:vMerge w:val="restart"/>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rPr>
                <w:rStyle w:val="SpecialBold"/>
              </w:rPr>
              <w:t>Set targets for improvements</w:t>
            </w:r>
          </w:p>
        </w:tc>
        <w:tc>
          <w:tcPr>
            <w:tcW w:w="770" w:type="dxa"/>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t>2.1</w:t>
            </w:r>
          </w:p>
        </w:tc>
        <w:tc>
          <w:tcPr>
            <w:tcW w:w="5610" w:type="dxa"/>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t>Seek input from stakeholders, key personnel and specialists</w:t>
            </w:r>
          </w:p>
        </w:tc>
      </w:tr>
      <w:tr w:rsidTr="003D1B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t>2.2</w:t>
            </w:r>
          </w:p>
        </w:tc>
        <w:tc>
          <w:tcPr>
            <w:tcW w:w="5610" w:type="dxa"/>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t>Access external sources of information and data as required</w:t>
            </w:r>
          </w:p>
        </w:tc>
      </w:tr>
      <w:tr w:rsidTr="003D1B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t>2.3</w:t>
            </w:r>
          </w:p>
        </w:tc>
        <w:tc>
          <w:tcPr>
            <w:tcW w:w="5610" w:type="dxa"/>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t>Evaluate alternative solutions to workplace environmental issues</w:t>
            </w:r>
          </w:p>
        </w:tc>
      </w:tr>
      <w:tr w:rsidTr="003D1B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t>2.4</w:t>
            </w:r>
          </w:p>
        </w:tc>
        <w:tc>
          <w:tcPr>
            <w:tcW w:w="5610" w:type="dxa"/>
            <w:tcBorders>
              <w:top w:val="nil"/>
              <w:left w:val="nil"/>
              <w:bottom w:val="nil"/>
              <w:right w:val="nil"/>
            </w:tcBorders>
            <w:tcMar>
              <w:top w:w="0" w:type="dxa"/>
              <w:left w:w="62" w:type="dxa"/>
              <w:bottom w:w="0" w:type="dxa"/>
              <w:right w:w="62" w:type="dxa"/>
            </w:tcMar>
          </w:tcPr>
          <w:p w:rsidR="00000000" w:rsidRPr="003D1B67" w:rsidP="003D1B67">
            <w:pPr>
              <w:pStyle w:val="BodyText"/>
            </w:pPr>
            <w:r w:rsidRPr="003D1B67">
              <w:t>Set efficiency targets</w:t>
            </w:r>
          </w:p>
        </w:tc>
      </w:tr>
    </w:tbl>
    <w:p w:rsidR="00000000" w:rsidRPr="003D1B67" w:rsidP="003D1B67">
      <w:pPr>
        <w:pStyle w:val="BodyText"/>
      </w:pPr>
    </w:p>
    <w:tbl>
      <w:tblPr>
        <w:tblW w:w="0" w:type="auto"/>
        <w:tblLayout w:type="fixed"/>
        <w:tblCellMar>
          <w:left w:w="62" w:type="dxa"/>
          <w:right w:w="62" w:type="dxa"/>
        </w:tblCellMar>
        <w:tblLook w:val="0000"/>
      </w:tblPr>
      <w:tblGrid>
        <w:gridCol w:w="678"/>
        <w:gridCol w:w="1962"/>
        <w:gridCol w:w="770"/>
        <w:gridCol w:w="5610"/>
      </w:tblGrid>
      <w:tr w:rsidTr="003D1B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D1B67" w:rsidP="003D1B67">
            <w:pPr>
              <w:pStyle w:val="BodyText"/>
            </w:pPr>
            <w:r w:rsidRPr="003D1B67">
              <w:t>3</w:t>
            </w:r>
          </w:p>
        </w:tc>
        <w:tc>
          <w:tcPr>
            <w:tcW w:w="1962" w:type="dxa"/>
            <w:vMerge w:val="restart"/>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rPr>
                <w:rStyle w:val="SpecialBold"/>
              </w:rPr>
              <w:t xml:space="preserve">Implement performance </w:t>
            </w:r>
            <w:r w:rsidRPr="003D1B67">
              <w:rPr>
                <w:rStyle w:val="SpecialBold"/>
              </w:rPr>
              <w:t>improvement strategies</w:t>
            </w:r>
          </w:p>
        </w:tc>
        <w:tc>
          <w:tcPr>
            <w:tcW w:w="770" w:type="dxa"/>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t>3.1</w:t>
            </w:r>
          </w:p>
        </w:tc>
        <w:tc>
          <w:tcPr>
            <w:tcW w:w="5610" w:type="dxa"/>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t>Source and use techniques/tools to assist in achieving targets</w:t>
            </w:r>
          </w:p>
        </w:tc>
      </w:tr>
      <w:tr w:rsidTr="003D1B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t>3.2</w:t>
            </w:r>
          </w:p>
        </w:tc>
        <w:tc>
          <w:tcPr>
            <w:tcW w:w="5610" w:type="dxa"/>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t>Apply continuous improvement strategies to own work area of responsibility, and communicate ideas and possible solutions to the work group and management</w:t>
            </w:r>
          </w:p>
        </w:tc>
      </w:tr>
      <w:tr w:rsidTr="003D1B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t>3.3</w:t>
            </w:r>
          </w:p>
        </w:tc>
        <w:tc>
          <w:tcPr>
            <w:tcW w:w="5610" w:type="dxa"/>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t>Integrate environmental and resource efficiency improvement plans for own work group with other</w:t>
            </w:r>
            <w:r w:rsidRPr="003D1B67">
              <w:t xml:space="preserve"> operational activities and implement them</w:t>
            </w:r>
          </w:p>
        </w:tc>
      </w:tr>
      <w:tr w:rsidTr="003D1B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t>3.4</w:t>
            </w:r>
          </w:p>
        </w:tc>
        <w:tc>
          <w:tcPr>
            <w:tcW w:w="5610" w:type="dxa"/>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t>Seek suggestions and ideas about environmental and resource efficiency management from stakeholders and act upon them where appropriate</w:t>
            </w:r>
          </w:p>
        </w:tc>
      </w:tr>
      <w:tr w:rsidTr="003D1B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t>3.5</w:t>
            </w:r>
          </w:p>
        </w:tc>
        <w:tc>
          <w:tcPr>
            <w:tcW w:w="5610" w:type="dxa"/>
            <w:tcBorders>
              <w:top w:val="nil"/>
              <w:left w:val="nil"/>
              <w:bottom w:val="nil"/>
              <w:right w:val="nil"/>
            </w:tcBorders>
            <w:tcMar>
              <w:top w:w="0" w:type="dxa"/>
              <w:left w:w="62" w:type="dxa"/>
              <w:bottom w:w="0" w:type="dxa"/>
              <w:right w:w="62" w:type="dxa"/>
            </w:tcMar>
          </w:tcPr>
          <w:p w:rsidR="00000000" w:rsidRPr="003D1B67" w:rsidP="003D1B67">
            <w:pPr>
              <w:pStyle w:val="BodyText"/>
            </w:pPr>
            <w:r w:rsidRPr="003D1B67">
              <w:t>Implement costing strategies to fully value environmental assets</w:t>
            </w:r>
          </w:p>
        </w:tc>
      </w:tr>
    </w:tbl>
    <w:p w:rsidR="00000000" w:rsidRPr="003D1B67" w:rsidP="003D1B67">
      <w:pPr>
        <w:pStyle w:val="BodyText"/>
      </w:pPr>
    </w:p>
    <w:tbl>
      <w:tblPr>
        <w:tblW w:w="0" w:type="auto"/>
        <w:tblLayout w:type="fixed"/>
        <w:tblCellMar>
          <w:left w:w="62" w:type="dxa"/>
          <w:right w:w="62" w:type="dxa"/>
        </w:tblCellMar>
        <w:tblLook w:val="0000"/>
      </w:tblPr>
      <w:tblGrid>
        <w:gridCol w:w="678"/>
        <w:gridCol w:w="1962"/>
        <w:gridCol w:w="770"/>
        <w:gridCol w:w="5610"/>
      </w:tblGrid>
      <w:tr w:rsidTr="003D1B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D1B67" w:rsidP="003D1B67">
            <w:pPr>
              <w:pStyle w:val="BodyText"/>
            </w:pPr>
            <w:r w:rsidRPr="003D1B67">
              <w:t>4</w:t>
            </w:r>
          </w:p>
        </w:tc>
        <w:tc>
          <w:tcPr>
            <w:tcW w:w="1962" w:type="dxa"/>
            <w:vMerge w:val="restart"/>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rPr>
                <w:rStyle w:val="SpecialBold"/>
              </w:rPr>
              <w:t>Monitor performance</w:t>
            </w:r>
          </w:p>
        </w:tc>
        <w:tc>
          <w:tcPr>
            <w:tcW w:w="770" w:type="dxa"/>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t>4.1</w:t>
            </w:r>
          </w:p>
        </w:tc>
        <w:tc>
          <w:tcPr>
            <w:tcW w:w="5610" w:type="dxa"/>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t>Document outcomes and communicate reports on targets to key personnel and stakeholders</w:t>
            </w:r>
          </w:p>
        </w:tc>
      </w:tr>
      <w:tr w:rsidTr="003D1B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t>4.2</w:t>
            </w:r>
          </w:p>
        </w:tc>
        <w:tc>
          <w:tcPr>
            <w:tcW w:w="5610" w:type="dxa"/>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t>Evaluate strategies and environmental performance, including</w:t>
            </w:r>
            <w:r w:rsidRPr="003D1B67">
              <w:t xml:space="preserve"> breaches or potential breaches of regulations and occurrences outside of standard procedure which may lead to lower environmental performance</w:t>
            </w:r>
          </w:p>
        </w:tc>
      </w:tr>
      <w:tr w:rsidTr="003D1B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t>4.3</w:t>
            </w:r>
          </w:p>
        </w:tc>
        <w:tc>
          <w:tcPr>
            <w:tcW w:w="5610" w:type="dxa"/>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t>Set new targets and investigate and apply new tools and strategies</w:t>
            </w:r>
          </w:p>
        </w:tc>
      </w:tr>
      <w:tr w:rsidTr="003D1B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t>4.4</w:t>
            </w:r>
          </w:p>
        </w:tc>
        <w:tc>
          <w:tcPr>
            <w:tcW w:w="5610" w:type="dxa"/>
            <w:tcBorders>
              <w:top w:val="nil"/>
              <w:left w:val="nil"/>
              <w:bottom w:val="nil"/>
              <w:right w:val="nil"/>
            </w:tcBorders>
            <w:tcMar>
              <w:top w:w="0" w:type="dxa"/>
              <w:left w:w="62" w:type="dxa"/>
              <w:bottom w:w="0" w:type="dxa"/>
              <w:right w:w="62" w:type="dxa"/>
            </w:tcMar>
          </w:tcPr>
          <w:p w:rsidR="00000000" w:rsidRPr="003D1B67" w:rsidP="003D1B67">
            <w:pPr>
              <w:pStyle w:val="BodyText"/>
            </w:pPr>
            <w:r w:rsidRPr="003D1B67">
              <w:t>Promote successful strategies an</w:t>
            </w:r>
            <w:r w:rsidRPr="003D1B67">
              <w:t>d reward participants where possible</w:t>
            </w:r>
          </w:p>
        </w:tc>
      </w:tr>
    </w:tbl>
    <w:p w:rsidR="00000000" w:rsidRPr="003D1B67" w:rsidP="003D1B67">
      <w:pPr>
        <w:pStyle w:val="BodyText"/>
      </w:pPr>
    </w:p>
    <w:p w:rsidR="00000000" w:rsidRPr="003D1B67" w:rsidP="003D1B67">
      <w:pPr>
        <w:pStyle w:val="AllowPageBreak"/>
      </w:pPr>
    </w:p>
    <w:p w:rsidR="00000000" w:rsidRPr="003D1B67" w:rsidP="003D1B67">
      <w:pPr>
        <w:pStyle w:val="Heading1"/>
      </w:pPr>
      <w:bookmarkStart w:id="7" w:name="O_852015"/>
      <w:bookmarkEnd w:id="7"/>
      <w:r w:rsidRPr="003D1B67">
        <w:t>Foundation Skills</w:t>
      </w:r>
    </w:p>
    <w:p w:rsidR="00000000" w:rsidRPr="003D1B67" w:rsidP="00411C70">
      <w:pPr>
        <w:pStyle w:val="BodyText"/>
      </w:pPr>
      <w:r w:rsidRPr="003D1B67">
        <w:t>This section describes those language, literacy, numeracy and employment skills that are essential to performance.</w:t>
      </w:r>
    </w:p>
    <w:p w:rsidR="00000000" w:rsidRPr="003D1B67" w:rsidP="00411C70">
      <w:pPr>
        <w:pStyle w:val="BodyText"/>
      </w:pPr>
      <w:r w:rsidRPr="003D1B67">
        <w:t>Foundation skills essential to performance are explicit in the per</w:t>
      </w:r>
      <w:r w:rsidRPr="003D1B67">
        <w:t>formance criteria of this unit of competency.</w:t>
      </w:r>
    </w:p>
    <w:p w:rsidR="00000000" w:rsidRPr="003D1B67" w:rsidP="003D1B67">
      <w:pPr>
        <w:pStyle w:val="Heading1"/>
      </w:pPr>
      <w:bookmarkStart w:id="8" w:name="O_852014"/>
      <w:bookmarkEnd w:id="8"/>
      <w:r w:rsidRPr="003D1B67">
        <w:t>Range of Conditions</w:t>
      </w:r>
    </w:p>
    <w:tbl>
      <w:tblPr>
        <w:tblW w:w="9639" w:type="dxa"/>
        <w:tblLayout w:type="fixed"/>
        <w:tblCellMar>
          <w:left w:w="62" w:type="dxa"/>
          <w:right w:w="62" w:type="dxa"/>
        </w:tblCellMar>
        <w:tblLook w:val="0000"/>
      </w:tblPr>
      <w:tblGrid>
        <w:gridCol w:w="3033"/>
        <w:gridCol w:w="6606"/>
      </w:tblGrid>
      <w:tr w:rsidTr="003D1B67">
        <w:tblPrEx>
          <w:tblW w:w="9639" w:type="dxa"/>
          <w:tblLayout w:type="fixed"/>
          <w:tblCellMar>
            <w:left w:w="62" w:type="dxa"/>
            <w:right w:w="62" w:type="dxa"/>
          </w:tblCellMar>
          <w:tblLook w:val="0000"/>
        </w:tblPrEx>
        <w:tc>
          <w:tcPr>
            <w:tcW w:w="9639" w:type="dxa"/>
            <w:gridSpan w:val="2"/>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t xml:space="preserve">This field allows for different work environments and conditions that may affect performance. Essential operating conditions that may be present (depending </w:t>
            </w:r>
            <w:r w:rsidRPr="003D1B67">
              <w:t>on the work situation, needs of the candidate, accessibility of the item, and local industry and regional contexts) are included.</w:t>
            </w:r>
          </w:p>
        </w:tc>
      </w:tr>
      <w:tr w:rsidTr="003D1B67">
        <w:tblPrEx>
          <w:tblW w:w="9639" w:type="dxa"/>
          <w:tblLayout w:type="fixed"/>
          <w:tblCellMar>
            <w:left w:w="62" w:type="dxa"/>
            <w:right w:w="62" w:type="dxa"/>
          </w:tblCellMar>
          <w:tblLook w:val="0000"/>
        </w:tblPrEx>
        <w:tc>
          <w:tcPr>
            <w:tcW w:w="3033" w:type="dxa"/>
            <w:tcBorders>
              <w:top w:val="nil"/>
              <w:left w:val="nil"/>
              <w:bottom w:val="nil"/>
              <w:right w:val="nil"/>
            </w:tcBorders>
            <w:tcMar>
              <w:top w:w="0" w:type="dxa"/>
              <w:left w:w="62" w:type="dxa"/>
              <w:bottom w:w="0" w:type="dxa"/>
              <w:right w:w="62" w:type="dxa"/>
            </w:tcMar>
          </w:tcPr>
          <w:p w:rsidR="00000000" w:rsidP="003D1B67">
            <w:pPr>
              <w:pStyle w:val="BodyText"/>
              <w:rPr>
                <w:lang w:val="en-NZ"/>
              </w:rPr>
            </w:pPr>
            <w:r w:rsidRPr="003D1B67">
              <w:rPr>
                <w:rStyle w:val="SpecialBold"/>
              </w:rPr>
              <w:t>Regulatory framework</w:t>
            </w:r>
          </w:p>
        </w:tc>
        <w:tc>
          <w:tcPr>
            <w:tcW w:w="6606" w:type="dxa"/>
            <w:tcBorders>
              <w:top w:val="nil"/>
              <w:left w:val="nil"/>
              <w:bottom w:val="nil"/>
              <w:right w:val="nil"/>
            </w:tcBorders>
            <w:tcMar>
              <w:top w:w="0" w:type="dxa"/>
              <w:left w:w="62" w:type="dxa"/>
              <w:bottom w:w="0" w:type="dxa"/>
              <w:right w:w="62" w:type="dxa"/>
            </w:tcMar>
          </w:tcPr>
          <w:p w:rsidR="00000000" w:rsidRPr="003D1B67" w:rsidP="003D1B67">
            <w:pPr>
              <w:pStyle w:val="BodyText"/>
            </w:pPr>
            <w:r w:rsidRPr="003D1B67">
              <w:t>The latest version of all legislation, regulations, industry codes of practice and Australian/internati</w:t>
            </w:r>
            <w:r w:rsidRPr="003D1B67">
              <w:t>onal standards, or the version specified by the local regulatory authority, must be used, and include one or more of the following:</w:t>
            </w:r>
          </w:p>
          <w:p w:rsidR="00000000" w:rsidRPr="003D1B67" w:rsidP="003D1B67">
            <w:pPr>
              <w:pStyle w:val="ListBullet"/>
            </w:pPr>
            <w:r w:rsidRPr="003D1B67">
              <w:t>legislative requirements, including work health and safety (WHS)</w:t>
            </w:r>
          </w:p>
          <w:p w:rsidR="00000000" w:rsidRPr="003D1B67" w:rsidP="003D1B67">
            <w:pPr>
              <w:pStyle w:val="ListBullet"/>
            </w:pPr>
            <w:r w:rsidRPr="003D1B67">
              <w:t>industry codes of practice and guidelines</w:t>
            </w:r>
          </w:p>
          <w:p w:rsidR="00000000" w:rsidRPr="003D1B67" w:rsidP="003D1B67">
            <w:pPr>
              <w:pStyle w:val="ListBullet"/>
            </w:pPr>
            <w:r w:rsidRPr="003D1B67">
              <w:t>environmental re</w:t>
            </w:r>
            <w:r w:rsidRPr="003D1B67">
              <w:t xml:space="preserve">gulations and guidelines </w:t>
            </w:r>
          </w:p>
          <w:p w:rsidR="00000000" w:rsidRPr="003D1B67" w:rsidP="003D1B67">
            <w:pPr>
              <w:pStyle w:val="ListBullet"/>
            </w:pPr>
            <w:r w:rsidRPr="003D1B67">
              <w:t>Australian and other standards</w:t>
            </w:r>
          </w:p>
          <w:p w:rsidR="00000000" w:rsidRPr="003D1B67" w:rsidP="003D1B67">
            <w:pPr>
              <w:pStyle w:val="ListBullet"/>
            </w:pPr>
            <w:r w:rsidRPr="003D1B67">
              <w:t xml:space="preserve">licence and certification requirements </w:t>
            </w:r>
          </w:p>
          <w:p w:rsidR="00000000" w:rsidP="003D1B67">
            <w:pPr>
              <w:pStyle w:val="ListBullet"/>
              <w:rPr>
                <w:lang w:val="en-NZ"/>
              </w:rPr>
            </w:pPr>
            <w:r w:rsidRPr="003D1B67">
              <w:rPr>
                <w:rStyle w:val="Emphasis"/>
              </w:rPr>
              <w:t>ISO 14001:2015 Environmental management systems</w:t>
            </w:r>
          </w:p>
        </w:tc>
      </w:tr>
      <w:tr w:rsidTr="003D1B67">
        <w:tblPrEx>
          <w:tblW w:w="9639" w:type="dxa"/>
          <w:tblLayout w:type="fixed"/>
          <w:tblCellMar>
            <w:left w:w="62" w:type="dxa"/>
            <w:right w:w="62" w:type="dxa"/>
          </w:tblCellMar>
          <w:tblLook w:val="0000"/>
        </w:tblPrEx>
        <w:tc>
          <w:tcPr>
            <w:tcW w:w="3033" w:type="dxa"/>
            <w:tcBorders>
              <w:top w:val="nil"/>
              <w:left w:val="nil"/>
              <w:bottom w:val="nil"/>
              <w:right w:val="nil"/>
            </w:tcBorders>
            <w:tcMar>
              <w:top w:w="0" w:type="dxa"/>
              <w:left w:w="62" w:type="dxa"/>
              <w:bottom w:w="0" w:type="dxa"/>
              <w:right w:w="62" w:type="dxa"/>
            </w:tcMar>
          </w:tcPr>
          <w:p w:rsidR="00000000" w:rsidRPr="003D1B67" w:rsidP="003D1B67">
            <w:pPr>
              <w:pStyle w:val="BodyText"/>
            </w:pPr>
          </w:p>
          <w:p w:rsidR="00000000" w:rsidP="003D1B67">
            <w:pPr>
              <w:pStyle w:val="BodyText"/>
              <w:rPr>
                <w:lang w:val="en-NZ"/>
              </w:rPr>
            </w:pPr>
            <w:r w:rsidRPr="003D1B67">
              <w:rPr>
                <w:rStyle w:val="SpecialBold"/>
              </w:rPr>
              <w:t>Procedures</w:t>
            </w:r>
          </w:p>
        </w:tc>
        <w:tc>
          <w:tcPr>
            <w:tcW w:w="6606" w:type="dxa"/>
            <w:tcBorders>
              <w:top w:val="nil"/>
              <w:left w:val="nil"/>
              <w:bottom w:val="nil"/>
              <w:right w:val="nil"/>
            </w:tcBorders>
            <w:tcMar>
              <w:top w:w="0" w:type="dxa"/>
              <w:left w:w="62" w:type="dxa"/>
              <w:bottom w:w="0" w:type="dxa"/>
              <w:right w:w="62" w:type="dxa"/>
            </w:tcMar>
          </w:tcPr>
          <w:p w:rsidR="00000000" w:rsidRPr="003D1B67" w:rsidP="003D1B67">
            <w:pPr>
              <w:pStyle w:val="BodyText"/>
            </w:pPr>
          </w:p>
          <w:p w:rsidR="00000000" w:rsidRPr="003D1B67" w:rsidP="003D1B67">
            <w:pPr>
              <w:pStyle w:val="BodyText"/>
            </w:pPr>
            <w:r w:rsidRPr="003D1B67">
              <w:t>All operations must be performed in accordance with relevant procedures.</w:t>
            </w:r>
          </w:p>
          <w:p w:rsidR="00000000" w:rsidRPr="003D1B67" w:rsidP="003D1B67">
            <w:pPr>
              <w:pStyle w:val="BodyText"/>
            </w:pPr>
          </w:p>
          <w:p w:rsidR="00000000" w:rsidRPr="003D1B67" w:rsidP="003D1B67">
            <w:pPr>
              <w:pStyle w:val="BodyText"/>
            </w:pPr>
            <w:r w:rsidRPr="003D1B67">
              <w:t xml:space="preserve">Procedures are written, verbal, visual, computer-based or in some other form, and include one or more of the following: </w:t>
            </w:r>
          </w:p>
          <w:p w:rsidR="00000000" w:rsidRPr="003D1B67" w:rsidP="003D1B67">
            <w:pPr>
              <w:pStyle w:val="ListBullet"/>
            </w:pPr>
            <w:r w:rsidRPr="003D1B67">
              <w:t>work instructions</w:t>
            </w:r>
          </w:p>
          <w:p w:rsidR="00000000" w:rsidRPr="003D1B67" w:rsidP="003D1B67">
            <w:pPr>
              <w:pStyle w:val="ListBullet"/>
            </w:pPr>
            <w:r w:rsidRPr="003D1B67">
              <w:t>standard operating procedures (SOPs)</w:t>
            </w:r>
          </w:p>
          <w:p w:rsidR="00000000" w:rsidRPr="003D1B67" w:rsidP="003D1B67">
            <w:pPr>
              <w:pStyle w:val="ListBullet"/>
            </w:pPr>
            <w:r w:rsidRPr="003D1B67">
              <w:t>safe work method statements (SWMS)</w:t>
            </w:r>
          </w:p>
          <w:p w:rsidR="00000000" w:rsidRPr="003D1B67" w:rsidP="003D1B67">
            <w:pPr>
              <w:pStyle w:val="ListBullet"/>
            </w:pPr>
            <w:r w:rsidRPr="003D1B67">
              <w:t>formulas/recipes</w:t>
            </w:r>
          </w:p>
          <w:p w:rsidR="00000000" w:rsidRPr="003D1B67" w:rsidP="003D1B67">
            <w:pPr>
              <w:pStyle w:val="ListBullet"/>
            </w:pPr>
            <w:r w:rsidRPr="003D1B67">
              <w:t>batch sheets</w:t>
            </w:r>
          </w:p>
          <w:p w:rsidR="00000000" w:rsidRPr="003D1B67" w:rsidP="003D1B67">
            <w:pPr>
              <w:pStyle w:val="ListBullet"/>
            </w:pPr>
            <w:r w:rsidRPr="003D1B67">
              <w:t>temporary inst</w:t>
            </w:r>
            <w:r w:rsidRPr="003D1B67">
              <w:t>ructions</w:t>
            </w:r>
          </w:p>
          <w:p w:rsidR="00000000" w:rsidRPr="003D1B67" w:rsidP="003D1B67">
            <w:pPr>
              <w:pStyle w:val="ListBullet"/>
            </w:pPr>
            <w:r w:rsidRPr="003D1B67">
              <w:t>any similar instructions provided for the smooth running of the plant</w:t>
            </w:r>
          </w:p>
        </w:tc>
      </w:tr>
    </w:tbl>
    <w:p w:rsidR="00000000" w:rsidRPr="003D1B67" w:rsidP="003D1B67">
      <w:pPr>
        <w:pStyle w:val="BodyText"/>
      </w:pPr>
    </w:p>
    <w:p w:rsidR="00000000" w:rsidRPr="003D1B67" w:rsidP="003D1B67">
      <w:pPr>
        <w:pStyle w:val="AllowPageBreak"/>
      </w:pPr>
    </w:p>
    <w:p w:rsidR="00000000" w:rsidRPr="003D1B67" w:rsidP="003D1B67">
      <w:pPr>
        <w:pStyle w:val="Heading1"/>
      </w:pPr>
      <w:bookmarkStart w:id="9" w:name="O_852013"/>
      <w:bookmarkEnd w:id="9"/>
      <w:r w:rsidRPr="003D1B67">
        <w:t>Unit Mapping Information</w:t>
      </w:r>
    </w:p>
    <w:p w:rsidR="00000000" w:rsidRPr="003D1B67" w:rsidP="003D1B67">
      <w:pPr>
        <w:pStyle w:val="Heading1"/>
      </w:pPr>
      <w:bookmarkStart w:id="10" w:name="O_852006"/>
      <w:bookmarkEnd w:id="10"/>
      <w:r w:rsidRPr="003D1B67">
        <w:t>Links</w:t>
      </w:r>
    </w:p>
    <w:p w:rsidR="00000000" w:rsidRPr="003D1B67" w:rsidP="00411C70">
      <w:pPr>
        <w:pStyle w:val="BodyText"/>
      </w:pPr>
      <w:r w:rsidRPr="003D1B67">
        <w:t>Companion Volume imple</w:t>
      </w:r>
      <w:r w:rsidRPr="003D1B67">
        <w:t xml:space="preserve">mentation guides are found in VETNet - </w:t>
      </w:r>
      <w:r>
        <w:fldChar w:fldCharType="begin"/>
      </w:r>
      <w:r>
        <w:instrText xml:space="preserve"> HYPERLINK "https://vetnet.gov.au/Pages/TrainingDocs.aspx?q=d1287d36-dff4-4e9f-ad2c-9d6270054027" </w:instrText>
      </w:r>
      <w:r>
        <w:fldChar w:fldCharType="separate"/>
      </w:r>
      <w:r w:rsidRPr="00D81187">
        <w:rPr>
          <w:rStyle w:val="Hyperlink"/>
        </w:rPr>
        <w:t>https://vetnet.gov.au/Pages/TrainingDocs.aspx?q=d1287d36-dff4-4e9f-ad2c-9d6270054027</w:t>
      </w:r>
      <w:r>
        <w:fldChar w:fldCharType="end"/>
      </w:r>
    </w:p>
    <w:p w:rsidR="00000000" w:rsidRPr="003D1B67" w:rsidP="00411C70">
      <w:pPr>
        <w:pStyle w:val="BodyText"/>
        <w:sectPr w:rsidSect="003D1B67">
          <w:headerReference w:type="default" r:id="rId10"/>
          <w:footerReference w:type="default" r:id="rId11"/>
          <w:pgSz w:w="11908" w:h="16833"/>
          <w:pgMar w:top="1702" w:right="1418" w:bottom="1702" w:left="1418" w:header="992" w:footer="992" w:gutter="0"/>
          <w:cols w:space="720"/>
          <w:noEndnote/>
          <w:docGrid w:linePitch="299"/>
        </w:sectPr>
      </w:pPr>
    </w:p>
    <w:p w:rsidR="00000000" w:rsidRPr="003D1B67" w:rsidP="003D1B67">
      <w:pPr>
        <w:pStyle w:val="SuperHeading"/>
      </w:pPr>
      <w:r w:rsidRPr="003D1B67">
        <w:t>Assessment Requirements for MSMENV472 Implement and monitor environmentally sustainab</w:t>
      </w:r>
      <w:r w:rsidRPr="003D1B67">
        <w:t>le work practices</w:t>
      </w:r>
    </w:p>
    <w:p w:rsidR="00000000" w:rsidRPr="003D1B67" w:rsidP="003D1B67">
      <w:pPr>
        <w:pStyle w:val="Heading1"/>
      </w:pPr>
      <w:bookmarkStart w:id="11" w:name="O_852008"/>
      <w:bookmarkEnd w:id="11"/>
      <w:r w:rsidRPr="003D1B67">
        <w:t>Modification History</w:t>
      </w:r>
    </w:p>
    <w:p w:rsidR="00000000" w:rsidRPr="003D1B67" w:rsidP="00411C70">
      <w:pPr>
        <w:pStyle w:val="BodyText"/>
      </w:pPr>
      <w:r w:rsidRPr="003D1B67">
        <w:t>Release 1. Supersedes and is equivalent to MSAENV472B Implement and monitor environmentally sustainable work practices</w:t>
      </w:r>
    </w:p>
    <w:p w:rsidR="00000000" w:rsidRPr="003D1B67" w:rsidP="003D1B67">
      <w:pPr>
        <w:pStyle w:val="Heading1"/>
      </w:pPr>
      <w:bookmarkStart w:id="12" w:name="O_852011"/>
      <w:bookmarkEnd w:id="12"/>
      <w:r w:rsidRPr="003D1B67">
        <w:t>Performance Evidence</w:t>
      </w:r>
    </w:p>
    <w:p w:rsidR="00000000" w:rsidRPr="003D1B67" w:rsidP="00411C70">
      <w:pPr>
        <w:pStyle w:val="BodyText"/>
      </w:pPr>
      <w:r w:rsidRPr="003D1B67">
        <w:t>Evidence required to demonstrate competence in this unit must be relevant to and satisfy the requirements of the elements and performance criteria and must include the ability to:</w:t>
      </w:r>
    </w:p>
    <w:p w:rsidR="00000000" w:rsidRPr="003D1B67" w:rsidP="003D1B67">
      <w:pPr>
        <w:pStyle w:val="ListBullet"/>
      </w:pPr>
      <w:r w:rsidRPr="003D1B67">
        <w:t>investigate/analyse resource usage</w:t>
      </w:r>
    </w:p>
    <w:p w:rsidR="00000000" w:rsidRPr="003D1B67" w:rsidP="003D1B67">
      <w:pPr>
        <w:pStyle w:val="ListBullet"/>
      </w:pPr>
      <w:r w:rsidRPr="003D1B67">
        <w:t>evaluate improvement alternatives and set targets</w:t>
      </w:r>
    </w:p>
    <w:p w:rsidR="00000000" w:rsidRPr="003D1B67" w:rsidP="003D1B67">
      <w:pPr>
        <w:pStyle w:val="ListBullet"/>
      </w:pPr>
      <w:r w:rsidRPr="003D1B67">
        <w:t>implement improvements within the limit of own authority</w:t>
      </w:r>
    </w:p>
    <w:p w:rsidR="00000000" w:rsidRPr="003D1B67" w:rsidP="003D1B67">
      <w:pPr>
        <w:pStyle w:val="ListBullet"/>
      </w:pPr>
      <w:r w:rsidRPr="003D1B67">
        <w:t>monitor the performance of improvements.</w:t>
      </w:r>
    </w:p>
    <w:p w:rsidR="00000000" w:rsidRPr="003D1B67" w:rsidP="003D1B67">
      <w:pPr>
        <w:pStyle w:val="AllowPageBreak"/>
      </w:pPr>
    </w:p>
    <w:p w:rsidR="00000000" w:rsidRPr="003D1B67" w:rsidP="003D1B67">
      <w:pPr>
        <w:pStyle w:val="Heading1"/>
      </w:pPr>
      <w:bookmarkStart w:id="13" w:name="O_852010"/>
      <w:bookmarkEnd w:id="13"/>
      <w:r w:rsidRPr="003D1B67">
        <w:t>Knowledge Evidence</w:t>
      </w:r>
    </w:p>
    <w:p w:rsidR="00000000" w:rsidRPr="003D1B67" w:rsidP="00411C70">
      <w:pPr>
        <w:pStyle w:val="BodyText"/>
      </w:pPr>
      <w:r w:rsidRPr="003D1B67">
        <w:t>Evidence must be provided that demonstrates knowledge of:</w:t>
      </w:r>
    </w:p>
    <w:p w:rsidR="00000000" w:rsidRPr="003D1B67" w:rsidP="003D1B67">
      <w:pPr>
        <w:pStyle w:val="ListBullet"/>
      </w:pPr>
      <w:r w:rsidRPr="003D1B67">
        <w:t>relevant envi</w:t>
      </w:r>
      <w:r w:rsidRPr="003D1B67">
        <w:t>ronmental and resource efficiency issues, specific to industry practices, including:</w:t>
      </w:r>
    </w:p>
    <w:p w:rsidR="00000000" w:rsidRPr="003D1B67" w:rsidP="003D1B67">
      <w:pPr>
        <w:pStyle w:val="ListBullet2"/>
      </w:pPr>
      <w:r w:rsidRPr="003D1B67">
        <w:t>contribution to climate change and other macro threats that can arise from materials and work processes used</w:t>
      </w:r>
    </w:p>
    <w:p w:rsidR="00000000" w:rsidRPr="003D1B67" w:rsidP="003D1B67">
      <w:pPr>
        <w:pStyle w:val="ListBullet2"/>
      </w:pPr>
      <w:r w:rsidRPr="003D1B67">
        <w:t>regulated environmental issues</w:t>
      </w:r>
    </w:p>
    <w:p w:rsidR="00000000" w:rsidRPr="003D1B67" w:rsidP="003D1B67">
      <w:pPr>
        <w:pStyle w:val="ListBullet2"/>
      </w:pPr>
      <w:r w:rsidRPr="003D1B67">
        <w:t>issues relevant to licencing c</w:t>
      </w:r>
      <w:r w:rsidRPr="003D1B67">
        <w:t>onditions</w:t>
      </w:r>
    </w:p>
    <w:p w:rsidR="00000000" w:rsidRPr="003D1B67" w:rsidP="003D1B67">
      <w:pPr>
        <w:pStyle w:val="ListBullet"/>
      </w:pPr>
      <w:r w:rsidRPr="003D1B67">
        <w:t>best practice environmental approaches relevant to own area of responsibility</w:t>
      </w:r>
    </w:p>
    <w:p w:rsidR="00000000" w:rsidRPr="003D1B67" w:rsidP="003D1B67">
      <w:pPr>
        <w:pStyle w:val="ListBullet"/>
      </w:pPr>
      <w:r w:rsidRPr="003D1B67">
        <w:t>methods for measuring and calculating resource usage.</w:t>
      </w:r>
    </w:p>
    <w:p w:rsidR="00000000" w:rsidRPr="003D1B67" w:rsidP="003D1B67">
      <w:pPr>
        <w:pStyle w:val="AllowPageBreak"/>
      </w:pPr>
    </w:p>
    <w:p w:rsidR="00000000" w:rsidRPr="003D1B67" w:rsidP="003D1B67">
      <w:pPr>
        <w:pStyle w:val="Heading1"/>
      </w:pPr>
      <w:bookmarkStart w:id="14" w:name="O_852009"/>
      <w:bookmarkEnd w:id="14"/>
      <w:r w:rsidRPr="003D1B67">
        <w:t>Assessment Conditions</w:t>
      </w:r>
    </w:p>
    <w:p w:rsidR="00000000" w:rsidRPr="003D1B67" w:rsidP="003D1B67">
      <w:pPr>
        <w:pStyle w:val="ListBullet"/>
      </w:pPr>
      <w:r w:rsidRPr="003D1B67">
        <w:t>The unit should be assessed holistically and the judgement of competence based on a holistic assessment of the evidence.</w:t>
      </w:r>
    </w:p>
    <w:p w:rsidR="00000000" w:rsidRPr="003D1B67" w:rsidP="003D1B67">
      <w:pPr>
        <w:pStyle w:val="ListBullet"/>
      </w:pPr>
      <w:r w:rsidRPr="003D1B67">
        <w:t>The collection of performance evidence:</w:t>
      </w:r>
    </w:p>
    <w:p w:rsidR="00000000" w:rsidRPr="003D1B67" w:rsidP="003D1B67">
      <w:pPr>
        <w:pStyle w:val="ListBullet2"/>
      </w:pPr>
      <w:r w:rsidRPr="003D1B67">
        <w:t>should occur over a range of situations</w:t>
      </w:r>
    </w:p>
    <w:p w:rsidR="00000000" w:rsidRPr="003D1B67" w:rsidP="003D1B67">
      <w:pPr>
        <w:pStyle w:val="ListBullet2"/>
      </w:pPr>
      <w:r w:rsidRPr="003D1B67">
        <w:t>will typically include a supervisor/third-party report</w:t>
      </w:r>
      <w:r w:rsidRPr="003D1B67">
        <w:t xml:space="preserve"> focusing on consistent performance and problem recognition and solving. A supervisor/third-party report must be prepared by someone who has a direct, relevant, current relationship with the person being assessed and who is in a position to form a judgemen</w:t>
      </w:r>
      <w:r w:rsidRPr="003D1B67">
        <w:t xml:space="preserve">t on workplace performance relevant to the unit of competency </w:t>
      </w:r>
    </w:p>
    <w:p w:rsidR="00000000" w:rsidRPr="003D1B67" w:rsidP="003D1B67">
      <w:pPr>
        <w:pStyle w:val="ListBullet2"/>
      </w:pPr>
      <w:r w:rsidRPr="003D1B67">
        <w:t>will typically include the use of appropriate tools, equipment and documents</w:t>
      </w:r>
    </w:p>
    <w:p w:rsidR="00000000" w:rsidRPr="003D1B67" w:rsidP="003D1B67">
      <w:pPr>
        <w:pStyle w:val="ListBullet2"/>
      </w:pPr>
      <w:r w:rsidRPr="003D1B67">
        <w:t>may use industry-based simulation for all or part of the unit particularly where safety, lack of opportunity or sign</w:t>
      </w:r>
      <w:r w:rsidRPr="003D1B67">
        <w:t>ificant cost is an issue.</w:t>
      </w:r>
    </w:p>
    <w:p w:rsidR="00000000" w:rsidRPr="003D1B67" w:rsidP="003D1B67">
      <w:pPr>
        <w:pStyle w:val="ListBullet"/>
      </w:pPr>
      <w:r w:rsidRPr="003D1B67">
        <w:t>Assessment should occur in operational workplace situations. Where this is not possible, or where personal safety or environmental damage are limiting factors, assessment must occur in a sufficiently rigorous simulated environmen</w:t>
      </w:r>
      <w:r w:rsidRPr="003D1B67">
        <w:t xml:space="preserve">t reflecting realistic operational workplace conditions. This must cover all aspects of workplace performance, including environment, task skills, task management skills, contingency management skills and job role environment skills.  </w:t>
      </w:r>
    </w:p>
    <w:p w:rsidR="00000000" w:rsidRPr="003D1B67" w:rsidP="003D1B67">
      <w:pPr>
        <w:pStyle w:val="ListBullet"/>
      </w:pPr>
      <w:r w:rsidRPr="003D1B67">
        <w:t>Assessment in a simu</w:t>
      </w:r>
      <w:r w:rsidRPr="003D1B67">
        <w:t xml:space="preserve">lated environment should use evidence collected from one or more of: </w:t>
      </w:r>
    </w:p>
    <w:p w:rsidR="00000000" w:rsidRPr="003D1B67" w:rsidP="003D1B67">
      <w:pPr>
        <w:pStyle w:val="ListBullet2"/>
      </w:pPr>
      <w:r w:rsidRPr="003D1B67">
        <w:t>walk-throughs</w:t>
      </w:r>
    </w:p>
    <w:p w:rsidR="00000000" w:rsidRPr="003D1B67" w:rsidP="003D1B67">
      <w:pPr>
        <w:pStyle w:val="ListBullet2"/>
      </w:pPr>
      <w:r w:rsidRPr="003D1B67">
        <w:t>pilot plant operation</w:t>
      </w:r>
    </w:p>
    <w:p w:rsidR="00000000" w:rsidRPr="003D1B67" w:rsidP="003D1B67">
      <w:pPr>
        <w:pStyle w:val="ListBullet2"/>
      </w:pPr>
      <w:r w:rsidRPr="003D1B67">
        <w:t xml:space="preserve">demonstration of skills </w:t>
      </w:r>
    </w:p>
    <w:p w:rsidR="00000000" w:rsidRPr="003D1B67" w:rsidP="003D1B67">
      <w:pPr>
        <w:pStyle w:val="ListBullet2"/>
      </w:pPr>
      <w:r w:rsidRPr="003D1B67">
        <w:t xml:space="preserve">industry based case studies/scenarios </w:t>
      </w:r>
    </w:p>
    <w:p w:rsidR="00000000" w:rsidRPr="003D1B67" w:rsidP="003D1B67">
      <w:pPr>
        <w:pStyle w:val="ListBullet2"/>
      </w:pPr>
      <w:r w:rsidRPr="003D1B67">
        <w:t>‘what ifs’.</w:t>
      </w:r>
    </w:p>
    <w:p w:rsidR="00000000" w:rsidRPr="003D1B67" w:rsidP="003D1B67">
      <w:pPr>
        <w:pStyle w:val="ListBullet"/>
      </w:pPr>
      <w:r w:rsidRPr="003D1B67">
        <w:t>Knowledge evidence may be collected concurrently with performance evidence (provided a record is kept) or through an independent process, such as workbooks, written assessments or interviews (provided a record is kept).</w:t>
      </w:r>
    </w:p>
    <w:p w:rsidR="00000000" w:rsidRPr="003D1B67" w:rsidP="003D1B67">
      <w:pPr>
        <w:pStyle w:val="ListBullet"/>
      </w:pPr>
      <w:r w:rsidRPr="003D1B67">
        <w:t xml:space="preserve">Assessment processes and techniques </w:t>
      </w:r>
      <w:r w:rsidRPr="003D1B67">
        <w:t>must be appropriate to the language, literacy and numeracy requirements of the work being performed and the needs of the candidate.</w:t>
      </w:r>
    </w:p>
    <w:p w:rsidR="00000000" w:rsidRPr="003D1B67" w:rsidP="003D1B67">
      <w:pPr>
        <w:pStyle w:val="ListBullet"/>
      </w:pPr>
      <w:r w:rsidRPr="003D1B67">
        <w:t>Conditions for assessment must include access to all tools, equipment, materials and documentation required, including relev</w:t>
      </w:r>
      <w:r w:rsidRPr="003D1B67">
        <w:t>ant workplace procedures, product and manufacturing specifications associated with this unit.</w:t>
      </w:r>
    </w:p>
    <w:p w:rsidR="00000000" w:rsidRPr="003D1B67" w:rsidP="003D1B67">
      <w:pPr>
        <w:pStyle w:val="ListBullet"/>
      </w:pPr>
      <w:r w:rsidRPr="003D1B67">
        <w:t>The regulatory framework will be reflected in workplace policies and procedures and is not required to be independently assessed.</w:t>
      </w:r>
    </w:p>
    <w:p w:rsidR="00000000" w:rsidRPr="003D1B67" w:rsidP="003D1B67">
      <w:pPr>
        <w:pStyle w:val="ListBullet"/>
      </w:pPr>
      <w:r w:rsidRPr="003D1B67">
        <w:t>Foundation skills are integral t</w:t>
      </w:r>
      <w:r w:rsidRPr="003D1B67">
        <w:t>o competent performance of the unit and should not be assessed separately.</w:t>
      </w:r>
    </w:p>
    <w:p w:rsidR="00000000" w:rsidRPr="003D1B67" w:rsidP="003D1B67">
      <w:pPr>
        <w:pStyle w:val="ListBullet"/>
      </w:pPr>
      <w:r w:rsidRPr="003D1B67">
        <w:t>As a minimum, assessors must satisfy the Standards for Registered Training Organisations 2015 assessor requirements.</w:t>
      </w:r>
    </w:p>
    <w:p w:rsidR="00000000" w:rsidRPr="003D1B67" w:rsidP="003D1B67">
      <w:pPr>
        <w:pStyle w:val="AllowPageBreak"/>
      </w:pPr>
    </w:p>
    <w:p w:rsidR="00000000" w:rsidRPr="003D1B67" w:rsidP="003D1B67">
      <w:pPr>
        <w:pStyle w:val="Heading1"/>
      </w:pPr>
      <w:bookmarkStart w:id="15" w:name="O_852007"/>
      <w:bookmarkEnd w:id="15"/>
      <w:r w:rsidRPr="003D1B67">
        <w:t>Links</w:t>
      </w:r>
    </w:p>
    <w:p w:rsidR="00000000" w:rsidRPr="003D1B67" w:rsidP="00411C70">
      <w:pPr>
        <w:pStyle w:val="BodyText"/>
      </w:pPr>
      <w:r w:rsidRPr="003D1B67">
        <w:t>Companion Volume implementation guides ar</w:t>
      </w:r>
      <w:r w:rsidRPr="003D1B67">
        <w:t xml:space="preserve">e found in VETNet - </w:t>
      </w:r>
      <w:r>
        <w:fldChar w:fldCharType="begin"/>
      </w:r>
      <w:r>
        <w:instrText xml:space="preserve"> HYPERLINK "https://vetnet.gov.au/Pages/TrainingDocs.aspx?q=d1287d36-dff4-4e9f-ad2c-9d6270054027" </w:instrText>
      </w:r>
      <w:r>
        <w:fldChar w:fldCharType="separate"/>
      </w:r>
      <w:r w:rsidRPr="00D81187">
        <w:rPr>
          <w:rStyle w:val="Hyperlink"/>
        </w:rPr>
        <w:t>https://vetnet.gov.au/Pages/TrainingDocs.aspx?q=d1287d36-dff4-4e9f-ad2c-9d6270054027</w:t>
      </w:r>
      <w:r>
        <w:fldChar w:fldCharType="end"/>
      </w:r>
    </w:p>
    <w:p w:rsidR="00000000" w:rsidRPr="003D1B67" w:rsidP="003D1B67"/>
    <w:sectPr w:rsidSect="003D1B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B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B67" w:rsidRPr="00411C70" w:rsidP="00411C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B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C70" w:rsidP="003D1B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11C70" w:rsidP="003D1B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11C70" w:rsidP="003D1B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B67" w:rsidP="003D1B67">
    <w:pPr>
      <w:pStyle w:val="Footer"/>
      <w:framePr w:wrap="around"/>
    </w:pPr>
    <w:r>
      <w:fldChar w:fldCharType="begin"/>
    </w:r>
    <w:r>
      <w:instrText xml:space="preserve"> DOCPROPERTY  Subject  \* MERGEFORMAT </w:instrText>
    </w:r>
    <w:r>
      <w:fldChar w:fldCharType="separate"/>
    </w:r>
    <w:r w:rsidR="00411C70">
      <w:t>Approved</w:t>
    </w:r>
    <w:r w:rsidR="00411C70">
      <w:fldChar w:fldCharType="end"/>
    </w:r>
    <w:r>
      <w:tab/>
      <w:t xml:space="preserve">Page </w:t>
    </w:r>
    <w:r>
      <w:fldChar w:fldCharType="begin"/>
    </w:r>
    <w:r>
      <w:instrText xml:space="preserve"> PAGE  \* Arabic  \* MERGEFORMAT </w:instrText>
    </w:r>
    <w:r>
      <w:fldChar w:fldCharType="separate"/>
    </w:r>
    <w:r w:rsidR="00411C7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1C70">
      <w:rPr>
        <w:noProof/>
      </w:rPr>
      <w:t>5</w:t>
    </w:r>
    <w:r>
      <w:rPr>
        <w:noProof/>
      </w:rPr>
      <w:fldChar w:fldCharType="end"/>
    </w:r>
  </w:p>
  <w:p w:rsidR="003D1B67" w:rsidP="003D1B67">
    <w:pPr>
      <w:pStyle w:val="Footer"/>
      <w:framePr w:wrap="around"/>
    </w:pPr>
    <w:r>
      <w:t xml:space="preserve">© Commonwealth of Australia, </w:t>
    </w:r>
    <w:r>
      <w:fldChar w:fldCharType="begin"/>
    </w:r>
    <w:r>
      <w:instrText xml:space="preserve"> DATE  \@ "yyyy"  \* MERGEFORMAT </w:instrText>
    </w:r>
    <w:r>
      <w:fldChar w:fldCharType="separate"/>
    </w:r>
    <w:r w:rsidR="00411C70">
      <w:rPr>
        <w:noProof/>
      </w:rPr>
      <w:t>2025</w:t>
    </w:r>
    <w:r>
      <w:fldChar w:fldCharType="end"/>
    </w:r>
    <w:r>
      <w:tab/>
    </w:r>
    <w:r>
      <w:fldChar w:fldCharType="begin"/>
    </w:r>
    <w:r>
      <w:instrText xml:space="preserve"> DOCPROPERTY  Author  \* MERGEFORMAT </w:instrText>
    </w:r>
    <w:r>
      <w:fldChar w:fldCharType="separate"/>
    </w:r>
    <w:r w:rsidR="00411C70">
      <w:t>Manufacturing Industry Skills Alliance</w:t>
    </w:r>
    <w:r w:rsidR="00411C70">
      <w:fldChar w:fldCharType="end"/>
    </w:r>
  </w:p>
  <w:p w:rsidR="003D1B67" w:rsidP="003D1B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B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C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1B67" w:rsidRPr="00411C70" w:rsidP="00411C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B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C70" w:rsidRPr="002D2AF8" w:rsidP="003D1B67">
    <w:pPr>
      <w:pStyle w:val="Header"/>
      <w:framePr w:wrap="around"/>
    </w:pPr>
    <w:r>
      <w:fldChar w:fldCharType="begin"/>
    </w:r>
    <w:r>
      <w:instrText xml:space="preserve"> TITLE   \* MERGEFORMAT </w:instrText>
    </w:r>
    <w:r>
      <w:fldChar w:fldCharType="separate"/>
    </w:r>
    <w:r>
      <w:t>MSMENV472 Implement and monitor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11C70" w:rsidP="003D1B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B67" w:rsidRPr="002D2AF8" w:rsidP="003D1B67">
    <w:pPr>
      <w:pStyle w:val="Header"/>
      <w:framePr w:wrap="around"/>
    </w:pPr>
    <w:r>
      <w:fldChar w:fldCharType="begin"/>
    </w:r>
    <w:r>
      <w:instrText xml:space="preserve"> TITLE   \* MERGEFORMAT </w:instrText>
    </w:r>
    <w:r>
      <w:fldChar w:fldCharType="separate"/>
    </w:r>
    <w:r w:rsidR="00411C70">
      <w:t>MSMENV472 Implement and monitor environmentally sustainable work practices</w:t>
    </w:r>
    <w:r w:rsidR="00411C70">
      <w:fldChar w:fldCharType="end"/>
    </w:r>
    <w:r>
      <w:tab/>
      <w:t xml:space="preserve">Date this document was generated: </w:t>
    </w:r>
    <w:r>
      <w:fldChar w:fldCharType="begin"/>
    </w:r>
    <w:r>
      <w:instrText xml:space="preserve"> CREATEDATE  \@ "d MMMM yyyy"  \* MERGEFORMAT </w:instrText>
    </w:r>
    <w:r>
      <w:fldChar w:fldCharType="separate"/>
    </w:r>
    <w:r w:rsidR="00411C70">
      <w:rPr>
        <w:noProof/>
      </w:rPr>
      <w:t>1 March 2025</w:t>
    </w:r>
    <w:r>
      <w:fldChar w:fldCharType="end"/>
    </w:r>
  </w:p>
  <w:p w:rsidR="003D1B67" w:rsidP="003D1B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3A5B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2AA7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DE22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B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1B67"/>
    <w:pPr>
      <w:spacing w:before="360" w:after="60"/>
      <w:outlineLvl w:val="0"/>
    </w:pPr>
    <w:rPr>
      <w:sz w:val="32"/>
    </w:rPr>
  </w:style>
  <w:style w:type="paragraph" w:styleId="Heading2">
    <w:name w:val="heading 2"/>
    <w:basedOn w:val="HeadingBase"/>
    <w:next w:val="BodyText"/>
    <w:link w:val="Heading2Char"/>
    <w:qFormat/>
    <w:rsid w:val="003D1B67"/>
    <w:pPr>
      <w:keepLines/>
      <w:spacing w:before="240" w:after="120"/>
      <w:outlineLvl w:val="1"/>
    </w:pPr>
    <w:rPr>
      <w:sz w:val="28"/>
      <w:szCs w:val="40"/>
    </w:rPr>
  </w:style>
  <w:style w:type="paragraph" w:styleId="Heading3">
    <w:name w:val="heading 3"/>
    <w:basedOn w:val="HeadingBase"/>
    <w:next w:val="BodyText"/>
    <w:link w:val="Heading3Char"/>
    <w:qFormat/>
    <w:rsid w:val="003D1B67"/>
    <w:pPr>
      <w:spacing w:before="180" w:after="120"/>
      <w:outlineLvl w:val="2"/>
    </w:pPr>
    <w:rPr>
      <w:spacing w:val="-10"/>
      <w:kern w:val="32"/>
    </w:rPr>
  </w:style>
  <w:style w:type="paragraph" w:styleId="Heading4">
    <w:name w:val="heading 4"/>
    <w:basedOn w:val="HeadingBase"/>
    <w:next w:val="BodyText"/>
    <w:link w:val="Heading4Char"/>
    <w:qFormat/>
    <w:rsid w:val="003D1B67"/>
    <w:pPr>
      <w:spacing w:before="160" w:after="120"/>
      <w:outlineLvl w:val="3"/>
    </w:pPr>
    <w:rPr>
      <w:sz w:val="22"/>
    </w:rPr>
  </w:style>
  <w:style w:type="paragraph" w:styleId="Heading5">
    <w:name w:val="heading 5"/>
    <w:basedOn w:val="HeadingBase"/>
    <w:next w:val="Normal"/>
    <w:link w:val="Heading5Char"/>
    <w:qFormat/>
    <w:rsid w:val="003D1B67"/>
    <w:pPr>
      <w:spacing w:before="80"/>
      <w:outlineLvl w:val="4"/>
    </w:pPr>
    <w:rPr>
      <w:color w:val="918585"/>
      <w:sz w:val="20"/>
    </w:rPr>
  </w:style>
  <w:style w:type="paragraph" w:styleId="Heading6">
    <w:name w:val="heading 6"/>
    <w:basedOn w:val="HeadingBase"/>
    <w:next w:val="Normal"/>
    <w:link w:val="Heading6Char"/>
    <w:qFormat/>
    <w:rsid w:val="003D1B67"/>
    <w:pPr>
      <w:spacing w:before="60"/>
      <w:outlineLvl w:val="5"/>
    </w:pPr>
    <w:rPr>
      <w:color w:val="918585"/>
      <w:sz w:val="20"/>
    </w:rPr>
  </w:style>
  <w:style w:type="paragraph" w:styleId="Heading7">
    <w:name w:val="heading 7"/>
    <w:basedOn w:val="Normal"/>
    <w:next w:val="Normal"/>
    <w:link w:val="Heading7Char"/>
    <w:qFormat/>
    <w:rsid w:val="003D1B67"/>
    <w:pPr>
      <w:ind w:left="720"/>
      <w:outlineLvl w:val="6"/>
    </w:pPr>
    <w:rPr>
      <w:i/>
    </w:rPr>
  </w:style>
  <w:style w:type="paragraph" w:styleId="Heading8">
    <w:name w:val="heading 8"/>
    <w:basedOn w:val="Normal"/>
    <w:next w:val="Normal"/>
    <w:link w:val="Heading8Char"/>
    <w:qFormat/>
    <w:rsid w:val="003D1B67"/>
    <w:pPr>
      <w:ind w:left="720"/>
      <w:outlineLvl w:val="7"/>
    </w:pPr>
    <w:rPr>
      <w:i/>
    </w:rPr>
  </w:style>
  <w:style w:type="paragraph" w:styleId="Heading9">
    <w:name w:val="heading 9"/>
    <w:basedOn w:val="Normal"/>
    <w:next w:val="Normal"/>
    <w:link w:val="Heading9Char"/>
    <w:qFormat/>
    <w:rsid w:val="003D1B67"/>
    <w:pPr>
      <w:ind w:left="720"/>
      <w:outlineLvl w:val="8"/>
    </w:pPr>
    <w:rPr>
      <w:i/>
    </w:rPr>
  </w:style>
  <w:style w:type="character" w:default="1" w:styleId="DefaultParagraphFont">
    <w:name w:val="Default Paragraph Font"/>
    <w:uiPriority w:val="1"/>
    <w:unhideWhenUsed/>
    <w:rsid w:val="003D1B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1B67"/>
  </w:style>
  <w:style w:type="character" w:customStyle="1" w:styleId="Heading1Char">
    <w:name w:val="Heading 1 Char"/>
    <w:basedOn w:val="DefaultParagraphFont"/>
    <w:link w:val="Heading1"/>
    <w:rsid w:val="003D1B67"/>
    <w:rPr>
      <w:rFonts w:ascii="Times New Roman" w:eastAsia="Times New Roman" w:hAnsi="Times New Roman" w:cs="Times New Roman"/>
      <w:b/>
      <w:sz w:val="32"/>
      <w:szCs w:val="20"/>
      <w:lang w:eastAsia="en-US"/>
    </w:rPr>
  </w:style>
  <w:style w:type="paragraph" w:styleId="BodyText">
    <w:name w:val="Body Text"/>
    <w:basedOn w:val="Normal"/>
    <w:link w:val="BodyTextChar"/>
    <w:rsid w:val="003D1B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1B67"/>
    <w:rPr>
      <w:rFonts w:ascii="Times New Roman" w:eastAsia="Times New Roman" w:hAnsi="Times New Roman" w:cs="Times New Roman"/>
      <w:sz w:val="24"/>
      <w:lang w:eastAsia="en-US"/>
    </w:rPr>
  </w:style>
  <w:style w:type="paragraph" w:styleId="ListBullet">
    <w:name w:val="List Bullet"/>
    <w:basedOn w:val="List"/>
    <w:rsid w:val="003D1B67"/>
    <w:pPr>
      <w:numPr>
        <w:numId w:val="12"/>
      </w:numPr>
      <w:tabs>
        <w:tab w:val="clear" w:pos="340"/>
      </w:tabs>
      <w:spacing w:before="40" w:after="40"/>
    </w:pPr>
  </w:style>
  <w:style w:type="character" w:customStyle="1" w:styleId="SpecialBold">
    <w:name w:val="Special Bold"/>
    <w:basedOn w:val="DefaultParagraphFont"/>
    <w:rsid w:val="003D1B67"/>
    <w:rPr>
      <w:b/>
      <w:spacing w:val="0"/>
    </w:rPr>
  </w:style>
  <w:style w:type="paragraph" w:styleId="ListBullet2">
    <w:name w:val="List Bullet 2"/>
    <w:basedOn w:val="List2"/>
    <w:rsid w:val="003D1B67"/>
    <w:pPr>
      <w:numPr>
        <w:numId w:val="13"/>
      </w:numPr>
      <w:tabs>
        <w:tab w:val="clear" w:pos="680"/>
      </w:tabs>
    </w:pPr>
  </w:style>
  <w:style w:type="character" w:styleId="Emphasis">
    <w:name w:val="Emphasis"/>
    <w:basedOn w:val="DefaultParagraphFont"/>
    <w:qFormat/>
    <w:rsid w:val="003D1B67"/>
    <w:rPr>
      <w:i/>
    </w:rPr>
  </w:style>
  <w:style w:type="paragraph" w:customStyle="1" w:styleId="SuperHeading">
    <w:name w:val="SuperHeading"/>
    <w:basedOn w:val="Normal"/>
    <w:rsid w:val="003D1B67"/>
    <w:pPr>
      <w:spacing w:before="240" w:after="120"/>
      <w:outlineLvl w:val="0"/>
    </w:pPr>
    <w:rPr>
      <w:rFonts w:ascii="Times New Roman" w:hAnsi="Times New Roman"/>
      <w:b/>
      <w:sz w:val="32"/>
    </w:rPr>
  </w:style>
  <w:style w:type="paragraph" w:customStyle="1" w:styleId="AllowPageBreak">
    <w:name w:val="AllowPageBreak"/>
    <w:rsid w:val="003D1B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1B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1B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1B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1B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1B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1B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1B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1B67"/>
    <w:rPr>
      <w:rFonts w:ascii="Courier New" w:eastAsia="Times New Roman" w:hAnsi="Courier New" w:cs="Times New Roman"/>
      <w:i/>
      <w:szCs w:val="20"/>
      <w:lang w:eastAsia="en-US"/>
    </w:rPr>
  </w:style>
  <w:style w:type="paragraph" w:customStyle="1" w:styleId="HeadingBase">
    <w:name w:val="Heading Base"/>
    <w:rsid w:val="003D1B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1B67"/>
    <w:pPr>
      <w:tabs>
        <w:tab w:val="right" w:leader="dot" w:pos="9072"/>
      </w:tabs>
      <w:ind w:left="567"/>
    </w:pPr>
    <w:rPr>
      <w:szCs w:val="22"/>
    </w:rPr>
  </w:style>
  <w:style w:type="paragraph" w:customStyle="1" w:styleId="TOCBase">
    <w:name w:val="TOC Base"/>
    <w:rsid w:val="003D1B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1B67"/>
    <w:pPr>
      <w:tabs>
        <w:tab w:val="right" w:leader="dot" w:pos="9072"/>
      </w:tabs>
      <w:spacing w:before="40" w:after="40"/>
      <w:ind w:left="284"/>
    </w:pPr>
    <w:rPr>
      <w:rFonts w:ascii="Times New Roman" w:hAnsi="Times New Roman"/>
    </w:rPr>
  </w:style>
  <w:style w:type="paragraph" w:styleId="TOC1">
    <w:name w:val="toc 1"/>
    <w:basedOn w:val="TOCBase"/>
    <w:next w:val="Normal"/>
    <w:rsid w:val="003D1B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1B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1B67"/>
    <w:rPr>
      <w:rFonts w:ascii="Times New Roman" w:eastAsia="Times New Roman" w:hAnsi="Times New Roman" w:cs="Times New Roman"/>
      <w:sz w:val="16"/>
      <w:lang w:eastAsia="en-US"/>
    </w:rPr>
  </w:style>
  <w:style w:type="paragraph" w:styleId="Title">
    <w:name w:val="Title"/>
    <w:basedOn w:val="HeadingBase"/>
    <w:link w:val="TitleChar"/>
    <w:qFormat/>
    <w:rsid w:val="003D1B67"/>
    <w:pPr>
      <w:spacing w:before="5040"/>
      <w:jc w:val="center"/>
    </w:pPr>
    <w:rPr>
      <w:sz w:val="48"/>
      <w:szCs w:val="72"/>
      <w:lang w:val="en-US"/>
    </w:rPr>
  </w:style>
  <w:style w:type="character" w:customStyle="1" w:styleId="TitleChar">
    <w:name w:val="Title Char"/>
    <w:basedOn w:val="DefaultParagraphFont"/>
    <w:link w:val="Title"/>
    <w:rsid w:val="003D1B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1B67"/>
    <w:pPr>
      <w:tabs>
        <w:tab w:val="left" w:pos="3600"/>
        <w:tab w:val="left" w:pos="3958"/>
      </w:tabs>
    </w:pPr>
  </w:style>
  <w:style w:type="paragraph" w:styleId="List">
    <w:name w:val="List"/>
    <w:basedOn w:val="BodyText"/>
    <w:next w:val="BodyText"/>
    <w:rsid w:val="003D1B67"/>
    <w:pPr>
      <w:tabs>
        <w:tab w:val="left" w:pos="340"/>
      </w:tabs>
      <w:spacing w:before="60" w:after="60"/>
      <w:ind w:left="340" w:hanging="340"/>
    </w:pPr>
  </w:style>
  <w:style w:type="paragraph" w:customStyle="1" w:styleId="Note">
    <w:name w:val="Note"/>
    <w:basedOn w:val="BodyText"/>
    <w:rsid w:val="003D1B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1B67"/>
    <w:pPr>
      <w:framePr w:wrap="auto" w:hAnchor="text" w:y="6049"/>
    </w:pPr>
    <w:rPr>
      <w:color w:val="000000"/>
      <w:sz w:val="40"/>
    </w:rPr>
  </w:style>
  <w:style w:type="paragraph" w:customStyle="1" w:styleId="TOCTitle">
    <w:name w:val="TOCTitle"/>
    <w:basedOn w:val="Heading1"/>
    <w:rsid w:val="003D1B67"/>
    <w:pPr>
      <w:spacing w:after="240"/>
      <w:jc w:val="center"/>
      <w:outlineLvl w:val="9"/>
    </w:pPr>
    <w:rPr>
      <w:caps/>
    </w:rPr>
  </w:style>
  <w:style w:type="paragraph" w:customStyle="1" w:styleId="Version">
    <w:name w:val="Version"/>
    <w:rsid w:val="003D1B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1B67"/>
    <w:pPr>
      <w:keepNext w:val="0"/>
      <w:tabs>
        <w:tab w:val="right" w:pos="4176"/>
      </w:tabs>
      <w:ind w:left="198" w:hanging="198"/>
    </w:pPr>
    <w:rPr>
      <w:rFonts w:ascii="Garamond" w:hAnsi="Garamond"/>
    </w:rPr>
  </w:style>
  <w:style w:type="paragraph" w:styleId="IndexHeading">
    <w:name w:val="index heading"/>
    <w:basedOn w:val="Normal"/>
    <w:next w:val="Index1"/>
    <w:semiHidden/>
    <w:rsid w:val="003D1B67"/>
    <w:pPr>
      <w:spacing w:before="120" w:after="120"/>
    </w:pPr>
    <w:rPr>
      <w:rFonts w:ascii="Arial" w:hAnsi="Arial"/>
      <w:b/>
      <w:color w:val="918585"/>
      <w:sz w:val="24"/>
    </w:rPr>
  </w:style>
  <w:style w:type="paragraph" w:styleId="Header">
    <w:name w:val="header"/>
    <w:basedOn w:val="Normal"/>
    <w:link w:val="HeaderChar"/>
    <w:rsid w:val="003D1B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1B67"/>
    <w:rPr>
      <w:rFonts w:ascii="Times New Roman" w:eastAsia="Times New Roman" w:hAnsi="Times New Roman" w:cs="Times New Roman"/>
      <w:sz w:val="16"/>
      <w:szCs w:val="20"/>
      <w:lang w:val="en-GB" w:eastAsia="en-US"/>
    </w:rPr>
  </w:style>
  <w:style w:type="paragraph" w:customStyle="1" w:styleId="Chapter">
    <w:name w:val="Chapter"/>
    <w:basedOn w:val="Normal"/>
    <w:rsid w:val="003D1B67"/>
    <w:pPr>
      <w:spacing w:before="240"/>
    </w:pPr>
    <w:rPr>
      <w:rFonts w:ascii="Times New Roman" w:hAnsi="Times New Roman"/>
      <w:smallCaps/>
      <w:spacing w:val="80"/>
      <w:sz w:val="28"/>
    </w:rPr>
  </w:style>
  <w:style w:type="paragraph" w:customStyle="1" w:styleId="InChapter">
    <w:name w:val="InChapter"/>
    <w:basedOn w:val="Heading3"/>
    <w:rsid w:val="003D1B67"/>
    <w:pPr>
      <w:spacing w:after="240"/>
      <w:outlineLvl w:val="9"/>
    </w:pPr>
    <w:rPr>
      <w:noProof/>
    </w:rPr>
  </w:style>
  <w:style w:type="paragraph" w:styleId="Index2">
    <w:name w:val="index 2"/>
    <w:basedOn w:val="Normal"/>
    <w:next w:val="Normal"/>
    <w:semiHidden/>
    <w:rsid w:val="003D1B67"/>
    <w:pPr>
      <w:tabs>
        <w:tab w:val="right" w:pos="4176"/>
      </w:tabs>
      <w:ind w:left="568" w:hanging="284"/>
    </w:pPr>
    <w:rPr>
      <w:rFonts w:ascii="Garamond" w:hAnsi="Garamond"/>
    </w:rPr>
  </w:style>
  <w:style w:type="paragraph" w:customStyle="1" w:styleId="Byline">
    <w:name w:val="Byline"/>
    <w:rsid w:val="003D1B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1B67"/>
    <w:pPr>
      <w:tabs>
        <w:tab w:val="clear" w:pos="3600"/>
        <w:tab w:val="clear" w:pos="3958"/>
      </w:tabs>
      <w:jc w:val="right"/>
    </w:pPr>
  </w:style>
  <w:style w:type="paragraph" w:styleId="Caption">
    <w:name w:val="caption"/>
    <w:basedOn w:val="BodyText"/>
    <w:next w:val="Normal"/>
    <w:qFormat/>
    <w:rsid w:val="003D1B67"/>
    <w:pPr>
      <w:framePr w:w="2268" w:hSpace="181" w:vSpace="181" w:wrap="around" w:vAnchor="text" w:hAnchor="page" w:x="1135" w:y="285" w:anchorLock="1"/>
    </w:pPr>
    <w:rPr>
      <w:i/>
    </w:rPr>
  </w:style>
  <w:style w:type="paragraph" w:customStyle="1" w:styleId="MiniTOCTitle">
    <w:name w:val="MiniTOCTitle"/>
    <w:basedOn w:val="Heading4"/>
    <w:rsid w:val="003D1B67"/>
    <w:pPr>
      <w:spacing w:before="240"/>
      <w:outlineLvl w:val="9"/>
    </w:pPr>
    <w:rPr>
      <w:noProof/>
      <w:sz w:val="24"/>
    </w:rPr>
  </w:style>
  <w:style w:type="paragraph" w:customStyle="1" w:styleId="MiniTOCItem">
    <w:name w:val="MiniTOCItem"/>
    <w:basedOn w:val="ListBullet"/>
    <w:rsid w:val="003D1B67"/>
    <w:pPr>
      <w:numPr>
        <w:numId w:val="0"/>
      </w:numPr>
      <w:tabs>
        <w:tab w:val="right" w:leader="dot" w:pos="6521"/>
      </w:tabs>
      <w:spacing w:before="0" w:after="0"/>
    </w:pPr>
  </w:style>
  <w:style w:type="paragraph" w:customStyle="1" w:styleId="TOFTitle">
    <w:name w:val="TOFTitle"/>
    <w:basedOn w:val="TOCTitle"/>
    <w:rsid w:val="003D1B67"/>
  </w:style>
  <w:style w:type="paragraph" w:styleId="TableofFigures">
    <w:name w:val="table of figures"/>
    <w:basedOn w:val="Normal"/>
    <w:next w:val="Normal"/>
    <w:semiHidden/>
    <w:rsid w:val="003D1B67"/>
    <w:pPr>
      <w:tabs>
        <w:tab w:val="right" w:leader="dot" w:pos="9072"/>
      </w:tabs>
      <w:ind w:left="970" w:hanging="403"/>
    </w:pPr>
    <w:rPr>
      <w:rFonts w:ascii="Times New Roman" w:hAnsi="Times New Roman"/>
      <w:b/>
    </w:rPr>
  </w:style>
  <w:style w:type="paragraph" w:styleId="ListNumber">
    <w:name w:val="List Number"/>
    <w:basedOn w:val="List"/>
    <w:rsid w:val="003D1B67"/>
    <w:pPr>
      <w:numPr>
        <w:numId w:val="15"/>
      </w:numPr>
      <w:tabs>
        <w:tab w:val="clear" w:pos="340"/>
      </w:tabs>
    </w:pPr>
  </w:style>
  <w:style w:type="character" w:customStyle="1" w:styleId="WingdingSymbols">
    <w:name w:val="Wingding Symbols"/>
    <w:rsid w:val="003D1B67"/>
    <w:rPr>
      <w:rFonts w:ascii="Wingdings" w:hAnsi="Wingdings"/>
    </w:rPr>
  </w:style>
  <w:style w:type="paragraph" w:customStyle="1" w:styleId="TableHeading">
    <w:name w:val="Table Heading"/>
    <w:basedOn w:val="HeadingBase"/>
    <w:rsid w:val="003D1B67"/>
    <w:pPr>
      <w:keepLines/>
      <w:pBdr>
        <w:bottom w:val="single" w:sz="6" w:space="1" w:color="918585"/>
      </w:pBdr>
      <w:spacing w:before="240"/>
    </w:pPr>
  </w:style>
  <w:style w:type="character" w:customStyle="1" w:styleId="HotSpot">
    <w:name w:val="HotSpot"/>
    <w:rsid w:val="003D1B67"/>
    <w:rPr>
      <w:color w:val="0033CC"/>
      <w:u w:val="none"/>
    </w:rPr>
  </w:style>
  <w:style w:type="paragraph" w:customStyle="1" w:styleId="BodyTextRight">
    <w:name w:val="Body Text Right"/>
    <w:basedOn w:val="BodyText"/>
    <w:rsid w:val="003D1B67"/>
    <w:pPr>
      <w:spacing w:before="0" w:after="0"/>
      <w:jc w:val="right"/>
    </w:pPr>
  </w:style>
  <w:style w:type="paragraph" w:styleId="Index3">
    <w:name w:val="index 3"/>
    <w:basedOn w:val="ListNumber2"/>
    <w:next w:val="Normal"/>
    <w:semiHidden/>
    <w:rsid w:val="003D1B67"/>
    <w:pPr>
      <w:numPr>
        <w:numId w:val="0"/>
      </w:numPr>
      <w:tabs>
        <w:tab w:val="right" w:leader="dot" w:pos="4176"/>
      </w:tabs>
    </w:pPr>
  </w:style>
  <w:style w:type="paragraph" w:styleId="ListNumber2">
    <w:name w:val="List Number 2"/>
    <w:basedOn w:val="List2"/>
    <w:rsid w:val="003D1B67"/>
    <w:pPr>
      <w:numPr>
        <w:numId w:val="10"/>
      </w:numPr>
      <w:tabs>
        <w:tab w:val="clear" w:pos="1060"/>
      </w:tabs>
    </w:pPr>
  </w:style>
  <w:style w:type="paragraph" w:customStyle="1" w:styleId="MarginNote">
    <w:name w:val="Margin Note"/>
    <w:basedOn w:val="BodyText"/>
    <w:rsid w:val="003D1B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1B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1B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1B67"/>
    <w:rPr>
      <w:sz w:val="32"/>
    </w:rPr>
  </w:style>
  <w:style w:type="paragraph" w:customStyle="1" w:styleId="HeadingProcedure">
    <w:name w:val="Heading Procedure"/>
    <w:basedOn w:val="HeadingBase"/>
    <w:next w:val="Normal"/>
    <w:rsid w:val="003D1B67"/>
    <w:pPr>
      <w:tabs>
        <w:tab w:val="left" w:pos="0"/>
      </w:tabs>
      <w:spacing w:before="120" w:after="60"/>
    </w:pPr>
    <w:rPr>
      <w:i/>
      <w:color w:val="918585"/>
      <w:sz w:val="22"/>
    </w:rPr>
  </w:style>
  <w:style w:type="paragraph" w:customStyle="1" w:styleId="TableBodyText">
    <w:name w:val="Table Body Text"/>
    <w:basedOn w:val="BodyText"/>
    <w:rsid w:val="003D1B67"/>
    <w:pPr>
      <w:spacing w:before="60" w:after="60"/>
    </w:pPr>
  </w:style>
  <w:style w:type="paragraph" w:styleId="ListContinue">
    <w:name w:val="List Continue"/>
    <w:basedOn w:val="List"/>
    <w:rsid w:val="003D1B67"/>
    <w:pPr>
      <w:ind w:firstLine="0"/>
    </w:pPr>
  </w:style>
  <w:style w:type="paragraph" w:customStyle="1" w:styleId="ListNote">
    <w:name w:val="List Note"/>
    <w:basedOn w:val="List"/>
    <w:rsid w:val="003D1B67"/>
    <w:pPr>
      <w:pBdr>
        <w:top w:val="single" w:sz="6" w:space="2" w:color="918585"/>
        <w:bottom w:val="single" w:sz="6" w:space="2" w:color="918585"/>
      </w:pBdr>
      <w:tabs>
        <w:tab w:val="left" w:pos="1021"/>
      </w:tabs>
      <w:ind w:firstLine="0"/>
    </w:pPr>
  </w:style>
  <w:style w:type="paragraph" w:customStyle="1" w:styleId="Warning">
    <w:name w:val="Warning"/>
    <w:basedOn w:val="BodyText"/>
    <w:rsid w:val="003D1B67"/>
    <w:pPr>
      <w:shd w:val="clear" w:color="auto" w:fill="D9D9D9"/>
      <w:tabs>
        <w:tab w:val="left" w:pos="992"/>
      </w:tabs>
      <w:ind w:left="119" w:right="119"/>
    </w:pPr>
    <w:rPr>
      <w:sz w:val="20"/>
    </w:rPr>
  </w:style>
  <w:style w:type="paragraph" w:customStyle="1" w:styleId="MarginIcons">
    <w:name w:val="Margin Icons"/>
    <w:basedOn w:val="BodyText"/>
    <w:rsid w:val="003D1B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1B67"/>
    <w:rPr>
      <w:rFonts w:ascii="Courier New" w:hAnsi="Courier New"/>
    </w:rPr>
  </w:style>
  <w:style w:type="paragraph" w:customStyle="1" w:styleId="NoteBullet">
    <w:name w:val="Note Bullet"/>
    <w:basedOn w:val="Note"/>
    <w:rsid w:val="003D1B67"/>
    <w:pPr>
      <w:tabs>
        <w:tab w:val="clear" w:pos="680"/>
      </w:tabs>
      <w:spacing w:before="60" w:after="60"/>
    </w:pPr>
  </w:style>
  <w:style w:type="paragraph" w:customStyle="1" w:styleId="SubHeading2">
    <w:name w:val="SubHeading2"/>
    <w:basedOn w:val="HeadingBase"/>
    <w:rsid w:val="003D1B67"/>
    <w:pPr>
      <w:spacing w:before="240" w:after="60"/>
    </w:pPr>
    <w:rPr>
      <w:sz w:val="20"/>
    </w:rPr>
  </w:style>
  <w:style w:type="paragraph" w:customStyle="1" w:styleId="SubHeading1">
    <w:name w:val="SubHeading1"/>
    <w:basedOn w:val="HeadingBase"/>
    <w:rsid w:val="003D1B67"/>
    <w:pPr>
      <w:spacing w:before="240" w:after="60"/>
    </w:pPr>
    <w:rPr>
      <w:color w:val="918585"/>
      <w:sz w:val="22"/>
    </w:rPr>
  </w:style>
  <w:style w:type="paragraph" w:customStyle="1" w:styleId="SideHeading">
    <w:name w:val="Side Heading"/>
    <w:basedOn w:val="HeadingBase"/>
    <w:rsid w:val="003D1B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1B67"/>
    <w:pPr>
      <w:tabs>
        <w:tab w:val="num" w:pos="360"/>
      </w:tabs>
    </w:pPr>
  </w:style>
  <w:style w:type="paragraph" w:styleId="PlainText">
    <w:name w:val="Plain Text"/>
    <w:basedOn w:val="Normal"/>
    <w:link w:val="PlainTextChar"/>
    <w:rsid w:val="003D1B67"/>
    <w:rPr>
      <w:sz w:val="20"/>
    </w:rPr>
  </w:style>
  <w:style w:type="character" w:customStyle="1" w:styleId="PlainTextChar">
    <w:name w:val="Plain Text Char"/>
    <w:basedOn w:val="DefaultParagraphFont"/>
    <w:link w:val="PlainText"/>
    <w:rsid w:val="003D1B67"/>
    <w:rPr>
      <w:rFonts w:ascii="Courier New" w:eastAsia="Times New Roman" w:hAnsi="Courier New" w:cs="Times New Roman"/>
      <w:sz w:val="20"/>
      <w:szCs w:val="20"/>
      <w:lang w:eastAsia="en-US"/>
    </w:rPr>
  </w:style>
  <w:style w:type="character" w:customStyle="1" w:styleId="MenuOption">
    <w:name w:val="Menu Option"/>
    <w:basedOn w:val="DefaultParagraphFont"/>
    <w:rsid w:val="003D1B67"/>
    <w:rPr>
      <w:b/>
      <w:smallCaps/>
    </w:rPr>
  </w:style>
  <w:style w:type="paragraph" w:customStyle="1" w:styleId="TableListNumber">
    <w:name w:val="Table List Number"/>
    <w:basedOn w:val="ListNumber"/>
    <w:rsid w:val="003D1B67"/>
    <w:pPr>
      <w:numPr>
        <w:numId w:val="0"/>
      </w:numPr>
    </w:pPr>
  </w:style>
  <w:style w:type="paragraph" w:styleId="TOC4">
    <w:name w:val="toc 4"/>
    <w:basedOn w:val="TOCBase"/>
    <w:next w:val="Normal"/>
    <w:semiHidden/>
    <w:rsid w:val="003D1B67"/>
    <w:pPr>
      <w:tabs>
        <w:tab w:val="right" w:leader="dot" w:pos="9071"/>
      </w:tabs>
      <w:ind w:left="1701"/>
    </w:pPr>
  </w:style>
  <w:style w:type="paragraph" w:customStyle="1" w:styleId="ListAlpha">
    <w:name w:val="List Alpha"/>
    <w:basedOn w:val="List"/>
    <w:rsid w:val="003D1B67"/>
    <w:pPr>
      <w:numPr>
        <w:numId w:val="9"/>
      </w:numPr>
    </w:pPr>
  </w:style>
  <w:style w:type="paragraph" w:customStyle="1" w:styleId="ListAlpha2">
    <w:name w:val="List Alpha 2"/>
    <w:basedOn w:val="List2"/>
    <w:rsid w:val="003D1B67"/>
    <w:pPr>
      <w:numPr>
        <w:numId w:val="8"/>
      </w:numPr>
    </w:pPr>
  </w:style>
  <w:style w:type="paragraph" w:styleId="List2">
    <w:name w:val="List 2"/>
    <w:basedOn w:val="BodyText"/>
    <w:rsid w:val="003D1B67"/>
    <w:pPr>
      <w:tabs>
        <w:tab w:val="left" w:pos="680"/>
      </w:tabs>
      <w:spacing w:before="60" w:after="60"/>
      <w:ind w:left="680" w:hanging="340"/>
    </w:pPr>
  </w:style>
  <w:style w:type="paragraph" w:styleId="List3">
    <w:name w:val="List 3"/>
    <w:basedOn w:val="BodyText"/>
    <w:rsid w:val="003D1B67"/>
    <w:pPr>
      <w:tabs>
        <w:tab w:val="left" w:pos="1021"/>
      </w:tabs>
      <w:spacing w:before="60" w:after="60"/>
      <w:ind w:left="1020" w:hanging="340"/>
    </w:pPr>
  </w:style>
  <w:style w:type="paragraph" w:styleId="List4">
    <w:name w:val="List 4"/>
    <w:basedOn w:val="BodyText"/>
    <w:rsid w:val="003D1B67"/>
    <w:pPr>
      <w:tabs>
        <w:tab w:val="left" w:pos="1361"/>
      </w:tabs>
      <w:spacing w:before="60" w:after="60"/>
      <w:ind w:left="1361" w:hanging="340"/>
    </w:pPr>
  </w:style>
  <w:style w:type="paragraph" w:styleId="List5">
    <w:name w:val="List 5"/>
    <w:basedOn w:val="BodyText"/>
    <w:rsid w:val="003D1B67"/>
    <w:pPr>
      <w:tabs>
        <w:tab w:val="left" w:pos="1701"/>
      </w:tabs>
      <w:spacing w:before="60" w:after="60"/>
      <w:ind w:left="1701" w:hanging="340"/>
    </w:pPr>
  </w:style>
  <w:style w:type="paragraph" w:styleId="ListBullet3">
    <w:name w:val="List Bullet 3"/>
    <w:basedOn w:val="List3"/>
    <w:rsid w:val="003D1B67"/>
    <w:pPr>
      <w:numPr>
        <w:numId w:val="14"/>
      </w:numPr>
      <w:tabs>
        <w:tab w:val="clear" w:pos="1021"/>
      </w:tabs>
      <w:ind w:left="1037" w:hanging="357"/>
    </w:pPr>
  </w:style>
  <w:style w:type="paragraph" w:styleId="ListBullet4">
    <w:name w:val="List Bullet 4"/>
    <w:basedOn w:val="List4"/>
    <w:rsid w:val="003D1B67"/>
    <w:pPr>
      <w:numPr>
        <w:numId w:val="3"/>
      </w:numPr>
      <w:tabs>
        <w:tab w:val="clear" w:pos="1361"/>
      </w:tabs>
    </w:pPr>
  </w:style>
  <w:style w:type="paragraph" w:styleId="ListBullet5">
    <w:name w:val="List Bullet 5"/>
    <w:basedOn w:val="List5"/>
    <w:rsid w:val="003D1B67"/>
    <w:pPr>
      <w:numPr>
        <w:numId w:val="4"/>
      </w:numPr>
    </w:pPr>
  </w:style>
  <w:style w:type="paragraph" w:styleId="ListContinue2">
    <w:name w:val="List Continue 2"/>
    <w:basedOn w:val="List2"/>
    <w:rsid w:val="003D1B67"/>
    <w:pPr>
      <w:ind w:firstLine="0"/>
    </w:pPr>
  </w:style>
  <w:style w:type="paragraph" w:styleId="ListContinue3">
    <w:name w:val="List Continue 3"/>
    <w:basedOn w:val="List3"/>
    <w:rsid w:val="003D1B67"/>
    <w:pPr>
      <w:ind w:left="1021" w:firstLine="0"/>
    </w:pPr>
  </w:style>
  <w:style w:type="paragraph" w:styleId="ListContinue4">
    <w:name w:val="List Continue 4"/>
    <w:basedOn w:val="List4"/>
    <w:rsid w:val="003D1B67"/>
    <w:pPr>
      <w:ind w:firstLine="0"/>
    </w:pPr>
  </w:style>
  <w:style w:type="paragraph" w:styleId="ListContinue5">
    <w:name w:val="List Continue 5"/>
    <w:basedOn w:val="List5"/>
    <w:rsid w:val="003D1B67"/>
    <w:pPr>
      <w:ind w:firstLine="0"/>
    </w:pPr>
  </w:style>
  <w:style w:type="paragraph" w:styleId="ListNumber3">
    <w:name w:val="List Number 3"/>
    <w:basedOn w:val="List3"/>
    <w:rsid w:val="003D1B67"/>
    <w:pPr>
      <w:numPr>
        <w:numId w:val="5"/>
      </w:numPr>
    </w:pPr>
  </w:style>
  <w:style w:type="paragraph" w:styleId="ListNumber4">
    <w:name w:val="List Number 4"/>
    <w:basedOn w:val="List4"/>
    <w:rsid w:val="003D1B67"/>
    <w:pPr>
      <w:numPr>
        <w:numId w:val="6"/>
      </w:numPr>
    </w:pPr>
  </w:style>
  <w:style w:type="paragraph" w:styleId="ListNumber5">
    <w:name w:val="List Number 5"/>
    <w:basedOn w:val="List5"/>
    <w:rsid w:val="003D1B67"/>
    <w:pPr>
      <w:numPr>
        <w:numId w:val="7"/>
      </w:numPr>
    </w:pPr>
  </w:style>
  <w:style w:type="paragraph" w:styleId="BlockText">
    <w:name w:val="Block Text"/>
    <w:basedOn w:val="Normal"/>
    <w:rsid w:val="003D1B67"/>
    <w:pPr>
      <w:spacing w:after="120"/>
      <w:ind w:left="1440" w:right="1440"/>
    </w:pPr>
  </w:style>
  <w:style w:type="character" w:customStyle="1" w:styleId="Subscript">
    <w:name w:val="Subscript"/>
    <w:basedOn w:val="DefaultParagraphFont"/>
    <w:rsid w:val="003D1B67"/>
    <w:rPr>
      <w:sz w:val="16"/>
      <w:vertAlign w:val="subscript"/>
    </w:rPr>
  </w:style>
  <w:style w:type="character" w:customStyle="1" w:styleId="Superscript">
    <w:name w:val="Superscript"/>
    <w:basedOn w:val="DefaultParagraphFont"/>
    <w:rsid w:val="003D1B67"/>
    <w:rPr>
      <w:sz w:val="16"/>
      <w:vertAlign w:val="superscript"/>
    </w:rPr>
  </w:style>
  <w:style w:type="character" w:customStyle="1" w:styleId="Symbols">
    <w:name w:val="Symbols"/>
    <w:basedOn w:val="DefaultParagraphFont"/>
    <w:rsid w:val="003D1B67"/>
    <w:rPr>
      <w:rFonts w:ascii="Symbol" w:hAnsi="Symbol"/>
    </w:rPr>
  </w:style>
  <w:style w:type="character" w:customStyle="1" w:styleId="MenuOptions">
    <w:name w:val="Menu Options"/>
    <w:basedOn w:val="DefaultParagraphFont"/>
    <w:rsid w:val="003D1B67"/>
    <w:rPr>
      <w:rFonts w:ascii="Arial Narrow" w:hAnsi="Arial Narrow"/>
      <w:smallCaps/>
    </w:rPr>
  </w:style>
  <w:style w:type="character" w:customStyle="1" w:styleId="Buttons">
    <w:name w:val="Buttons"/>
    <w:basedOn w:val="DefaultParagraphFont"/>
    <w:rsid w:val="003D1B67"/>
    <w:rPr>
      <w:b/>
    </w:rPr>
  </w:style>
  <w:style w:type="character" w:customStyle="1" w:styleId="Underlined">
    <w:name w:val="Underlined"/>
    <w:basedOn w:val="DefaultParagraphFont"/>
    <w:rsid w:val="003D1B67"/>
    <w:rPr>
      <w:u w:val="single"/>
    </w:rPr>
  </w:style>
  <w:style w:type="paragraph" w:customStyle="1" w:styleId="TableBodyTextRight">
    <w:name w:val="Table Body Text Right"/>
    <w:basedOn w:val="TableBodyText"/>
    <w:rsid w:val="003D1B67"/>
    <w:pPr>
      <w:widowControl w:val="0"/>
      <w:autoSpaceDE w:val="0"/>
      <w:autoSpaceDN w:val="0"/>
      <w:adjustRightInd w:val="0"/>
      <w:jc w:val="right"/>
    </w:pPr>
    <w:rPr>
      <w:rFonts w:cs="Arial"/>
      <w:szCs w:val="18"/>
    </w:rPr>
  </w:style>
  <w:style w:type="paragraph" w:customStyle="1" w:styleId="CopyrightText">
    <w:name w:val="Copyright Text"/>
    <w:basedOn w:val="BodyText"/>
    <w:rsid w:val="003D1B67"/>
    <w:rPr>
      <w:sz w:val="18"/>
    </w:rPr>
  </w:style>
  <w:style w:type="paragraph" w:customStyle="1" w:styleId="BodySmallRight">
    <w:name w:val="Body Small Right"/>
    <w:basedOn w:val="BodyTextRight"/>
    <w:rsid w:val="003D1B67"/>
    <w:rPr>
      <w:sz w:val="18"/>
      <w:szCs w:val="18"/>
    </w:rPr>
  </w:style>
  <w:style w:type="paragraph" w:customStyle="1" w:styleId="MarginEdition">
    <w:name w:val="Margin Edition"/>
    <w:basedOn w:val="MarginNote"/>
    <w:rsid w:val="003D1B67"/>
    <w:pPr>
      <w:spacing w:before="0" w:after="0"/>
    </w:pPr>
    <w:rPr>
      <w:rFonts w:ascii="Times New Roman" w:hAnsi="Times New Roman"/>
      <w:color w:val="999999"/>
    </w:rPr>
  </w:style>
  <w:style w:type="paragraph" w:customStyle="1" w:styleId="Spacer">
    <w:name w:val="Spacer"/>
    <w:basedOn w:val="Normal"/>
    <w:rsid w:val="003D1B67"/>
    <w:rPr>
      <w:sz w:val="2"/>
      <w:szCs w:val="2"/>
    </w:rPr>
  </w:style>
  <w:style w:type="character" w:customStyle="1" w:styleId="Small">
    <w:name w:val="Small"/>
    <w:basedOn w:val="DefaultParagraphFont"/>
    <w:rsid w:val="003D1B67"/>
    <w:rPr>
      <w:sz w:val="16"/>
    </w:rPr>
  </w:style>
  <w:style w:type="paragraph" w:customStyle="1" w:styleId="WideTable">
    <w:name w:val="Wide Table"/>
    <w:basedOn w:val="Normal"/>
    <w:rsid w:val="003D1B67"/>
    <w:pPr>
      <w:ind w:left="-1418"/>
    </w:pPr>
    <w:rPr>
      <w:sz w:val="2"/>
      <w:szCs w:val="2"/>
    </w:rPr>
  </w:style>
  <w:style w:type="character" w:styleId="PageNumber">
    <w:name w:val="page number"/>
    <w:basedOn w:val="DefaultParagraphFont"/>
    <w:rsid w:val="003D1B67"/>
  </w:style>
  <w:style w:type="paragraph" w:styleId="Quote">
    <w:name w:val="Quote"/>
    <w:basedOn w:val="Heading1"/>
    <w:link w:val="QuoteChar"/>
    <w:qFormat/>
    <w:rsid w:val="003D1B67"/>
    <w:rPr>
      <w:b w:val="0"/>
      <w:sz w:val="72"/>
      <w:szCs w:val="72"/>
      <w:lang w:val="en-NZ"/>
    </w:rPr>
  </w:style>
  <w:style w:type="character" w:customStyle="1" w:styleId="QuoteChar">
    <w:name w:val="Quote Char"/>
    <w:basedOn w:val="DefaultParagraphFont"/>
    <w:link w:val="Quote"/>
    <w:rsid w:val="003D1B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1B67"/>
    <w:pPr>
      <w:pageBreakBefore/>
    </w:pPr>
  </w:style>
  <w:style w:type="paragraph" w:customStyle="1" w:styleId="Border">
    <w:name w:val="Border"/>
    <w:basedOn w:val="Normal"/>
    <w:qFormat/>
    <w:rsid w:val="003D1B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1B67"/>
    <w:rPr>
      <w:b/>
      <w:bCs/>
      <w:i/>
      <w:iCs/>
      <w:color w:val="auto"/>
    </w:rPr>
  </w:style>
  <w:style w:type="paragraph" w:styleId="IntenseQuote">
    <w:name w:val="Intense Quote"/>
    <w:basedOn w:val="Normal"/>
    <w:next w:val="Normal"/>
    <w:link w:val="IntenseQuoteChar"/>
    <w:uiPriority w:val="30"/>
    <w:qFormat/>
    <w:rsid w:val="003D1B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1B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1B67"/>
    <w:rPr>
      <w:smallCaps/>
      <w:color w:val="auto"/>
      <w:u w:val="single"/>
    </w:rPr>
  </w:style>
  <w:style w:type="character" w:styleId="IntenseReference">
    <w:name w:val="Intense Reference"/>
    <w:basedOn w:val="DefaultParagraphFont"/>
    <w:uiPriority w:val="32"/>
    <w:qFormat/>
    <w:rsid w:val="003D1B67"/>
    <w:rPr>
      <w:b/>
      <w:bCs/>
      <w:smallCaps/>
      <w:color w:val="auto"/>
      <w:spacing w:val="5"/>
      <w:u w:val="single"/>
    </w:rPr>
  </w:style>
  <w:style w:type="paragraph" w:customStyle="1" w:styleId="2ColumnHeading">
    <w:name w:val="2Column Heading"/>
    <w:basedOn w:val="BodyText"/>
    <w:qFormat/>
    <w:rsid w:val="003D1B67"/>
    <w:pPr>
      <w:spacing w:after="60"/>
      <w:ind w:left="-2268"/>
    </w:pPr>
    <w:rPr>
      <w:b/>
    </w:rPr>
  </w:style>
  <w:style w:type="paragraph" w:customStyle="1" w:styleId="Heading1TOC">
    <w:name w:val="Heading1 TOC"/>
    <w:basedOn w:val="Normal"/>
    <w:qFormat/>
    <w:rsid w:val="003D1B67"/>
    <w:pPr>
      <w:spacing w:before="240" w:after="120"/>
    </w:pPr>
    <w:rPr>
      <w:rFonts w:ascii="Times New Roman" w:hAnsi="Times New Roman"/>
      <w:b/>
      <w:sz w:val="32"/>
    </w:rPr>
  </w:style>
  <w:style w:type="paragraph" w:customStyle="1" w:styleId="Heading2TOC">
    <w:name w:val="Heading2 TOC"/>
    <w:basedOn w:val="Normal"/>
    <w:qFormat/>
    <w:rsid w:val="003D1B67"/>
    <w:pPr>
      <w:spacing w:before="240" w:after="60"/>
    </w:pPr>
    <w:rPr>
      <w:rFonts w:ascii="Times New Roman" w:hAnsi="Times New Roman"/>
      <w:b/>
      <w:sz w:val="28"/>
    </w:rPr>
  </w:style>
  <w:style w:type="character" w:customStyle="1" w:styleId="Underline">
    <w:name w:val="Underline"/>
    <w:basedOn w:val="DefaultParagraphFont"/>
    <w:qFormat/>
    <w:rsid w:val="003D1B67"/>
    <w:rPr>
      <w:u w:val="single"/>
    </w:rPr>
  </w:style>
  <w:style w:type="character" w:customStyle="1" w:styleId="BoldandItalics">
    <w:name w:val="Bold and Italics"/>
    <w:qFormat/>
    <w:rsid w:val="003D1B67"/>
    <w:rPr>
      <w:b/>
      <w:i/>
      <w:u w:val="none"/>
    </w:rPr>
  </w:style>
  <w:style w:type="paragraph" w:styleId="BalloonText">
    <w:name w:val="Balloon Text"/>
    <w:basedOn w:val="Normal"/>
    <w:link w:val="BalloonTextChar"/>
    <w:rsid w:val="003D1B67"/>
    <w:rPr>
      <w:rFonts w:ascii="Tahoma" w:hAnsi="Tahoma" w:cs="Tahoma"/>
      <w:sz w:val="16"/>
      <w:szCs w:val="16"/>
    </w:rPr>
  </w:style>
  <w:style w:type="character" w:customStyle="1" w:styleId="BalloonTextChar">
    <w:name w:val="Balloon Text Char"/>
    <w:basedOn w:val="DefaultParagraphFont"/>
    <w:link w:val="BalloonText"/>
    <w:rsid w:val="003D1B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1B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1B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1B67"/>
    <w:rPr>
      <w:b/>
      <w:color w:val="660033"/>
      <w:spacing w:val="0"/>
    </w:rPr>
  </w:style>
  <w:style w:type="paragraph" w:customStyle="1" w:styleId="Nameditemlist">
    <w:name w:val="Named item list"/>
    <w:basedOn w:val="BodyText"/>
    <w:qFormat/>
    <w:rsid w:val="003D1B67"/>
    <w:pPr>
      <w:tabs>
        <w:tab w:val="left" w:pos="2835"/>
      </w:tabs>
      <w:ind w:left="2835" w:hanging="2835"/>
    </w:pPr>
  </w:style>
  <w:style w:type="paragraph" w:customStyle="1" w:styleId="BodyTextnopadding">
    <w:name w:val="Body Text no padding"/>
    <w:basedOn w:val="BodyText"/>
    <w:qFormat/>
    <w:rsid w:val="003D1B67"/>
    <w:pPr>
      <w:spacing w:before="0" w:after="0"/>
    </w:pPr>
  </w:style>
  <w:style w:type="paragraph" w:customStyle="1" w:styleId="BodyTextBold">
    <w:name w:val="Body Text Bold"/>
    <w:basedOn w:val="BodyText"/>
    <w:qFormat/>
    <w:rsid w:val="003D1B67"/>
    <w:rPr>
      <w:b/>
    </w:rPr>
  </w:style>
  <w:style w:type="character" w:styleId="Hyperlink">
    <w:name w:val="Hyperlink"/>
    <w:basedOn w:val="DefaultParagraphFont"/>
    <w:uiPriority w:val="99"/>
    <w:unhideWhenUsed/>
    <w:rsid w:val="00411C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1277</Words>
  <Characters>8230</Characters>
  <Application>Microsoft Office Word</Application>
  <DocSecurity>0</DocSecurity>
  <Lines>293</Lines>
  <Paragraphs>155</Paragraphs>
  <ScaleCrop>false</ScaleCrop>
  <Company>Author-it Software Corporation Ltd.</Company>
  <LinksUpToDate>false</LinksUpToDate>
  <CharactersWithSpaces>9352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MSMENV472 Implement and monitor environmentally sustainable work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2025-03-01T08:25:00Z</dcterms:created>
  <dcterms:modified xsi:type="dcterms:W3CDTF">2025-03-01T08:25:00Z</dcterms:modified>
</cp:coreProperties>
</file>