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254" w:rsidP="00137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MSMBIO302 Ferment biomaterial to produce bioproducts</w:t>
      </w:r>
      <w:r>
        <w:fldChar w:fldCharType="end"/>
      </w:r>
    </w:p>
    <w:p w:rsidR="00137254" w:rsidP="00137254">
      <w:pPr>
        <w:pStyle w:val="Version"/>
        <w:sectPr w:rsidSect="00EA1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700" w:rsidP="00EA1700">
      <w:pPr>
        <w:pStyle w:val="SuperHeading"/>
      </w:pPr>
      <w:r w:rsidRPr="00EA1700">
        <w:t>MSMBIO302 Ferment biomaterial to produce bioproducts</w:t>
      </w:r>
    </w:p>
    <w:p w:rsidR="00000000" w:rsidRPr="00EA1700" w:rsidP="00EA1700">
      <w:pPr>
        <w:pStyle w:val="Heading1"/>
      </w:pPr>
      <w:bookmarkStart w:id="1" w:name="O_1044326"/>
      <w:bookmarkEnd w:id="1"/>
      <w:r w:rsidRPr="00EA1700">
        <w:t>Modification History</w:t>
      </w:r>
    </w:p>
    <w:p w:rsidR="00000000" w:rsidRPr="00EA1700" w:rsidP="00137254">
      <w:pPr>
        <w:pStyle w:val="BodyText"/>
      </w:pPr>
      <w:r w:rsidRPr="00EA1700">
        <w:t>Release 1. New unit</w:t>
      </w:r>
    </w:p>
    <w:p w:rsidR="00000000" w:rsidRPr="00EA1700" w:rsidP="00EA1700">
      <w:pPr>
        <w:pStyle w:val="Heading1"/>
      </w:pPr>
      <w:bookmarkStart w:id="2" w:name="O_1044327"/>
      <w:bookmarkEnd w:id="2"/>
      <w:r w:rsidRPr="00EA1700">
        <w:t>Application</w:t>
      </w:r>
    </w:p>
    <w:p w:rsidR="00000000" w:rsidRPr="00EA1700" w:rsidP="00137254">
      <w:pPr>
        <w:pStyle w:val="BodyText"/>
      </w:pPr>
      <w:r w:rsidRPr="00EA1700">
        <w:t xml:space="preserve">This unit describes the skills and knowledge to undertake bioprocessing using microbial fermentation to prepare biological material for downstream processes.  </w:t>
      </w:r>
    </w:p>
    <w:p w:rsidR="00000000" w:rsidRPr="00EA1700" w:rsidP="00137254">
      <w:pPr>
        <w:pStyle w:val="BodyText"/>
      </w:pPr>
      <w:r w:rsidRPr="00EA1700">
        <w:t>This u</w:t>
      </w:r>
      <w:r w:rsidRPr="00EA1700">
        <w:t>nit applies to using bioprocessing to produce a range of commercial bioproducts, such as biofuel, livestock feed and fertiliser.</w:t>
      </w:r>
    </w:p>
    <w:p w:rsidR="00000000" w:rsidRPr="00EA1700" w:rsidP="00137254">
      <w:pPr>
        <w:pStyle w:val="BodyText"/>
      </w:pPr>
      <w:r w:rsidRPr="00EA1700">
        <w:t>This unit applies to plant operators and technicians working as part of a team within clearly established parameters and standa</w:t>
      </w:r>
      <w:r w:rsidRPr="00EA1700">
        <w:t>rd operating procedures.</w:t>
      </w:r>
    </w:p>
    <w:p w:rsidR="00137254" w:rsidP="00137254">
      <w:pPr>
        <w:pStyle w:val="BodyText"/>
      </w:pPr>
      <w:r w:rsidRPr="00EA1700">
        <w:t>No licensing or certification requirements exist at the time of publication. Relevant legislation, industry standards and codes of practice within Australia must be applied.</w:t>
      </w:r>
    </w:p>
    <w:p w:rsidR="00000000" w:rsidRPr="00EA1700" w:rsidP="00EA1700">
      <w:pPr>
        <w:pStyle w:val="Heading1"/>
      </w:pPr>
      <w:bookmarkStart w:id="3" w:name="O_1044328"/>
      <w:bookmarkEnd w:id="3"/>
      <w:r w:rsidRPr="00EA1700">
        <w:t>Pre-requisite Unit</w:t>
      </w:r>
    </w:p>
    <w:p w:rsidR="00000000" w:rsidRPr="00EA1700" w:rsidP="00137254">
      <w:pPr>
        <w:pStyle w:val="BodyText"/>
      </w:pPr>
      <w:r w:rsidRPr="00EA1700">
        <w:t>Nil.</w:t>
      </w:r>
    </w:p>
    <w:p w:rsidR="00000000" w:rsidRPr="00EA1700" w:rsidP="00EA1700">
      <w:pPr>
        <w:pStyle w:val="Heading1"/>
      </w:pPr>
      <w:bookmarkStart w:id="4" w:name="O_1044329"/>
      <w:bookmarkEnd w:id="4"/>
      <w:r w:rsidRPr="00EA1700">
        <w:t>Competency Field</w:t>
      </w:r>
    </w:p>
    <w:p w:rsidR="00000000" w:rsidRPr="00EA1700" w:rsidP="00137254">
      <w:pPr>
        <w:pStyle w:val="BodyText"/>
      </w:pPr>
      <w:r w:rsidRPr="00EA1700">
        <w:t>Bioprocessing</w:t>
      </w:r>
    </w:p>
    <w:p w:rsidR="00000000" w:rsidRPr="00EA1700" w:rsidP="00EA1700">
      <w:pPr>
        <w:pStyle w:val="Heading1"/>
      </w:pPr>
      <w:bookmarkStart w:id="5" w:name="O_1044331"/>
      <w:bookmarkEnd w:id="5"/>
      <w:r w:rsidRPr="00EA170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158"/>
      </w:tblGrid>
      <w:tr w:rsidTr="001372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700" w:rsidP="00EA1700">
            <w:pPr>
              <w:pStyle w:val="BodyText"/>
            </w:pPr>
            <w:r w:rsidRPr="00EA1700">
              <w:rPr>
                <w:rStyle w:val="SpecialBold"/>
              </w:rPr>
              <w:t>Elements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00">
            <w:pPr>
              <w:pStyle w:val="BodyText"/>
              <w:rPr>
                <w:lang w:val="en-NZ"/>
              </w:rPr>
            </w:pPr>
            <w:r w:rsidRPr="00EA1700">
              <w:rPr>
                <w:rStyle w:val="SpecialBold"/>
              </w:rPr>
              <w:t>Performance Criteria</w:t>
            </w:r>
          </w:p>
        </w:tc>
      </w:tr>
      <w:tr w:rsidTr="001372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700" w:rsidP="00EA1700">
            <w:pPr>
              <w:pStyle w:val="BodyText"/>
            </w:pPr>
            <w:r w:rsidRPr="00EA1700">
              <w:rPr>
                <w:rStyle w:val="Emphasis"/>
              </w:rPr>
              <w:t>Elements describe the essential outcomes.</w:t>
            </w:r>
          </w:p>
        </w:tc>
        <w:tc>
          <w:tcPr>
            <w:tcW w:w="71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00">
            <w:pPr>
              <w:pStyle w:val="BodyText"/>
              <w:rPr>
                <w:lang w:val="en-NZ"/>
              </w:rPr>
            </w:pPr>
            <w:r w:rsidRPr="00EA17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2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00">
            <w:pPr>
              <w:pStyle w:val="BodyText"/>
              <w:rPr>
                <w:lang w:val="en-NZ"/>
              </w:rPr>
            </w:pPr>
            <w:r w:rsidRPr="00EA1700">
              <w:t>1. Prepare for fermentation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700" w:rsidP="00EA1700">
            <w:pPr>
              <w:pStyle w:val="BodyText"/>
            </w:pPr>
            <w:r w:rsidRPr="00EA1700">
              <w:t xml:space="preserve">1.1 Identify and follow work and safety requirements </w:t>
            </w:r>
          </w:p>
          <w:p w:rsidR="00000000" w:rsidRPr="00EA1700" w:rsidP="00EA1700">
            <w:pPr>
              <w:pStyle w:val="BodyText"/>
            </w:pPr>
            <w:r w:rsidRPr="00EA1700">
              <w:t>1.2 Read and interpret requirements of product specification</w:t>
            </w:r>
          </w:p>
          <w:p w:rsidR="00000000" w:rsidRPr="00EA1700" w:rsidP="00EA1700">
            <w:pPr>
              <w:pStyle w:val="BodyText"/>
            </w:pPr>
            <w:r w:rsidRPr="00EA1700">
              <w:t>1.3 Gather and p</w:t>
            </w:r>
            <w:r w:rsidRPr="00EA1700">
              <w:t xml:space="preserve">repare all materials and documentation </w:t>
            </w:r>
          </w:p>
          <w:p w:rsidR="00000000" w:rsidRPr="00EA1700" w:rsidP="00EA1700">
            <w:pPr>
              <w:pStyle w:val="BodyText"/>
            </w:pPr>
            <w:r w:rsidRPr="00EA1700">
              <w:t xml:space="preserve">1.4 Clean, sanitise and set up processing area and equipment as required by standards operating procedures </w:t>
            </w:r>
          </w:p>
          <w:p w:rsidR="00000000" w:rsidP="00EA1700">
            <w:pPr>
              <w:pStyle w:val="BodyText"/>
              <w:rPr>
                <w:lang w:val="en-NZ"/>
              </w:rPr>
            </w:pPr>
            <w:r w:rsidRPr="00EA1700">
              <w:t>1.5 Check and adjust process control software parameters</w:t>
            </w:r>
          </w:p>
        </w:tc>
      </w:tr>
      <w:tr w:rsidTr="001372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00">
            <w:pPr>
              <w:pStyle w:val="BodyText"/>
              <w:rPr>
                <w:lang w:val="en-NZ"/>
              </w:rPr>
            </w:pPr>
            <w:r w:rsidRPr="00EA1700">
              <w:t xml:space="preserve">2. Operate and monitor </w:t>
            </w:r>
            <w:r w:rsidRPr="00EA1700">
              <w:t>bioreactor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700" w:rsidP="00EA1700">
            <w:pPr>
              <w:pStyle w:val="BodyText"/>
            </w:pPr>
            <w:r w:rsidRPr="00EA1700">
              <w:t xml:space="preserve">2.1 Complete routine checks, logs and paperwork taking appropriate </w:t>
            </w:r>
            <w:r w:rsidRPr="00EA1700">
              <w:t>action on unexpected readings</w:t>
            </w:r>
          </w:p>
          <w:p w:rsidR="00000000" w:rsidRPr="00EA1700" w:rsidP="00EA1700">
            <w:pPr>
              <w:pStyle w:val="BodyText"/>
            </w:pPr>
            <w:r w:rsidRPr="00EA1700">
              <w:t>2.2 Monitor and control equipment, critical parameters, sensors and processes to optimise quality and efficiency</w:t>
            </w:r>
          </w:p>
          <w:p w:rsidR="00000000" w:rsidRPr="00EA1700" w:rsidP="00EA1700">
            <w:pPr>
              <w:pStyle w:val="BodyText"/>
            </w:pPr>
            <w:r w:rsidRPr="00EA1700">
              <w:t xml:space="preserve">2.3 Identify and resolve problems and hazards </w:t>
            </w:r>
            <w:r w:rsidRPr="00EA1700">
              <w:t>with the process and equipment</w:t>
            </w:r>
          </w:p>
          <w:p w:rsidR="00000000" w:rsidP="00EA1700">
            <w:pPr>
              <w:pStyle w:val="BodyText"/>
              <w:rPr>
                <w:lang w:val="en-NZ"/>
              </w:rPr>
            </w:pPr>
            <w:r w:rsidRPr="00EA1700">
              <w:t>2.4 Operate and adjust equipment to ferment materials to produce beer in accordance with specification</w:t>
            </w:r>
          </w:p>
        </w:tc>
      </w:tr>
      <w:tr w:rsidTr="001372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700" w:rsidP="00EA1700">
            <w:pPr>
              <w:pStyle w:val="BodyText"/>
            </w:pPr>
            <w:r w:rsidRPr="00EA1700">
              <w:t>3. Finalise fermentation process</w:t>
            </w:r>
          </w:p>
          <w:p w:rsidR="00000000" w:rsidRPr="00EA1700" w:rsidP="00EA1700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700" w:rsidP="00EA1700">
            <w:pPr>
              <w:pStyle w:val="BodyText"/>
            </w:pPr>
            <w:r w:rsidRPr="00EA1700">
              <w:t xml:space="preserve">3.1 Finalise beer to specification </w:t>
            </w:r>
          </w:p>
          <w:p w:rsidR="00000000" w:rsidRPr="00EA1700" w:rsidP="00EA1700">
            <w:pPr>
              <w:pStyle w:val="BodyText"/>
            </w:pPr>
            <w:r w:rsidRPr="00EA1700">
              <w:t xml:space="preserve">3.2 Sample and test beer for downstream processes </w:t>
            </w:r>
          </w:p>
          <w:p w:rsidR="00000000" w:rsidRPr="00EA1700" w:rsidP="00EA1700">
            <w:pPr>
              <w:pStyle w:val="BodyText"/>
            </w:pPr>
            <w:r w:rsidRPr="00EA1700">
              <w:t>3.3 Pump beer to downstream processes</w:t>
            </w:r>
          </w:p>
          <w:p w:rsidR="00000000" w:rsidRPr="00EA1700" w:rsidP="00EA1700">
            <w:pPr>
              <w:pStyle w:val="BodyText"/>
            </w:pPr>
            <w:r w:rsidRPr="00EA1700">
              <w:t>3.4 Complete required documentation</w:t>
            </w:r>
          </w:p>
        </w:tc>
      </w:tr>
    </w:tbl>
    <w:p w:rsidR="00000000" w:rsidRPr="00EA1700" w:rsidP="00EA1700">
      <w:pPr>
        <w:pStyle w:val="BodyText"/>
      </w:pPr>
    </w:p>
    <w:p w:rsidR="00000000" w:rsidRPr="00EA1700" w:rsidP="00EA1700">
      <w:pPr>
        <w:pStyle w:val="AllowPageBreak"/>
      </w:pPr>
    </w:p>
    <w:p w:rsidR="00000000" w:rsidRPr="00EA1700" w:rsidP="00EA1700">
      <w:pPr>
        <w:pStyle w:val="Heading1"/>
      </w:pPr>
      <w:bookmarkStart w:id="6" w:name="O_1044332"/>
      <w:bookmarkEnd w:id="6"/>
      <w:r w:rsidRPr="00EA1700">
        <w:t>Foundation Skills</w:t>
      </w:r>
    </w:p>
    <w:p w:rsidR="00000000" w:rsidRPr="00EA1700" w:rsidP="00137254">
      <w:pPr>
        <w:pStyle w:val="BodyText"/>
      </w:pPr>
      <w:r w:rsidRPr="00EA1700">
        <w:t>This section describes those language, literacy, numeracy and employment skills that are essential to performance.</w:t>
      </w:r>
    </w:p>
    <w:p w:rsidR="00000000" w:rsidRPr="00EA1700" w:rsidP="00EA1700">
      <w:pPr>
        <w:pStyle w:val="ListBullet"/>
      </w:pPr>
      <w:r w:rsidRPr="00EA1700">
        <w:t>Writing skills to complete</w:t>
      </w:r>
      <w:r w:rsidRPr="00EA1700">
        <w:t xml:space="preserve"> workplace documentation.</w:t>
      </w:r>
    </w:p>
    <w:p w:rsidR="00000000" w:rsidRPr="00EA1700" w:rsidP="00137254">
      <w:pPr>
        <w:pStyle w:val="BodyText"/>
      </w:pPr>
      <w:r w:rsidRPr="00EA1700">
        <w:t>Other foundation skills essential to performance are explicit in the performance criteria of this unit of competency.</w:t>
      </w:r>
    </w:p>
    <w:p w:rsidR="00000000" w:rsidRPr="00EA1700" w:rsidP="00EA1700">
      <w:pPr>
        <w:pStyle w:val="Heading1"/>
      </w:pPr>
      <w:bookmarkStart w:id="7" w:name="O_1044334"/>
      <w:bookmarkEnd w:id="7"/>
      <w:r w:rsidRPr="00EA1700">
        <w:t>Unit Mapping Information</w:t>
      </w:r>
    </w:p>
    <w:p w:rsidR="00000000" w:rsidRPr="00EA1700" w:rsidP="00137254">
      <w:pPr>
        <w:pStyle w:val="BodyText"/>
      </w:pPr>
      <w:r w:rsidRPr="00EA1700">
        <w:t>Release 1. New unit.</w:t>
      </w:r>
    </w:p>
    <w:p w:rsidR="00000000" w:rsidRPr="00EA1700" w:rsidP="00EA1700">
      <w:pPr>
        <w:pStyle w:val="Heading1"/>
      </w:pPr>
      <w:bookmarkStart w:id="8" w:name="O_1044341"/>
      <w:bookmarkEnd w:id="8"/>
      <w:r w:rsidRPr="00EA1700">
        <w:t>Links</w:t>
      </w:r>
    </w:p>
    <w:p w:rsidR="00000000" w:rsidRPr="00EA1700" w:rsidP="00137254">
      <w:pPr>
        <w:pStyle w:val="BodyText"/>
      </w:pPr>
      <w:r w:rsidRPr="00EA1700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37A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A1700" w:rsidP="00137254">
      <w:pPr>
        <w:pStyle w:val="BodyText"/>
        <w:sectPr w:rsidSect="00EA17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1700" w:rsidP="00EA1700">
      <w:pPr>
        <w:pStyle w:val="SuperHeading"/>
      </w:pPr>
      <w:r w:rsidRPr="00EA1700">
        <w:t>Assessment Requirements for MSMBIO302 Ferment biomaterial to p</w:t>
      </w:r>
      <w:r w:rsidRPr="00EA1700">
        <w:t>roduce bioproducts</w:t>
      </w:r>
    </w:p>
    <w:p w:rsidR="00000000" w:rsidRPr="00EA1700" w:rsidP="00EA1700">
      <w:pPr>
        <w:pStyle w:val="Heading1"/>
      </w:pPr>
      <w:bookmarkStart w:id="9" w:name="O_1044336"/>
      <w:bookmarkEnd w:id="9"/>
      <w:r w:rsidRPr="00EA1700">
        <w:t>Modification History</w:t>
      </w:r>
    </w:p>
    <w:p w:rsidR="00000000" w:rsidRPr="00EA1700" w:rsidP="00137254">
      <w:pPr>
        <w:pStyle w:val="BodyText"/>
      </w:pPr>
      <w:r w:rsidRPr="00EA1700">
        <w:t>Release 1. New unit.</w:t>
      </w:r>
    </w:p>
    <w:p w:rsidR="00000000" w:rsidRPr="00EA1700" w:rsidP="00EA1700">
      <w:pPr>
        <w:pStyle w:val="Heading1"/>
      </w:pPr>
      <w:bookmarkStart w:id="10" w:name="O_1044337"/>
      <w:bookmarkEnd w:id="10"/>
      <w:r w:rsidRPr="00EA1700">
        <w:t>Performance Evidence</w:t>
      </w:r>
    </w:p>
    <w:p w:rsidR="00000000" w:rsidRPr="00EA1700" w:rsidP="00137254">
      <w:pPr>
        <w:pStyle w:val="BodyText"/>
      </w:pPr>
      <w:r w:rsidRPr="00EA1700">
        <w:t>There must be evidence the candidate has completed the tasks outlined in the elements and performance criteria of this unit, and:</w:t>
      </w:r>
    </w:p>
    <w:p w:rsidR="00137254" w:rsidP="00EA1700">
      <w:pPr>
        <w:pStyle w:val="ListBullet"/>
      </w:pPr>
      <w:r w:rsidRPr="00EA1700">
        <w:t>follow</w:t>
      </w:r>
      <w:r w:rsidRPr="00EA1700">
        <w:t>ed fermentation processes to produce at least 1 batch of beer to specification.</w:t>
      </w:r>
    </w:p>
    <w:p w:rsidR="00137254" w:rsidP="00EA1700">
      <w:pPr>
        <w:pStyle w:val="ListBullet"/>
      </w:pPr>
    </w:p>
    <w:p w:rsidR="00000000" w:rsidRPr="00EA1700" w:rsidP="00EA1700">
      <w:pPr>
        <w:pStyle w:val="Heading1"/>
      </w:pPr>
      <w:bookmarkStart w:id="11" w:name="O_1044338"/>
      <w:bookmarkEnd w:id="11"/>
      <w:r w:rsidRPr="00EA1700">
        <w:t>Knowledge Evidence</w:t>
      </w:r>
    </w:p>
    <w:p w:rsidR="00000000" w:rsidRPr="00EA1700" w:rsidP="00137254">
      <w:pPr>
        <w:pStyle w:val="BodyText"/>
      </w:pPr>
      <w:r w:rsidRPr="00EA1700">
        <w:t>There must be evidence the candidate has knowledge of:</w:t>
      </w:r>
    </w:p>
    <w:p w:rsidR="00000000" w:rsidRPr="00EA1700" w:rsidP="00EA1700">
      <w:pPr>
        <w:pStyle w:val="ListBullet"/>
      </w:pPr>
      <w:r w:rsidRPr="00EA1700">
        <w:t>bioprocessing concepts, drivers, trends and targets</w:t>
      </w:r>
    </w:p>
    <w:p w:rsidR="00000000" w:rsidRPr="00EA1700" w:rsidP="00EA1700">
      <w:pPr>
        <w:pStyle w:val="ListBullet"/>
      </w:pPr>
      <w:r w:rsidRPr="00EA1700">
        <w:t>principles and processes of fermentation, including standard operating procedures</w:t>
      </w:r>
    </w:p>
    <w:p w:rsidR="00000000" w:rsidRPr="00EA1700" w:rsidP="00EA1700">
      <w:pPr>
        <w:pStyle w:val="ListBullet"/>
      </w:pPr>
      <w:r w:rsidRPr="00EA1700">
        <w:t>advantages and disadvantages of fermentation</w:t>
      </w:r>
    </w:p>
    <w:p w:rsidR="00000000" w:rsidRPr="00EA1700" w:rsidP="00EA1700">
      <w:pPr>
        <w:pStyle w:val="ListBullet"/>
      </w:pPr>
      <w:r w:rsidRPr="00EA1700">
        <w:t>bioproducts and biproducts derived from fermentation, including production requirements and sampling and testing methods</w:t>
      </w:r>
    </w:p>
    <w:p w:rsidR="00000000" w:rsidRPr="00EA1700" w:rsidP="00EA1700">
      <w:pPr>
        <w:pStyle w:val="ListBullet"/>
      </w:pPr>
      <w:r w:rsidRPr="00EA1700">
        <w:t>biologic</w:t>
      </w:r>
      <w:r w:rsidRPr="00EA1700">
        <w:t>al material / biomass, including:</w:t>
      </w:r>
    </w:p>
    <w:p w:rsidR="00000000" w:rsidRPr="00EA1700" w:rsidP="00EA1700">
      <w:pPr>
        <w:pStyle w:val="ListBullet2"/>
      </w:pPr>
      <w:r w:rsidRPr="00EA1700">
        <w:t>pre-fermentation processes, including liquefaction and saccharification</w:t>
      </w:r>
    </w:p>
    <w:p w:rsidR="00000000" w:rsidRPr="00EA1700" w:rsidP="00EA1700">
      <w:pPr>
        <w:pStyle w:val="ListBullet2"/>
      </w:pPr>
      <w:r w:rsidRPr="00EA1700">
        <w:t>fermentation processes</w:t>
      </w:r>
    </w:p>
    <w:p w:rsidR="00000000" w:rsidRPr="00EA1700" w:rsidP="00EA1700">
      <w:pPr>
        <w:pStyle w:val="ListBullet2"/>
      </w:pPr>
      <w:r w:rsidRPr="00EA1700">
        <w:t>feedstock types, sources and uses</w:t>
      </w:r>
    </w:p>
    <w:p w:rsidR="00000000" w:rsidRPr="00EA1700" w:rsidP="00EA1700">
      <w:pPr>
        <w:pStyle w:val="ListBullet2"/>
      </w:pPr>
      <w:r w:rsidRPr="00EA1700">
        <w:t>cultures, microorganisms and additives and their role in fermentation</w:t>
      </w:r>
    </w:p>
    <w:p w:rsidR="00000000" w:rsidRPr="00EA1700" w:rsidP="00EA1700">
      <w:pPr>
        <w:pStyle w:val="ListBullet"/>
      </w:pPr>
      <w:r w:rsidRPr="00EA1700">
        <w:t>process control softw</w:t>
      </w:r>
      <w:r w:rsidRPr="00EA1700">
        <w:t>are and documentation</w:t>
      </w:r>
    </w:p>
    <w:p w:rsidR="00000000" w:rsidRPr="00EA1700" w:rsidP="00EA1700">
      <w:pPr>
        <w:pStyle w:val="ListBullet"/>
      </w:pPr>
      <w:r w:rsidRPr="00EA1700">
        <w:t>fermentation equipment and tools and standard operating procedures, including:</w:t>
      </w:r>
    </w:p>
    <w:p w:rsidR="00000000" w:rsidRPr="00EA1700" w:rsidP="00EA1700">
      <w:pPr>
        <w:pStyle w:val="ListBullet2"/>
      </w:pPr>
      <w:r w:rsidRPr="00EA1700">
        <w:t>critical parameters</w:t>
      </w:r>
    </w:p>
    <w:p w:rsidR="00000000" w:rsidRPr="00EA1700" w:rsidP="00EA1700">
      <w:pPr>
        <w:pStyle w:val="ListBullet2"/>
      </w:pPr>
      <w:r w:rsidRPr="00EA1700">
        <w:t>sensors</w:t>
      </w:r>
    </w:p>
    <w:p w:rsidR="00000000" w:rsidRPr="00EA1700" w:rsidP="00EA1700">
      <w:pPr>
        <w:pStyle w:val="ListBullet2"/>
      </w:pPr>
      <w:r w:rsidRPr="00EA1700">
        <w:t>factors affecting efficient operation of the separation equipment</w:t>
      </w:r>
    </w:p>
    <w:p w:rsidR="00000000" w:rsidRPr="00EA1700" w:rsidP="00EA1700">
      <w:pPr>
        <w:pStyle w:val="ListBullet2"/>
      </w:pPr>
      <w:r w:rsidRPr="00EA1700">
        <w:t xml:space="preserve">external factors impacting process, including time, temperature, humidity </w:t>
      </w:r>
    </w:p>
    <w:p w:rsidR="00000000" w:rsidRPr="00EA1700" w:rsidP="00EA1700">
      <w:pPr>
        <w:pStyle w:val="ListBullet2"/>
      </w:pPr>
      <w:r w:rsidRPr="00EA1700">
        <w:t>correct methods of starting, stopping, operating and controlling the equipment</w:t>
      </w:r>
    </w:p>
    <w:p w:rsidR="00000000" w:rsidRPr="00EA1700" w:rsidP="00EA1700">
      <w:pPr>
        <w:pStyle w:val="ListBullet2"/>
      </w:pPr>
      <w:r w:rsidRPr="00EA1700">
        <w:t>work health and safety (WHS) procedures including personal protective equipment (PPE) requirements</w:t>
      </w:r>
    </w:p>
    <w:p w:rsidR="00000000" w:rsidRPr="00EA1700" w:rsidP="00EA1700">
      <w:pPr>
        <w:pStyle w:val="ListBullet"/>
      </w:pPr>
      <w:r w:rsidRPr="00EA1700">
        <w:t>fe</w:t>
      </w:r>
      <w:r w:rsidRPr="00EA1700">
        <w:t>rmentation hazards, risks and control measures including:</w:t>
      </w:r>
    </w:p>
    <w:p w:rsidR="00000000" w:rsidRPr="00EA1700" w:rsidP="00EA1700">
      <w:pPr>
        <w:pStyle w:val="ListBullet2"/>
      </w:pPr>
      <w:r w:rsidRPr="00EA1700">
        <w:t>fire and explosion</w:t>
      </w:r>
    </w:p>
    <w:p w:rsidR="00000000" w:rsidRPr="00EA1700" w:rsidP="00EA1700">
      <w:pPr>
        <w:pStyle w:val="ListBullet2"/>
      </w:pPr>
      <w:r w:rsidRPr="00EA1700">
        <w:t>hearing</w:t>
      </w:r>
    </w:p>
    <w:p w:rsidR="00000000" w:rsidRPr="00EA1700" w:rsidP="00EA1700">
      <w:pPr>
        <w:pStyle w:val="ListBullet2"/>
      </w:pPr>
      <w:r w:rsidRPr="00EA1700">
        <w:t>respiratory</w:t>
      </w:r>
    </w:p>
    <w:p w:rsidR="00000000" w:rsidRPr="00EA1700" w:rsidP="00EA1700">
      <w:pPr>
        <w:pStyle w:val="ListBullet2"/>
      </w:pPr>
      <w:r w:rsidRPr="00EA1700">
        <w:t>chemicals</w:t>
      </w:r>
    </w:p>
    <w:p w:rsidR="00000000" w:rsidRPr="00EA1700" w:rsidP="00EA1700">
      <w:pPr>
        <w:pStyle w:val="ListBullet2"/>
      </w:pPr>
      <w:r w:rsidRPr="00EA1700">
        <w:t>boilers</w:t>
      </w:r>
    </w:p>
    <w:p w:rsidR="00000000" w:rsidRPr="00EA1700" w:rsidP="00EA1700">
      <w:pPr>
        <w:pStyle w:val="ListBullet2"/>
      </w:pPr>
      <w:r w:rsidRPr="00EA1700">
        <w:t>manual handling</w:t>
      </w:r>
    </w:p>
    <w:p w:rsidR="00000000" w:rsidRPr="00EA1700" w:rsidP="00EA1700">
      <w:pPr>
        <w:pStyle w:val="ListBullet2"/>
      </w:pPr>
      <w:r w:rsidRPr="00EA1700">
        <w:t>confined space</w:t>
      </w:r>
    </w:p>
    <w:p w:rsidR="00000000" w:rsidRPr="00EA1700" w:rsidP="00EA1700">
      <w:pPr>
        <w:pStyle w:val="ListBullet2"/>
      </w:pPr>
      <w:r w:rsidRPr="00EA1700">
        <w:t>falls</w:t>
      </w:r>
    </w:p>
    <w:p w:rsidR="00000000" w:rsidRPr="00EA1700" w:rsidP="00EA1700">
      <w:pPr>
        <w:pStyle w:val="ListBullet"/>
      </w:pPr>
      <w:r w:rsidRPr="00EA1700">
        <w:t>cleaning and sanitising procedures and why they are important.</w:t>
      </w:r>
    </w:p>
    <w:p w:rsidR="00000000" w:rsidRPr="00EA1700" w:rsidP="00EA1700">
      <w:pPr>
        <w:pStyle w:val="AllowPageBreak"/>
      </w:pPr>
    </w:p>
    <w:p w:rsidR="00000000" w:rsidRPr="00EA1700" w:rsidP="00EA1700">
      <w:pPr>
        <w:pStyle w:val="Heading1"/>
      </w:pPr>
      <w:bookmarkStart w:id="12" w:name="O_1044339"/>
      <w:bookmarkEnd w:id="12"/>
      <w:r w:rsidRPr="00EA1700">
        <w:t>Assessment Conditions</w:t>
      </w:r>
    </w:p>
    <w:p w:rsidR="00000000" w:rsidRPr="00EA1700" w:rsidP="00137254">
      <w:pPr>
        <w:pStyle w:val="BodyText"/>
      </w:pPr>
      <w:r w:rsidRPr="00EA1700">
        <w:t xml:space="preserve">Skills must have been demonstrated in the workplace or in a simulated environment that reflects workplace conditions, contingencies, facilities, equipment and resources. </w:t>
      </w:r>
    </w:p>
    <w:p w:rsidR="00137254" w:rsidP="00137254">
      <w:pPr>
        <w:pStyle w:val="BodyText"/>
      </w:pPr>
      <w:r w:rsidRPr="00EA1700">
        <w:t>Assessors must satisfy the NVR/AQTF mandatory competency requir</w:t>
      </w:r>
      <w:r w:rsidRPr="00EA1700">
        <w:t>ements for assessors.</w:t>
      </w:r>
    </w:p>
    <w:p w:rsidR="00000000" w:rsidRPr="00EA1700" w:rsidP="00EA1700">
      <w:pPr>
        <w:pStyle w:val="Heading1"/>
      </w:pPr>
      <w:bookmarkStart w:id="13" w:name="O_1044342"/>
      <w:bookmarkEnd w:id="13"/>
      <w:r w:rsidRPr="00EA1700">
        <w:t>Links</w:t>
      </w:r>
    </w:p>
    <w:p w:rsidR="00000000" w:rsidRPr="00EA1700" w:rsidP="00137254">
      <w:pPr>
        <w:pStyle w:val="BodyText"/>
      </w:pPr>
      <w:r w:rsidRPr="00EA1700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37A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A1700" w:rsidP="00EA1700"/>
    <w:sectPr w:rsidSect="00EA17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0" w:rsidRPr="00137254" w:rsidP="00137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54" w:rsidP="00EA1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254" w:rsidP="00EA1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7254" w:rsidP="00EA17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0" w:rsidP="00EA1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254">
      <w:t>Approved</w:t>
    </w:r>
    <w:r w:rsidR="001372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2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254">
      <w:rPr>
        <w:noProof/>
      </w:rPr>
      <w:t>4</w:t>
    </w:r>
    <w:r>
      <w:rPr>
        <w:noProof/>
      </w:rPr>
      <w:fldChar w:fldCharType="end"/>
    </w:r>
  </w:p>
  <w:p w:rsidR="00EA1700" w:rsidP="00EA1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2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254">
      <w:t>Manufacturing Industry Skills Alliance</w:t>
    </w:r>
    <w:r w:rsidR="00137254">
      <w:fldChar w:fldCharType="end"/>
    </w:r>
  </w:p>
  <w:p w:rsidR="00EA1700" w:rsidP="00EA1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700" w:rsidRPr="00137254" w:rsidP="00137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254" w:rsidRPr="002D2AF8" w:rsidP="00EA1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MSMBIO302 Ferment biomaterial to produce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7254" w:rsidP="00EA17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0" w:rsidRPr="002D2AF8" w:rsidP="00EA1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254">
      <w:t>MSMBIO302 Ferment biomaterial to produce bioproducts</w:t>
    </w:r>
    <w:r w:rsidR="001372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254">
      <w:rPr>
        <w:noProof/>
      </w:rPr>
      <w:t>2 March 2025</w:t>
    </w:r>
    <w:r>
      <w:fldChar w:fldCharType="end"/>
    </w:r>
  </w:p>
  <w:p w:rsidR="00EA1700" w:rsidP="00EA1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BEB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680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66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700"/>
  </w:style>
  <w:style w:type="character" w:customStyle="1" w:styleId="Heading1Char">
    <w:name w:val="Heading 1 Char"/>
    <w:basedOn w:val="DefaultParagraphFont"/>
    <w:link w:val="Heading1"/>
    <w:rsid w:val="00EA1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7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7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700"/>
    <w:rPr>
      <w:b/>
      <w:spacing w:val="0"/>
    </w:rPr>
  </w:style>
  <w:style w:type="paragraph" w:styleId="ListBullet2">
    <w:name w:val="List Bullet 2"/>
    <w:basedOn w:val="List2"/>
    <w:rsid w:val="00EA17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1700"/>
    <w:rPr>
      <w:i/>
    </w:rPr>
  </w:style>
  <w:style w:type="paragraph" w:customStyle="1" w:styleId="SuperHeading">
    <w:name w:val="SuperHeading"/>
    <w:basedOn w:val="Normal"/>
    <w:rsid w:val="00EA1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7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7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700"/>
  </w:style>
  <w:style w:type="paragraph" w:styleId="TableofFigures">
    <w:name w:val="table of figures"/>
    <w:basedOn w:val="Normal"/>
    <w:next w:val="Normal"/>
    <w:semiHidden/>
    <w:rsid w:val="00EA1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7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700"/>
    <w:rPr>
      <w:rFonts w:ascii="Wingdings" w:hAnsi="Wingdings"/>
    </w:rPr>
  </w:style>
  <w:style w:type="paragraph" w:customStyle="1" w:styleId="TableHeading">
    <w:name w:val="Table Heading"/>
    <w:basedOn w:val="HeadingBase"/>
    <w:rsid w:val="00EA1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700"/>
    <w:rPr>
      <w:color w:val="0033CC"/>
      <w:u w:val="none"/>
    </w:rPr>
  </w:style>
  <w:style w:type="paragraph" w:customStyle="1" w:styleId="BodyTextRight">
    <w:name w:val="Body Text Right"/>
    <w:basedOn w:val="BodyText"/>
    <w:rsid w:val="00EA1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7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700"/>
    <w:rPr>
      <w:sz w:val="32"/>
    </w:rPr>
  </w:style>
  <w:style w:type="paragraph" w:customStyle="1" w:styleId="HeadingProcedure">
    <w:name w:val="Heading Procedure"/>
    <w:basedOn w:val="HeadingBase"/>
    <w:next w:val="Normal"/>
    <w:rsid w:val="00EA1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700"/>
    <w:pPr>
      <w:spacing w:before="60" w:after="60"/>
    </w:pPr>
  </w:style>
  <w:style w:type="paragraph" w:styleId="ListContinue">
    <w:name w:val="List Continue"/>
    <w:basedOn w:val="List"/>
    <w:rsid w:val="00EA1700"/>
    <w:pPr>
      <w:ind w:firstLine="0"/>
    </w:pPr>
  </w:style>
  <w:style w:type="paragraph" w:customStyle="1" w:styleId="ListNote">
    <w:name w:val="List Note"/>
    <w:basedOn w:val="List"/>
    <w:rsid w:val="00EA1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700"/>
    <w:rPr>
      <w:rFonts w:ascii="Courier New" w:hAnsi="Courier New"/>
    </w:rPr>
  </w:style>
  <w:style w:type="paragraph" w:customStyle="1" w:styleId="NoteBullet">
    <w:name w:val="Note Bullet"/>
    <w:basedOn w:val="Note"/>
    <w:rsid w:val="00EA1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7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700"/>
    <w:rPr>
      <w:b/>
      <w:smallCaps/>
    </w:rPr>
  </w:style>
  <w:style w:type="paragraph" w:customStyle="1" w:styleId="TableListNumber">
    <w:name w:val="Table List Number"/>
    <w:basedOn w:val="ListNumber"/>
    <w:rsid w:val="00EA1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700"/>
    <w:pPr>
      <w:numPr>
        <w:numId w:val="9"/>
      </w:numPr>
    </w:pPr>
  </w:style>
  <w:style w:type="paragraph" w:customStyle="1" w:styleId="ListAlpha2">
    <w:name w:val="List Alpha 2"/>
    <w:basedOn w:val="List2"/>
    <w:rsid w:val="00EA1700"/>
    <w:pPr>
      <w:numPr>
        <w:numId w:val="8"/>
      </w:numPr>
    </w:pPr>
  </w:style>
  <w:style w:type="paragraph" w:styleId="List2">
    <w:name w:val="List 2"/>
    <w:basedOn w:val="BodyText"/>
    <w:rsid w:val="00EA1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7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7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700"/>
    <w:pPr>
      <w:numPr>
        <w:numId w:val="4"/>
      </w:numPr>
    </w:pPr>
  </w:style>
  <w:style w:type="paragraph" w:styleId="ListContinue2">
    <w:name w:val="List Continue 2"/>
    <w:basedOn w:val="List2"/>
    <w:rsid w:val="00EA1700"/>
    <w:pPr>
      <w:ind w:firstLine="0"/>
    </w:pPr>
  </w:style>
  <w:style w:type="paragraph" w:styleId="ListContinue3">
    <w:name w:val="List Continue 3"/>
    <w:basedOn w:val="List3"/>
    <w:rsid w:val="00EA1700"/>
    <w:pPr>
      <w:ind w:left="1021" w:firstLine="0"/>
    </w:pPr>
  </w:style>
  <w:style w:type="paragraph" w:styleId="ListContinue4">
    <w:name w:val="List Continue 4"/>
    <w:basedOn w:val="List4"/>
    <w:rsid w:val="00EA1700"/>
    <w:pPr>
      <w:ind w:firstLine="0"/>
    </w:pPr>
  </w:style>
  <w:style w:type="paragraph" w:styleId="ListContinue5">
    <w:name w:val="List Continue 5"/>
    <w:basedOn w:val="List5"/>
    <w:rsid w:val="00EA1700"/>
    <w:pPr>
      <w:ind w:firstLine="0"/>
    </w:pPr>
  </w:style>
  <w:style w:type="paragraph" w:styleId="ListNumber3">
    <w:name w:val="List Number 3"/>
    <w:basedOn w:val="List3"/>
    <w:rsid w:val="00EA1700"/>
    <w:pPr>
      <w:numPr>
        <w:numId w:val="5"/>
      </w:numPr>
    </w:pPr>
  </w:style>
  <w:style w:type="paragraph" w:styleId="ListNumber4">
    <w:name w:val="List Number 4"/>
    <w:basedOn w:val="List4"/>
    <w:rsid w:val="00EA1700"/>
    <w:pPr>
      <w:numPr>
        <w:numId w:val="6"/>
      </w:numPr>
    </w:pPr>
  </w:style>
  <w:style w:type="paragraph" w:styleId="ListNumber5">
    <w:name w:val="List Number 5"/>
    <w:basedOn w:val="List5"/>
    <w:rsid w:val="00EA1700"/>
    <w:pPr>
      <w:numPr>
        <w:numId w:val="7"/>
      </w:numPr>
    </w:pPr>
  </w:style>
  <w:style w:type="paragraph" w:styleId="BlockText">
    <w:name w:val="Block Text"/>
    <w:basedOn w:val="Normal"/>
    <w:rsid w:val="00EA1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700"/>
    <w:rPr>
      <w:sz w:val="16"/>
      <w:vertAlign w:val="superscript"/>
    </w:rPr>
  </w:style>
  <w:style w:type="character" w:customStyle="1" w:styleId="Symbols">
    <w:name w:val="Symbols"/>
    <w:basedOn w:val="DefaultParagraphFont"/>
    <w:rsid w:val="00EA1700"/>
    <w:rPr>
      <w:rFonts w:ascii="Symbol" w:hAnsi="Symbol"/>
    </w:rPr>
  </w:style>
  <w:style w:type="character" w:customStyle="1" w:styleId="MenuOptions">
    <w:name w:val="Menu Options"/>
    <w:basedOn w:val="DefaultParagraphFont"/>
    <w:rsid w:val="00EA1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700"/>
    <w:rPr>
      <w:b/>
    </w:rPr>
  </w:style>
  <w:style w:type="character" w:customStyle="1" w:styleId="Underlined">
    <w:name w:val="Underlined"/>
    <w:basedOn w:val="DefaultParagraphFont"/>
    <w:rsid w:val="00EA1700"/>
    <w:rPr>
      <w:u w:val="single"/>
    </w:rPr>
  </w:style>
  <w:style w:type="paragraph" w:customStyle="1" w:styleId="TableBodyTextRight">
    <w:name w:val="Table Body Text Right"/>
    <w:basedOn w:val="TableBodyText"/>
    <w:rsid w:val="00EA1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700"/>
    <w:rPr>
      <w:sz w:val="18"/>
    </w:rPr>
  </w:style>
  <w:style w:type="paragraph" w:customStyle="1" w:styleId="BodySmallRight">
    <w:name w:val="Body Small Right"/>
    <w:basedOn w:val="BodyTextRight"/>
    <w:rsid w:val="00EA1700"/>
    <w:rPr>
      <w:sz w:val="18"/>
      <w:szCs w:val="18"/>
    </w:rPr>
  </w:style>
  <w:style w:type="paragraph" w:customStyle="1" w:styleId="MarginEdition">
    <w:name w:val="Margin Edition"/>
    <w:basedOn w:val="MarginNote"/>
    <w:rsid w:val="00EA1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700"/>
    <w:rPr>
      <w:sz w:val="2"/>
      <w:szCs w:val="2"/>
    </w:rPr>
  </w:style>
  <w:style w:type="character" w:customStyle="1" w:styleId="Small">
    <w:name w:val="Small"/>
    <w:basedOn w:val="DefaultParagraphFont"/>
    <w:rsid w:val="00EA1700"/>
    <w:rPr>
      <w:sz w:val="16"/>
    </w:rPr>
  </w:style>
  <w:style w:type="paragraph" w:customStyle="1" w:styleId="WideTable">
    <w:name w:val="Wide Table"/>
    <w:basedOn w:val="Normal"/>
    <w:rsid w:val="00EA1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700"/>
  </w:style>
  <w:style w:type="paragraph" w:styleId="Quote">
    <w:name w:val="Quote"/>
    <w:basedOn w:val="Heading1"/>
    <w:link w:val="QuoteChar"/>
    <w:qFormat/>
    <w:rsid w:val="00EA1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700"/>
    <w:pPr>
      <w:pageBreakBefore/>
    </w:pPr>
  </w:style>
  <w:style w:type="paragraph" w:customStyle="1" w:styleId="Border">
    <w:name w:val="Border"/>
    <w:basedOn w:val="Normal"/>
    <w:qFormat/>
    <w:rsid w:val="00EA1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700"/>
    <w:rPr>
      <w:u w:val="single"/>
    </w:rPr>
  </w:style>
  <w:style w:type="character" w:customStyle="1" w:styleId="BoldandItalics">
    <w:name w:val="Bold and Italics"/>
    <w:qFormat/>
    <w:rsid w:val="00EA1700"/>
    <w:rPr>
      <w:b/>
      <w:i/>
      <w:u w:val="none"/>
    </w:rPr>
  </w:style>
  <w:style w:type="paragraph" w:styleId="BalloonText">
    <w:name w:val="Balloon Text"/>
    <w:basedOn w:val="Normal"/>
    <w:link w:val="BalloonTextChar"/>
    <w:rsid w:val="00EA1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700"/>
    <w:pPr>
      <w:spacing w:before="0" w:after="0"/>
    </w:pPr>
  </w:style>
  <w:style w:type="paragraph" w:customStyle="1" w:styleId="BodyTextBold">
    <w:name w:val="Body Text Bold"/>
    <w:basedOn w:val="BodyText"/>
    <w:qFormat/>
    <w:rsid w:val="00EA1700"/>
    <w:rPr>
      <w:b/>
    </w:rPr>
  </w:style>
  <w:style w:type="character" w:styleId="Hyperlink">
    <w:name w:val="Hyperlink"/>
    <w:basedOn w:val="DefaultParagraphFont"/>
    <w:uiPriority w:val="99"/>
    <w:unhideWhenUsed/>
    <w:rsid w:val="00137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4290</Characters>
  <Application>Microsoft Office Word</Application>
  <DocSecurity>0</DocSecurity>
  <Lines>134</Lines>
  <Paragraphs>100</Paragraphs>
  <ScaleCrop>false</ScaleCrop>
  <Company>Author-it Software Corporation Ltd.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MSMBIO302 Ferment biomaterial to produce bioproducts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