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AD3" w:rsidP="00A65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MSMBIO302 Ferment biomaterial to produce bioproducts</w:t>
      </w:r>
      <w:r>
        <w:fldChar w:fldCharType="end"/>
      </w:r>
    </w:p>
    <w:p w:rsidR="00A65AD3" w:rsidP="00A65AD3">
      <w:pPr>
        <w:pStyle w:val="Version"/>
        <w:sectPr w:rsidSect="00415F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F1D" w:rsidP="00415F1D">
      <w:pPr>
        <w:pStyle w:val="SuperHeading"/>
      </w:pPr>
      <w:r w:rsidRPr="00415F1D">
        <w:t>Assessment Requirements for MSMBIO302 Ferment biomaterial to produce bioproducts</w:t>
      </w:r>
    </w:p>
    <w:p w:rsidR="00000000" w:rsidRPr="00415F1D" w:rsidP="00415F1D">
      <w:pPr>
        <w:pStyle w:val="Heading1"/>
      </w:pPr>
      <w:bookmarkStart w:id="1" w:name="O_1044336"/>
      <w:bookmarkEnd w:id="1"/>
      <w:r w:rsidRPr="00415F1D">
        <w:t>Modification History</w:t>
      </w:r>
    </w:p>
    <w:p w:rsidR="00000000" w:rsidRPr="00415F1D" w:rsidP="00A65AD3">
      <w:pPr>
        <w:pStyle w:val="BodyText"/>
      </w:pPr>
      <w:r w:rsidRPr="00415F1D">
        <w:t>Release 1. New unit.</w:t>
      </w:r>
    </w:p>
    <w:p w:rsidR="00000000" w:rsidRPr="00415F1D" w:rsidP="00415F1D">
      <w:pPr>
        <w:pStyle w:val="Heading1"/>
      </w:pPr>
      <w:bookmarkStart w:id="2" w:name="O_1044337"/>
      <w:bookmarkEnd w:id="2"/>
      <w:r w:rsidRPr="00415F1D">
        <w:t>Performance Evidence</w:t>
      </w:r>
    </w:p>
    <w:p w:rsidR="00000000" w:rsidRPr="00415F1D" w:rsidP="00A65AD3">
      <w:pPr>
        <w:pStyle w:val="BodyText"/>
      </w:pPr>
      <w:r w:rsidRPr="00415F1D">
        <w:t>There must be evidence the candidate has completed the tasks outlined in the elements and performance criteria of this unit, and:</w:t>
      </w:r>
    </w:p>
    <w:p w:rsidR="00A65AD3" w:rsidP="00415F1D">
      <w:pPr>
        <w:pStyle w:val="ListBullet"/>
      </w:pPr>
      <w:r w:rsidRPr="00415F1D">
        <w:t>followed fermentation processes to produce at least 1 batch of beer to specification.</w:t>
      </w:r>
    </w:p>
    <w:p w:rsidR="00A65AD3" w:rsidP="00415F1D">
      <w:pPr>
        <w:pStyle w:val="ListBullet"/>
      </w:pPr>
    </w:p>
    <w:p w:rsidR="00000000" w:rsidRPr="00415F1D" w:rsidP="00415F1D">
      <w:pPr>
        <w:pStyle w:val="Heading1"/>
      </w:pPr>
      <w:bookmarkStart w:id="3" w:name="O_1044338"/>
      <w:bookmarkEnd w:id="3"/>
      <w:r w:rsidRPr="00415F1D">
        <w:t>Knowledge Evidence</w:t>
      </w:r>
    </w:p>
    <w:p w:rsidR="00000000" w:rsidRPr="00415F1D" w:rsidP="00A65AD3">
      <w:pPr>
        <w:pStyle w:val="BodyText"/>
      </w:pPr>
      <w:r w:rsidRPr="00415F1D">
        <w:t>There must be evidence the candidate has knowledge of:</w:t>
      </w:r>
    </w:p>
    <w:p w:rsidR="00000000" w:rsidRPr="00415F1D" w:rsidP="00415F1D">
      <w:pPr>
        <w:pStyle w:val="ListBullet"/>
      </w:pPr>
      <w:r w:rsidRPr="00415F1D">
        <w:t>bioprocessing concepts, drivers, trends and targets</w:t>
      </w:r>
    </w:p>
    <w:p w:rsidR="00000000" w:rsidRPr="00415F1D" w:rsidP="00415F1D">
      <w:pPr>
        <w:pStyle w:val="ListBullet"/>
      </w:pPr>
      <w:r w:rsidRPr="00415F1D">
        <w:t>principles and processes of fermentation, including standard operating procedures</w:t>
      </w:r>
    </w:p>
    <w:p w:rsidR="00000000" w:rsidRPr="00415F1D" w:rsidP="00415F1D">
      <w:pPr>
        <w:pStyle w:val="ListBullet"/>
      </w:pPr>
      <w:r w:rsidRPr="00415F1D">
        <w:t>advantages and disadvantages of fermentation</w:t>
      </w:r>
    </w:p>
    <w:p w:rsidR="00000000" w:rsidRPr="00415F1D" w:rsidP="00415F1D">
      <w:pPr>
        <w:pStyle w:val="ListBullet"/>
      </w:pPr>
      <w:r w:rsidRPr="00415F1D">
        <w:t>bioproducts and bipro</w:t>
      </w:r>
      <w:r w:rsidRPr="00415F1D">
        <w:t>ducts derived from fermentation, including production requirements and sampling and testing methods</w:t>
      </w:r>
    </w:p>
    <w:p w:rsidR="00000000" w:rsidRPr="00415F1D" w:rsidP="00415F1D">
      <w:pPr>
        <w:pStyle w:val="ListBullet"/>
      </w:pPr>
      <w:r w:rsidRPr="00415F1D">
        <w:t>biological material / biomass, including:</w:t>
      </w:r>
    </w:p>
    <w:p w:rsidR="00000000" w:rsidRPr="00415F1D" w:rsidP="00415F1D">
      <w:pPr>
        <w:pStyle w:val="ListBullet2"/>
      </w:pPr>
      <w:r w:rsidRPr="00415F1D">
        <w:t>pre-fermentation processes, including liquefaction and saccharification</w:t>
      </w:r>
    </w:p>
    <w:p w:rsidR="00000000" w:rsidRPr="00415F1D" w:rsidP="00415F1D">
      <w:pPr>
        <w:pStyle w:val="ListBullet2"/>
      </w:pPr>
      <w:r w:rsidRPr="00415F1D">
        <w:t>fermentation processes</w:t>
      </w:r>
    </w:p>
    <w:p w:rsidR="00000000" w:rsidRPr="00415F1D" w:rsidP="00415F1D">
      <w:pPr>
        <w:pStyle w:val="ListBullet2"/>
      </w:pPr>
      <w:r w:rsidRPr="00415F1D">
        <w:t>feedstock types, sources and uses</w:t>
      </w:r>
    </w:p>
    <w:p w:rsidR="00000000" w:rsidRPr="00415F1D" w:rsidP="00415F1D">
      <w:pPr>
        <w:pStyle w:val="ListBullet2"/>
      </w:pPr>
      <w:r w:rsidRPr="00415F1D">
        <w:t>cultures, microorganisms and additives and their role in fermentation</w:t>
      </w:r>
    </w:p>
    <w:p w:rsidR="00000000" w:rsidRPr="00415F1D" w:rsidP="00415F1D">
      <w:pPr>
        <w:pStyle w:val="ListBullet"/>
      </w:pPr>
      <w:r w:rsidRPr="00415F1D">
        <w:t>process control software and documentation</w:t>
      </w:r>
    </w:p>
    <w:p w:rsidR="00000000" w:rsidRPr="00415F1D" w:rsidP="00415F1D">
      <w:pPr>
        <w:pStyle w:val="ListBullet"/>
      </w:pPr>
      <w:r w:rsidRPr="00415F1D">
        <w:t>fermentation equipment and tools and standard operating procedures, including:</w:t>
      </w:r>
    </w:p>
    <w:p w:rsidR="00000000" w:rsidRPr="00415F1D" w:rsidP="00415F1D">
      <w:pPr>
        <w:pStyle w:val="ListBullet2"/>
      </w:pPr>
      <w:r w:rsidRPr="00415F1D">
        <w:t>critical parameters</w:t>
      </w:r>
    </w:p>
    <w:p w:rsidR="00000000" w:rsidRPr="00415F1D" w:rsidP="00415F1D">
      <w:pPr>
        <w:pStyle w:val="ListBullet2"/>
      </w:pPr>
      <w:r w:rsidRPr="00415F1D">
        <w:t>sensors</w:t>
      </w:r>
    </w:p>
    <w:p w:rsidR="00000000" w:rsidRPr="00415F1D" w:rsidP="00415F1D">
      <w:pPr>
        <w:pStyle w:val="ListBullet2"/>
      </w:pPr>
      <w:r w:rsidRPr="00415F1D">
        <w:t>factors affecting efficient operation of the separation equipment</w:t>
      </w:r>
    </w:p>
    <w:p w:rsidR="00000000" w:rsidRPr="00415F1D" w:rsidP="00415F1D">
      <w:pPr>
        <w:pStyle w:val="ListBullet2"/>
      </w:pPr>
      <w:r w:rsidRPr="00415F1D">
        <w:t xml:space="preserve">external factors impacting process, including time, temperature, humidity </w:t>
      </w:r>
    </w:p>
    <w:p w:rsidR="00000000" w:rsidRPr="00415F1D" w:rsidP="00415F1D">
      <w:pPr>
        <w:pStyle w:val="ListBullet2"/>
      </w:pPr>
      <w:r w:rsidRPr="00415F1D">
        <w:t>correct methods of starting, stopping, operating and controlling the equipment</w:t>
      </w:r>
    </w:p>
    <w:p w:rsidR="00000000" w:rsidRPr="00415F1D" w:rsidP="00415F1D">
      <w:pPr>
        <w:pStyle w:val="ListBullet2"/>
      </w:pPr>
      <w:r w:rsidRPr="00415F1D">
        <w:t>work health and safety (WHS) procedu</w:t>
      </w:r>
      <w:r w:rsidRPr="00415F1D">
        <w:t>res including personal protective equipment (PPE) requirements</w:t>
      </w:r>
    </w:p>
    <w:p w:rsidR="00000000" w:rsidRPr="00415F1D" w:rsidP="00415F1D">
      <w:pPr>
        <w:pStyle w:val="ListBullet"/>
      </w:pPr>
      <w:r w:rsidRPr="00415F1D">
        <w:t>fermentation hazards, risks and control measures including:</w:t>
      </w:r>
    </w:p>
    <w:p w:rsidR="00000000" w:rsidRPr="00415F1D" w:rsidP="00415F1D">
      <w:pPr>
        <w:pStyle w:val="ListBullet2"/>
      </w:pPr>
      <w:r w:rsidRPr="00415F1D">
        <w:t>fire and explosion</w:t>
      </w:r>
    </w:p>
    <w:p w:rsidR="00000000" w:rsidRPr="00415F1D" w:rsidP="00415F1D">
      <w:pPr>
        <w:pStyle w:val="ListBullet2"/>
      </w:pPr>
      <w:r w:rsidRPr="00415F1D">
        <w:t>hearing</w:t>
      </w:r>
    </w:p>
    <w:p w:rsidR="00000000" w:rsidRPr="00415F1D" w:rsidP="00415F1D">
      <w:pPr>
        <w:pStyle w:val="ListBullet2"/>
      </w:pPr>
      <w:r w:rsidRPr="00415F1D">
        <w:t>respiratory</w:t>
      </w:r>
    </w:p>
    <w:p w:rsidR="00000000" w:rsidRPr="00415F1D" w:rsidP="00415F1D">
      <w:pPr>
        <w:pStyle w:val="ListBullet2"/>
      </w:pPr>
      <w:r w:rsidRPr="00415F1D">
        <w:t>chemicals</w:t>
      </w:r>
    </w:p>
    <w:p w:rsidR="00000000" w:rsidRPr="00415F1D" w:rsidP="00415F1D">
      <w:pPr>
        <w:pStyle w:val="ListBullet2"/>
      </w:pPr>
      <w:r w:rsidRPr="00415F1D">
        <w:t>boilers</w:t>
      </w:r>
    </w:p>
    <w:p w:rsidR="00000000" w:rsidRPr="00415F1D" w:rsidP="00415F1D">
      <w:pPr>
        <w:pStyle w:val="ListBullet2"/>
      </w:pPr>
      <w:r w:rsidRPr="00415F1D">
        <w:t>manual handling</w:t>
      </w:r>
    </w:p>
    <w:p w:rsidR="00000000" w:rsidRPr="00415F1D" w:rsidP="00415F1D">
      <w:pPr>
        <w:pStyle w:val="ListBullet2"/>
      </w:pPr>
      <w:r w:rsidRPr="00415F1D">
        <w:t>confined space</w:t>
      </w:r>
    </w:p>
    <w:p w:rsidR="00000000" w:rsidRPr="00415F1D" w:rsidP="00415F1D">
      <w:pPr>
        <w:pStyle w:val="ListBullet2"/>
      </w:pPr>
      <w:r w:rsidRPr="00415F1D">
        <w:t>falls</w:t>
      </w:r>
    </w:p>
    <w:p w:rsidR="00000000" w:rsidRPr="00415F1D" w:rsidP="00415F1D">
      <w:pPr>
        <w:pStyle w:val="ListBullet"/>
      </w:pPr>
      <w:r w:rsidRPr="00415F1D">
        <w:t>cleaning and sanitising procedures and why they are important.</w:t>
      </w:r>
    </w:p>
    <w:p w:rsidR="00000000" w:rsidRPr="00415F1D" w:rsidP="00415F1D">
      <w:pPr>
        <w:pStyle w:val="AllowPageBreak"/>
      </w:pPr>
    </w:p>
    <w:p w:rsidR="00000000" w:rsidRPr="00415F1D" w:rsidP="00415F1D">
      <w:pPr>
        <w:pStyle w:val="Heading1"/>
      </w:pPr>
      <w:bookmarkStart w:id="4" w:name="O_1044339"/>
      <w:bookmarkEnd w:id="4"/>
      <w:r w:rsidRPr="00415F1D">
        <w:t>Assessment Conditions</w:t>
      </w:r>
    </w:p>
    <w:p w:rsidR="00000000" w:rsidRPr="00415F1D" w:rsidP="00A65AD3">
      <w:pPr>
        <w:pStyle w:val="BodyText"/>
      </w:pPr>
      <w:r w:rsidRPr="00415F1D">
        <w:t>Skills must have been demonstrated in the workplace or in a simulated environment that reflects workplace conditions, contingencies, facilities, equipme</w:t>
      </w:r>
      <w:r w:rsidRPr="00415F1D">
        <w:t xml:space="preserve">nt and resources. </w:t>
      </w:r>
    </w:p>
    <w:p w:rsidR="00A65AD3" w:rsidP="00A65AD3">
      <w:pPr>
        <w:pStyle w:val="BodyText"/>
      </w:pPr>
      <w:r w:rsidRPr="00415F1D">
        <w:t>Assessors must satisfy the NVR/AQTF mandatory competency requirements for assessors.</w:t>
      </w:r>
    </w:p>
    <w:p w:rsidR="00000000" w:rsidRPr="00415F1D" w:rsidP="00415F1D">
      <w:pPr>
        <w:pStyle w:val="Heading1"/>
      </w:pPr>
      <w:bookmarkStart w:id="5" w:name="O_1044342"/>
      <w:bookmarkEnd w:id="5"/>
      <w:r w:rsidRPr="00415F1D">
        <w:t>Links</w:t>
      </w:r>
    </w:p>
    <w:p w:rsidR="00000000" w:rsidRPr="00415F1D" w:rsidP="00A65AD3">
      <w:pPr>
        <w:pStyle w:val="BodyText"/>
      </w:pPr>
      <w:r w:rsidRPr="00415F1D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646F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15F1D" w:rsidP="00415F1D"/>
    <w:sectPr w:rsidSect="00415F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1D" w:rsidRPr="00A65AD3" w:rsidP="00A65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D3" w:rsidP="00415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AD3" w:rsidP="00415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5AD3" w:rsidP="00415F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F1D" w:rsidRPr="00A65AD3" w:rsidP="00A65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D3" w:rsidRPr="002D2AF8" w:rsidP="00415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MSMBIO302 Ferment biomaterial to produce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65AD3" w:rsidP="00415F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4C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1AA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70C5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F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F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F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F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F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F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F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F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F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F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F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F1D"/>
  </w:style>
  <w:style w:type="character" w:customStyle="1" w:styleId="Heading1Char">
    <w:name w:val="Heading 1 Char"/>
    <w:basedOn w:val="DefaultParagraphFont"/>
    <w:link w:val="Heading1"/>
    <w:rsid w:val="00415F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F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F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F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F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F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F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F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F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F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F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F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F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F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F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F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F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F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F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F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F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F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F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F1D"/>
    <w:rPr>
      <w:b/>
      <w:spacing w:val="0"/>
    </w:rPr>
  </w:style>
  <w:style w:type="paragraph" w:customStyle="1" w:styleId="SuperTitle">
    <w:name w:val="SuperTitle"/>
    <w:basedOn w:val="Title"/>
    <w:rsid w:val="00415F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F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F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F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F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F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F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F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F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F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F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F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F1D"/>
    <w:rPr>
      <w:i/>
    </w:rPr>
  </w:style>
  <w:style w:type="paragraph" w:styleId="Caption">
    <w:name w:val="caption"/>
    <w:basedOn w:val="BodyText"/>
    <w:next w:val="Normal"/>
    <w:qFormat/>
    <w:rsid w:val="00415F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F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F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F1D"/>
  </w:style>
  <w:style w:type="paragraph" w:styleId="TableofFigures">
    <w:name w:val="table of figures"/>
    <w:basedOn w:val="Normal"/>
    <w:next w:val="Normal"/>
    <w:semiHidden/>
    <w:rsid w:val="00415F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F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F1D"/>
    <w:rPr>
      <w:rFonts w:ascii="Wingdings" w:hAnsi="Wingdings"/>
    </w:rPr>
  </w:style>
  <w:style w:type="paragraph" w:customStyle="1" w:styleId="TableHeading">
    <w:name w:val="Table Heading"/>
    <w:basedOn w:val="HeadingBase"/>
    <w:rsid w:val="00415F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F1D"/>
    <w:rPr>
      <w:color w:val="0033CC"/>
      <w:u w:val="none"/>
    </w:rPr>
  </w:style>
  <w:style w:type="paragraph" w:customStyle="1" w:styleId="BodyTextRight">
    <w:name w:val="Body Text Right"/>
    <w:basedOn w:val="BodyText"/>
    <w:rsid w:val="00415F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F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F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F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F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F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F1D"/>
    <w:rPr>
      <w:sz w:val="32"/>
    </w:rPr>
  </w:style>
  <w:style w:type="paragraph" w:customStyle="1" w:styleId="HeadingProcedure">
    <w:name w:val="Heading Procedure"/>
    <w:basedOn w:val="HeadingBase"/>
    <w:next w:val="Normal"/>
    <w:rsid w:val="00415F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F1D"/>
    <w:pPr>
      <w:spacing w:before="60" w:after="60"/>
    </w:pPr>
  </w:style>
  <w:style w:type="paragraph" w:styleId="ListContinue">
    <w:name w:val="List Continue"/>
    <w:basedOn w:val="List"/>
    <w:rsid w:val="00415F1D"/>
    <w:pPr>
      <w:ind w:firstLine="0"/>
    </w:pPr>
  </w:style>
  <w:style w:type="paragraph" w:customStyle="1" w:styleId="ListNote">
    <w:name w:val="List Note"/>
    <w:basedOn w:val="List"/>
    <w:rsid w:val="00415F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F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F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F1D"/>
    <w:rPr>
      <w:rFonts w:ascii="Courier New" w:hAnsi="Courier New"/>
    </w:rPr>
  </w:style>
  <w:style w:type="paragraph" w:customStyle="1" w:styleId="NoteBullet">
    <w:name w:val="Note Bullet"/>
    <w:basedOn w:val="Note"/>
    <w:rsid w:val="00415F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F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F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F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F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F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F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F1D"/>
    <w:rPr>
      <w:b/>
      <w:smallCaps/>
    </w:rPr>
  </w:style>
  <w:style w:type="paragraph" w:customStyle="1" w:styleId="TableListNumber">
    <w:name w:val="Table List Number"/>
    <w:basedOn w:val="ListNumber"/>
    <w:rsid w:val="00415F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F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F1D"/>
    <w:pPr>
      <w:numPr>
        <w:numId w:val="9"/>
      </w:numPr>
    </w:pPr>
  </w:style>
  <w:style w:type="paragraph" w:customStyle="1" w:styleId="ListAlpha2">
    <w:name w:val="List Alpha 2"/>
    <w:basedOn w:val="List2"/>
    <w:rsid w:val="00415F1D"/>
    <w:pPr>
      <w:numPr>
        <w:numId w:val="8"/>
      </w:numPr>
    </w:pPr>
  </w:style>
  <w:style w:type="paragraph" w:styleId="List2">
    <w:name w:val="List 2"/>
    <w:basedOn w:val="BodyText"/>
    <w:rsid w:val="00415F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F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F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F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F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F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F1D"/>
    <w:pPr>
      <w:numPr>
        <w:numId w:val="4"/>
      </w:numPr>
    </w:pPr>
  </w:style>
  <w:style w:type="paragraph" w:styleId="ListContinue2">
    <w:name w:val="List Continue 2"/>
    <w:basedOn w:val="List2"/>
    <w:rsid w:val="00415F1D"/>
    <w:pPr>
      <w:ind w:firstLine="0"/>
    </w:pPr>
  </w:style>
  <w:style w:type="paragraph" w:styleId="ListContinue3">
    <w:name w:val="List Continue 3"/>
    <w:basedOn w:val="List3"/>
    <w:rsid w:val="00415F1D"/>
    <w:pPr>
      <w:ind w:left="1021" w:firstLine="0"/>
    </w:pPr>
  </w:style>
  <w:style w:type="paragraph" w:styleId="ListContinue4">
    <w:name w:val="List Continue 4"/>
    <w:basedOn w:val="List4"/>
    <w:rsid w:val="00415F1D"/>
    <w:pPr>
      <w:ind w:firstLine="0"/>
    </w:pPr>
  </w:style>
  <w:style w:type="paragraph" w:styleId="ListContinue5">
    <w:name w:val="List Continue 5"/>
    <w:basedOn w:val="List5"/>
    <w:rsid w:val="00415F1D"/>
    <w:pPr>
      <w:ind w:firstLine="0"/>
    </w:pPr>
  </w:style>
  <w:style w:type="paragraph" w:styleId="ListNumber3">
    <w:name w:val="List Number 3"/>
    <w:basedOn w:val="List3"/>
    <w:rsid w:val="00415F1D"/>
    <w:pPr>
      <w:numPr>
        <w:numId w:val="5"/>
      </w:numPr>
    </w:pPr>
  </w:style>
  <w:style w:type="paragraph" w:styleId="ListNumber4">
    <w:name w:val="List Number 4"/>
    <w:basedOn w:val="List4"/>
    <w:rsid w:val="00415F1D"/>
    <w:pPr>
      <w:numPr>
        <w:numId w:val="6"/>
      </w:numPr>
    </w:pPr>
  </w:style>
  <w:style w:type="paragraph" w:styleId="ListNumber5">
    <w:name w:val="List Number 5"/>
    <w:basedOn w:val="List5"/>
    <w:rsid w:val="00415F1D"/>
    <w:pPr>
      <w:numPr>
        <w:numId w:val="7"/>
      </w:numPr>
    </w:pPr>
  </w:style>
  <w:style w:type="paragraph" w:styleId="BlockText">
    <w:name w:val="Block Text"/>
    <w:basedOn w:val="Normal"/>
    <w:rsid w:val="00415F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F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F1D"/>
    <w:rPr>
      <w:sz w:val="16"/>
      <w:vertAlign w:val="superscript"/>
    </w:rPr>
  </w:style>
  <w:style w:type="character" w:customStyle="1" w:styleId="Symbols">
    <w:name w:val="Symbols"/>
    <w:basedOn w:val="DefaultParagraphFont"/>
    <w:rsid w:val="00415F1D"/>
    <w:rPr>
      <w:rFonts w:ascii="Symbol" w:hAnsi="Symbol"/>
    </w:rPr>
  </w:style>
  <w:style w:type="character" w:customStyle="1" w:styleId="MenuOptions">
    <w:name w:val="Menu Options"/>
    <w:basedOn w:val="DefaultParagraphFont"/>
    <w:rsid w:val="00415F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F1D"/>
    <w:rPr>
      <w:b/>
    </w:rPr>
  </w:style>
  <w:style w:type="character" w:customStyle="1" w:styleId="Underlined">
    <w:name w:val="Underlined"/>
    <w:basedOn w:val="DefaultParagraphFont"/>
    <w:rsid w:val="00415F1D"/>
    <w:rPr>
      <w:u w:val="single"/>
    </w:rPr>
  </w:style>
  <w:style w:type="paragraph" w:customStyle="1" w:styleId="TableBodyTextRight">
    <w:name w:val="Table Body Text Right"/>
    <w:basedOn w:val="TableBodyText"/>
    <w:rsid w:val="00415F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F1D"/>
    <w:rPr>
      <w:sz w:val="18"/>
    </w:rPr>
  </w:style>
  <w:style w:type="paragraph" w:customStyle="1" w:styleId="BodySmallRight">
    <w:name w:val="Body Small Right"/>
    <w:basedOn w:val="BodyTextRight"/>
    <w:rsid w:val="00415F1D"/>
    <w:rPr>
      <w:sz w:val="18"/>
      <w:szCs w:val="18"/>
    </w:rPr>
  </w:style>
  <w:style w:type="paragraph" w:customStyle="1" w:styleId="MarginEdition">
    <w:name w:val="Margin Edition"/>
    <w:basedOn w:val="MarginNote"/>
    <w:rsid w:val="00415F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F1D"/>
    <w:rPr>
      <w:sz w:val="2"/>
      <w:szCs w:val="2"/>
    </w:rPr>
  </w:style>
  <w:style w:type="character" w:customStyle="1" w:styleId="Small">
    <w:name w:val="Small"/>
    <w:basedOn w:val="DefaultParagraphFont"/>
    <w:rsid w:val="00415F1D"/>
    <w:rPr>
      <w:sz w:val="16"/>
    </w:rPr>
  </w:style>
  <w:style w:type="paragraph" w:customStyle="1" w:styleId="WideTable">
    <w:name w:val="Wide Table"/>
    <w:basedOn w:val="Normal"/>
    <w:rsid w:val="00415F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F1D"/>
  </w:style>
  <w:style w:type="paragraph" w:styleId="Quote">
    <w:name w:val="Quote"/>
    <w:basedOn w:val="Heading1"/>
    <w:link w:val="QuoteChar"/>
    <w:qFormat/>
    <w:rsid w:val="00415F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F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F1D"/>
    <w:pPr>
      <w:pageBreakBefore/>
    </w:pPr>
  </w:style>
  <w:style w:type="paragraph" w:customStyle="1" w:styleId="Border">
    <w:name w:val="Border"/>
    <w:basedOn w:val="Normal"/>
    <w:qFormat/>
    <w:rsid w:val="00415F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F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F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F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F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F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F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F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F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F1D"/>
    <w:rPr>
      <w:u w:val="single"/>
    </w:rPr>
  </w:style>
  <w:style w:type="character" w:customStyle="1" w:styleId="BoldandItalics">
    <w:name w:val="Bold and Italics"/>
    <w:qFormat/>
    <w:rsid w:val="00415F1D"/>
    <w:rPr>
      <w:b/>
      <w:i/>
      <w:u w:val="none"/>
    </w:rPr>
  </w:style>
  <w:style w:type="paragraph" w:styleId="BalloonText">
    <w:name w:val="Balloon Text"/>
    <w:basedOn w:val="Normal"/>
    <w:link w:val="BalloonTextChar"/>
    <w:rsid w:val="00415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F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F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F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F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F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F1D"/>
    <w:pPr>
      <w:spacing w:before="0" w:after="0"/>
    </w:pPr>
  </w:style>
  <w:style w:type="paragraph" w:customStyle="1" w:styleId="BodyTextBold">
    <w:name w:val="Body Text Bold"/>
    <w:basedOn w:val="BodyText"/>
    <w:qFormat/>
    <w:rsid w:val="00415F1D"/>
    <w:rPr>
      <w:b/>
    </w:rPr>
  </w:style>
  <w:style w:type="character" w:styleId="Hyperlink">
    <w:name w:val="Hyperlink"/>
    <w:basedOn w:val="DefaultParagraphFont"/>
    <w:uiPriority w:val="99"/>
    <w:unhideWhenUsed/>
    <w:rsid w:val="00A65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2078</Characters>
  <Application>Microsoft Office Word</Application>
  <DocSecurity>0</DocSecurity>
  <Lines>59</Lines>
  <Paragraphs>50</Paragraphs>
  <ScaleCrop>false</ScaleCrop>
  <Company>Author-it Software Corporation Ltd.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MSMBIO302 Ferment biomaterial to produce bioproducts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