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A67" w:rsidP="00A85A67">
      <w:pPr>
        <w:pStyle w:val="Title"/>
      </w:pPr>
      <w:r>
        <w:fldChar w:fldCharType="begin"/>
      </w:r>
      <w:r>
        <w:instrText xml:space="preserve"> TITLE   \* MERGEFORMAT </w:instrText>
      </w:r>
      <w:r>
        <w:fldChar w:fldCharType="separate"/>
      </w:r>
      <w:r>
        <w:t>MSL976003A Evaluate and select appropriate test methods and/or procedures</w:t>
      </w:r>
      <w:r>
        <w:fldChar w:fldCharType="end"/>
      </w:r>
    </w:p>
    <w:p w:rsidR="00A85A67" w:rsidP="00A85A67">
      <w:pPr>
        <w:pStyle w:val="Version"/>
        <w:sectPr w:rsidSect="00E70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0DA4" w:rsidP="00E70DA4">
      <w:pPr>
        <w:pStyle w:val="SuperHeading"/>
      </w:pPr>
      <w:r w:rsidRPr="00E70DA4">
        <w:t>MSL976003A Evaluate and select appropriate test methods and/or procedures</w:t>
      </w:r>
    </w:p>
    <w:p w:rsidR="00000000" w:rsidRPr="00E70DA4" w:rsidP="00E70DA4">
      <w:pPr>
        <w:pStyle w:val="Heading1"/>
      </w:pPr>
      <w:bookmarkStart w:id="1" w:name="O_103779"/>
      <w:bookmarkEnd w:id="1"/>
      <w:r w:rsidRPr="00E70DA4">
        <w:t>Modification History</w:t>
      </w:r>
    </w:p>
    <w:p w:rsidR="00000000" w:rsidRPr="00E70DA4" w:rsidP="00E70DA4">
      <w:pPr>
        <w:pStyle w:val="BodyText"/>
      </w:pPr>
      <w:r w:rsidRPr="00E70DA4">
        <w:t>Not applicable.</w:t>
      </w:r>
    </w:p>
    <w:p w:rsidR="00000000" w:rsidRPr="00E70DA4" w:rsidP="00E70DA4">
      <w:pPr>
        <w:pStyle w:val="AllowPageBreak"/>
      </w:pPr>
    </w:p>
    <w:p w:rsidR="00000000" w:rsidRPr="00E70DA4" w:rsidP="00E70DA4">
      <w:pPr>
        <w:pStyle w:val="Heading1"/>
      </w:pPr>
      <w:bookmarkStart w:id="2" w:name="O_103780"/>
      <w:bookmarkEnd w:id="2"/>
      <w:r w:rsidRPr="00E70DA4">
        <w:t>Unit Descriptor</w:t>
      </w:r>
    </w:p>
    <w:tbl>
      <w:tblPr>
        <w:tblW w:w="0" w:type="auto"/>
        <w:tblLayout w:type="fixed"/>
        <w:tblCellMar>
          <w:left w:w="62" w:type="dxa"/>
          <w:right w:w="62" w:type="dxa"/>
        </w:tblCellMar>
        <w:tblLook w:val="0000"/>
      </w:tblPr>
      <w:tblGrid>
        <w:gridCol w:w="2668"/>
        <w:gridCol w:w="5854"/>
      </w:tblGrid>
      <w:tr w:rsidTr="00A85A6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This unit of competency covers the ability to evaluate and select test methods and/or procedures that are relevant to the current and evolving scope of the laboratory's operations. Selection of test methods and/or procedures may involve the appraisal of ne</w:t>
            </w:r>
            <w:r w:rsidRPr="00E70DA4">
              <w:t>w and emerging technologies and may inform decision making about possible extension of the laboratory's scope. Alternatively, it may relate to existing testing requirements, 'one-off' tests, client's special requirements or new tests required to satisfy ne</w:t>
            </w:r>
            <w:r w:rsidRPr="00E70DA4">
              <w:t>w legislative, accreditation, licensing or regulatory requirements.</w:t>
            </w: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3" w:name="O_103781"/>
      <w:bookmarkEnd w:id="3"/>
      <w:r w:rsidRPr="00E70DA4">
        <w:t>Application of the Unit</w:t>
      </w:r>
    </w:p>
    <w:tbl>
      <w:tblPr>
        <w:tblW w:w="0" w:type="auto"/>
        <w:tblLayout w:type="fixed"/>
        <w:tblCellMar>
          <w:left w:w="62" w:type="dxa"/>
          <w:right w:w="62" w:type="dxa"/>
        </w:tblCellMar>
        <w:tblLook w:val="0000"/>
      </w:tblPr>
      <w:tblGrid>
        <w:gridCol w:w="2749"/>
        <w:gridCol w:w="5773"/>
      </w:tblGrid>
      <w:tr w:rsidTr="00A85A67">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This unit of competency is applicable to senior technical officers, technical specialists and laboratory supervisors work</w:t>
            </w:r>
            <w:r w:rsidRPr="00E70DA4">
              <w:t>ing in all industry sectors. They are required to demonstrate wide ranging, highly specialised technical skills. They are expected to execute sound judgement in the selection of appropriate methodology under the broad guidance of scientists/medical staff/e</w:t>
            </w:r>
            <w:r w:rsidRPr="00E70DA4">
              <w:t>ngineers. All operations must comply with relevant standards, appropriate procedures and/or enterprise requirements.</w:t>
            </w:r>
          </w:p>
          <w:p w:rsidR="00000000" w:rsidRPr="00E70DA4" w:rsidP="00E70DA4">
            <w:pPr>
              <w:pStyle w:val="BodyText"/>
            </w:pPr>
            <w:r w:rsidRPr="00E70DA4">
              <w:t>Industry representatives have provided case studies to illustrate the practical application of this unit of competency and to show its rele</w:t>
            </w:r>
            <w:r w:rsidRPr="00E70DA4">
              <w:t>vance in a workplace setting. These can be found at the end of this unit of competency under the section 'This competency in practice'.</w:t>
            </w: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4" w:name="O_103782"/>
      <w:bookmarkEnd w:id="4"/>
      <w:r w:rsidRPr="00E70DA4">
        <w:t>Licensing/Regulatory Information</w:t>
      </w:r>
    </w:p>
    <w:p w:rsidR="00000000" w:rsidRPr="00E70DA4" w:rsidP="00E70DA4">
      <w:pPr>
        <w:pStyle w:val="BodyText"/>
      </w:pPr>
      <w:r w:rsidRPr="00E70DA4">
        <w:t>Not applicable.</w:t>
      </w:r>
    </w:p>
    <w:p w:rsidR="00000000" w:rsidRPr="00E70DA4" w:rsidP="00E70DA4">
      <w:pPr>
        <w:pStyle w:val="AllowPageBreak"/>
      </w:pPr>
    </w:p>
    <w:p w:rsidR="00000000" w:rsidRPr="00E70DA4" w:rsidP="00E70DA4">
      <w:pPr>
        <w:pStyle w:val="Heading1"/>
      </w:pPr>
      <w:bookmarkStart w:id="5" w:name="O_103784"/>
      <w:bookmarkEnd w:id="5"/>
      <w:r w:rsidRPr="00E70DA4">
        <w:t>Pre-Requisites</w:t>
      </w:r>
    </w:p>
    <w:tbl>
      <w:tblPr>
        <w:tblW w:w="0" w:type="auto"/>
        <w:tblLayout w:type="fixed"/>
        <w:tblCellMar>
          <w:left w:w="62" w:type="dxa"/>
          <w:right w:w="62" w:type="dxa"/>
        </w:tblCellMar>
        <w:tblLook w:val="0000"/>
      </w:tblPr>
      <w:tblGrid>
        <w:gridCol w:w="2775"/>
        <w:gridCol w:w="1295"/>
        <w:gridCol w:w="4452"/>
      </w:tblGrid>
      <w:tr w:rsidTr="00A85A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p>
        </w:tc>
      </w:tr>
      <w:tr w:rsidTr="00A85A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p>
        </w:tc>
      </w:tr>
      <w:tr w:rsidTr="00A85A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6" w:name="O_103783"/>
      <w:bookmarkEnd w:id="6"/>
      <w:r w:rsidRPr="00E70DA4">
        <w:t>Employability Skills Information</w:t>
      </w:r>
    </w:p>
    <w:tbl>
      <w:tblPr>
        <w:tblW w:w="0" w:type="auto"/>
        <w:tblLayout w:type="fixed"/>
        <w:tblCellMar>
          <w:left w:w="62" w:type="dxa"/>
          <w:right w:w="62" w:type="dxa"/>
        </w:tblCellMar>
        <w:tblLook w:val="0000"/>
      </w:tblPr>
      <w:tblGrid>
        <w:gridCol w:w="2802"/>
        <w:gridCol w:w="5720"/>
      </w:tblGrid>
      <w:tr w:rsidTr="00A85A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This unit contains employability skills.</w:t>
            </w: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7" w:name="O_103785"/>
      <w:bookmarkEnd w:id="7"/>
      <w:r w:rsidRPr="00E70DA4">
        <w:t>Elements and Performance Criteria Pre-Content</w:t>
      </w:r>
    </w:p>
    <w:tbl>
      <w:tblPr>
        <w:tblW w:w="0" w:type="auto"/>
        <w:tblLayout w:type="fixed"/>
        <w:tblCellMar>
          <w:left w:w="62" w:type="dxa"/>
          <w:right w:w="62" w:type="dxa"/>
        </w:tblCellMar>
        <w:tblLook w:val="0000"/>
      </w:tblPr>
      <w:tblGrid>
        <w:gridCol w:w="2606"/>
        <w:gridCol w:w="5916"/>
      </w:tblGrid>
      <w:tr w:rsidTr="00A85A67">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Performance criteria describe the performance needed to demonstrate achievement of the element. Where bold italicised text is used, further information is detailed in the required skills and knowledge section and the range statement. Assessment of performa</w:t>
            </w:r>
            <w:r w:rsidRPr="00E70DA4">
              <w:t>nce is to be consistent with the evidence guide.</w:t>
            </w: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8" w:name="O_103786"/>
      <w:bookmarkEnd w:id="8"/>
      <w:r w:rsidRPr="00E70DA4">
        <w:t>Elements and Performance Criteria</w:t>
      </w:r>
    </w:p>
    <w:tbl>
      <w:tblPr>
        <w:tblW w:w="0" w:type="auto"/>
        <w:tblLayout w:type="fixed"/>
        <w:tblCellMar>
          <w:left w:w="62" w:type="dxa"/>
          <w:right w:w="62" w:type="dxa"/>
        </w:tblCellMar>
        <w:tblLook w:val="0000"/>
      </w:tblPr>
      <w:tblGrid>
        <w:gridCol w:w="2606"/>
        <w:gridCol w:w="5916"/>
      </w:tblGrid>
      <w:tr w:rsidTr="00A85A67">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PERFORMANCE CRITERIA</w:t>
            </w:r>
          </w:p>
        </w:tc>
      </w:tr>
      <w:tr w:rsidTr="00A85A67">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List"/>
              <w:rPr>
                <w:lang w:val="en-NZ"/>
              </w:rPr>
            </w:pPr>
            <w:r w:rsidRPr="00E70DA4">
              <w:t>1.</w:t>
            </w:r>
            <w:r w:rsidRPr="00E70DA4">
              <w:tab/>
              <w:t>Determine sample characteristics and testing requirements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List2"/>
            </w:pPr>
            <w:r w:rsidRPr="00E70DA4">
              <w:t>1.1.</w:t>
            </w:r>
            <w:r w:rsidRPr="00E70DA4">
              <w:tab/>
            </w:r>
            <w:r w:rsidRPr="00E70DA4">
              <w:t>Confirm drivers for evaluation and selection of test methods and/or procedures</w:t>
            </w:r>
          </w:p>
          <w:p w:rsidR="00000000" w:rsidRPr="00E70DA4" w:rsidP="00E70DA4">
            <w:pPr>
              <w:pStyle w:val="List2"/>
            </w:pPr>
            <w:r w:rsidRPr="00E70DA4">
              <w:t>1.2.</w:t>
            </w:r>
            <w:r w:rsidRPr="00E70DA4">
              <w:tab/>
              <w:t>Examine sample documentation and/or consult with sample supplier to determine nature of samples</w:t>
            </w:r>
          </w:p>
          <w:p w:rsidR="00000000" w:rsidRPr="00E70DA4" w:rsidP="00E70DA4">
            <w:pPr>
              <w:pStyle w:val="List2"/>
            </w:pPr>
            <w:r w:rsidRPr="00E70DA4">
              <w:t>1.3.</w:t>
            </w:r>
            <w:r w:rsidRPr="00E70DA4">
              <w:tab/>
              <w:t>Identify sample characteristics which may affect testing requirements</w:t>
            </w:r>
          </w:p>
          <w:p w:rsidR="00000000" w:rsidP="00E70DA4">
            <w:pPr>
              <w:pStyle w:val="List2"/>
              <w:rPr>
                <w:lang w:val="en-NZ"/>
              </w:rPr>
            </w:pPr>
            <w:r w:rsidRPr="00E70DA4">
              <w:t>1</w:t>
            </w:r>
            <w:r w:rsidRPr="00E70DA4">
              <w:t>.4.</w:t>
            </w:r>
            <w:r w:rsidRPr="00E70DA4">
              <w:tab/>
              <w:t>Determine testing requirements and their compatibility with existing standard operating procedures (SOPs)</w:t>
            </w:r>
          </w:p>
        </w:tc>
      </w:tr>
      <w:tr w:rsidTr="00A85A67">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List"/>
              <w:rPr>
                <w:lang w:val="en-NZ"/>
              </w:rPr>
            </w:pPr>
            <w:r w:rsidRPr="00E70DA4">
              <w:t>2.</w:t>
            </w:r>
            <w:r w:rsidRPr="00E70DA4">
              <w:tab/>
              <w:t>Evaluate possible test methods and/or procedures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List2"/>
            </w:pPr>
            <w:r w:rsidRPr="00E70DA4">
              <w:t>2.1.</w:t>
            </w:r>
            <w:r w:rsidRPr="00E70DA4">
              <w:tab/>
            </w:r>
            <w:r w:rsidRPr="00E70DA4">
              <w:t>Identify appropriate standards, reference materials, test methods and/or procedures which may be applicable</w:t>
            </w:r>
          </w:p>
          <w:p w:rsidR="00000000" w:rsidRPr="00E70DA4" w:rsidP="00E70DA4">
            <w:pPr>
              <w:pStyle w:val="List2"/>
            </w:pPr>
            <w:r w:rsidRPr="00E70DA4">
              <w:t>2.2.</w:t>
            </w:r>
            <w:r w:rsidRPr="00E70DA4">
              <w:tab/>
              <w:t xml:space="preserve">Assess suitability of available standards, reference materials, test methods and/or procedures against testing requirements </w:t>
            </w:r>
          </w:p>
          <w:p w:rsidR="00000000" w:rsidRPr="00E70DA4" w:rsidP="00E70DA4">
            <w:pPr>
              <w:pStyle w:val="List2"/>
            </w:pPr>
            <w:r w:rsidRPr="00E70DA4">
              <w:t>2.3.</w:t>
            </w:r>
            <w:r w:rsidRPr="00E70DA4">
              <w:tab/>
              <w:t>Identify envi</w:t>
            </w:r>
            <w:r w:rsidRPr="00E70DA4">
              <w:t>ronmental and occupational health and safety (OHS) risks</w:t>
            </w:r>
          </w:p>
          <w:p w:rsidR="00000000" w:rsidRPr="00E70DA4" w:rsidP="00E70DA4">
            <w:pPr>
              <w:pStyle w:val="List2"/>
            </w:pPr>
            <w:r w:rsidRPr="00E70DA4">
              <w:t>2.4.</w:t>
            </w:r>
            <w:r w:rsidRPr="00E70DA4">
              <w:tab/>
              <w:t>Identify the need for specific equipment, instrumentation, and/or specialised facilities</w:t>
            </w:r>
          </w:p>
          <w:p w:rsidR="00000000" w:rsidP="00E70DA4">
            <w:pPr>
              <w:pStyle w:val="List2"/>
              <w:rPr>
                <w:lang w:val="en-NZ"/>
              </w:rPr>
            </w:pPr>
            <w:r w:rsidRPr="00E70DA4">
              <w:t>2.5.</w:t>
            </w:r>
            <w:r w:rsidRPr="00E70DA4">
              <w:tab/>
              <w:t>Estimate materials, personnel and possible training requirements</w:t>
            </w:r>
          </w:p>
        </w:tc>
      </w:tr>
      <w:tr w:rsidTr="00A85A67">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List"/>
              <w:rPr>
                <w:lang w:val="en-NZ"/>
              </w:rPr>
            </w:pPr>
            <w:r w:rsidRPr="00E70DA4">
              <w:t>3.</w:t>
            </w:r>
            <w:r w:rsidRPr="00E70DA4">
              <w:tab/>
              <w:t>Recommend appropriate test meth</w:t>
            </w:r>
            <w:r w:rsidRPr="00E70DA4">
              <w:t>ods and/or procedures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List2"/>
            </w:pPr>
            <w:r w:rsidRPr="00E70DA4">
              <w:t>3.1.</w:t>
            </w:r>
            <w:r w:rsidRPr="00E70DA4">
              <w:tab/>
              <w:t>Select appropriate test methodology consistent with testing requirements and resource availability</w:t>
            </w:r>
          </w:p>
          <w:p w:rsidR="00000000" w:rsidRPr="00E70DA4" w:rsidP="00E70DA4">
            <w:pPr>
              <w:pStyle w:val="List2"/>
            </w:pPr>
            <w:r w:rsidRPr="00E70DA4">
              <w:t>3.2.</w:t>
            </w:r>
            <w:r w:rsidRPr="00E70DA4">
              <w:tab/>
              <w:t>Identify any changes to SOPs required prior to implementation of selected method and/or procedure</w:t>
            </w:r>
          </w:p>
          <w:p w:rsidR="00000000" w:rsidP="00E70DA4">
            <w:pPr>
              <w:pStyle w:val="List2"/>
              <w:rPr>
                <w:lang w:val="en-NZ"/>
              </w:rPr>
            </w:pPr>
            <w:r w:rsidRPr="00E70DA4">
              <w:t>3.3.</w:t>
            </w:r>
            <w:r w:rsidRPr="00E70DA4">
              <w:tab/>
              <w:t>Recommend selected met</w:t>
            </w:r>
            <w:r w:rsidRPr="00E70DA4">
              <w:t>hod and/or procedure to appropriate personnel and seek authorisation to proceed</w:t>
            </w:r>
          </w:p>
        </w:tc>
      </w:tr>
      <w:tr w:rsidTr="00A85A67">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List"/>
              <w:rPr>
                <w:lang w:val="en-NZ"/>
              </w:rPr>
            </w:pPr>
            <w:r w:rsidRPr="00E70DA4">
              <w:t>4.</w:t>
            </w:r>
            <w:r w:rsidRPr="00E70DA4">
              <w:tab/>
              <w:t>Confirm and document selected methods and/or procedures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List2"/>
            </w:pPr>
            <w:r w:rsidRPr="00E70DA4">
              <w:t>4.1.</w:t>
            </w:r>
            <w:r w:rsidRPr="00E70DA4">
              <w:tab/>
              <w:t>Obtain standards and/or reference materials for the method and/or procedure</w:t>
            </w:r>
          </w:p>
          <w:p w:rsidR="00000000" w:rsidRPr="00E70DA4" w:rsidP="00E70DA4">
            <w:pPr>
              <w:pStyle w:val="List2"/>
            </w:pPr>
            <w:r w:rsidRPr="00E70DA4">
              <w:t>4.2.</w:t>
            </w:r>
            <w:r w:rsidRPr="00E70DA4">
              <w:tab/>
              <w:t>Conduct tests to verify the pe</w:t>
            </w:r>
            <w:r w:rsidRPr="00E70DA4">
              <w:t>rformance of the method and/or procedure, standards and reference materials</w:t>
            </w:r>
          </w:p>
          <w:p w:rsidR="00000000" w:rsidRPr="00E70DA4" w:rsidP="00E70DA4">
            <w:pPr>
              <w:pStyle w:val="List2"/>
            </w:pPr>
            <w:r w:rsidRPr="00E70DA4">
              <w:t>4.3.</w:t>
            </w:r>
            <w:r w:rsidRPr="00E70DA4">
              <w:tab/>
              <w:t>Analyse the measurements and estimate uncertainties</w:t>
            </w:r>
          </w:p>
          <w:p w:rsidR="00000000" w:rsidRPr="00E70DA4" w:rsidP="00E70DA4">
            <w:pPr>
              <w:pStyle w:val="List2"/>
            </w:pPr>
            <w:r w:rsidRPr="00E70DA4">
              <w:t>4.4.</w:t>
            </w:r>
            <w:r w:rsidRPr="00E70DA4">
              <w:tab/>
              <w:t>Determine if legal traceability is required and develop appropriate chain of custody procedures</w:t>
            </w:r>
          </w:p>
          <w:p w:rsidR="00000000" w:rsidRPr="00E70DA4" w:rsidP="00E70DA4">
            <w:pPr>
              <w:pStyle w:val="List2"/>
            </w:pPr>
            <w:r w:rsidRPr="00E70DA4">
              <w:t>4.5.</w:t>
            </w:r>
            <w:r w:rsidRPr="00E70DA4">
              <w:tab/>
              <w:t>Document all safe</w:t>
            </w:r>
            <w:r w:rsidRPr="00E70DA4">
              <w:t>ty, sample preparation, testing, data handling and reporting procedures</w:t>
            </w:r>
          </w:p>
          <w:p w:rsidR="00000000" w:rsidRPr="00E70DA4" w:rsidP="00E70DA4">
            <w:pPr>
              <w:pStyle w:val="List2"/>
            </w:pPr>
            <w:r w:rsidRPr="00E70DA4">
              <w:t>4.6.</w:t>
            </w:r>
            <w:r w:rsidRPr="00E70DA4">
              <w:tab/>
              <w:t>Submit all documentation to appropriate personnel for review and approval</w:t>
            </w: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9" w:name="O_103787"/>
      <w:bookmarkEnd w:id="9"/>
      <w:r w:rsidRPr="00E70DA4">
        <w:t>Required Skills and Knowledge</w:t>
      </w:r>
    </w:p>
    <w:tbl>
      <w:tblPr>
        <w:tblW w:w="0" w:type="auto"/>
        <w:tblLayout w:type="fixed"/>
        <w:tblCellMar>
          <w:left w:w="62" w:type="dxa"/>
          <w:right w:w="62" w:type="dxa"/>
        </w:tblCellMar>
        <w:tblLook w:val="0000"/>
      </w:tblPr>
      <w:tblGrid>
        <w:gridCol w:w="8522"/>
      </w:tblGrid>
      <w:tr w:rsidTr="00A85A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REQUIRED SKILLS AND KNOWLEDGE</w:t>
            </w:r>
          </w:p>
        </w:tc>
      </w:tr>
      <w:tr w:rsidTr="00A85A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t>This section describes the skills and knowledge required for this unit.</w:t>
            </w:r>
          </w:p>
        </w:tc>
      </w:tr>
      <w:tr w:rsidTr="00A8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Required skills</w:t>
            </w:r>
          </w:p>
        </w:tc>
      </w:tr>
      <w:tr w:rsidTr="00A8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Required skills include:</w:t>
            </w:r>
          </w:p>
          <w:p w:rsidR="00000000" w:rsidRPr="00E70DA4" w:rsidP="00E70DA4">
            <w:pPr>
              <w:pStyle w:val="ListBullet"/>
            </w:pPr>
            <w:r w:rsidRPr="00E70DA4">
              <w:t xml:space="preserve">evaluating and selecting appropriate test methods and/or procedures to satisfy the </w:t>
            </w:r>
            <w:r w:rsidRPr="00E70DA4">
              <w:t>range of testing situations normally encountered in the laboratory</w:t>
            </w:r>
          </w:p>
          <w:p w:rsidR="00000000" w:rsidRPr="00E70DA4" w:rsidP="00E70DA4">
            <w:pPr>
              <w:pStyle w:val="ListBullet"/>
            </w:pPr>
            <w:r w:rsidRPr="00E70DA4">
              <w:t>identifying reference standards or SOPs appropriate to testing requirements of the laboratory</w:t>
            </w:r>
          </w:p>
          <w:p w:rsidR="00000000" w:rsidRPr="00E70DA4" w:rsidP="00E70DA4">
            <w:pPr>
              <w:pStyle w:val="ListBullet"/>
            </w:pPr>
            <w:r w:rsidRPr="00E70DA4">
              <w:t>identifying standards that support compliance with regulatory and/or licensing requirements</w:t>
            </w:r>
          </w:p>
          <w:p w:rsidR="00000000" w:rsidRPr="00E70DA4" w:rsidP="00E70DA4">
            <w:pPr>
              <w:pStyle w:val="ListBullet"/>
            </w:pPr>
            <w:r w:rsidRPr="00E70DA4">
              <w:t>app</w:t>
            </w:r>
            <w:r w:rsidRPr="00E70DA4">
              <w:t xml:space="preserve">lying enterprise procedures to select appropriate standards </w:t>
            </w:r>
          </w:p>
          <w:p w:rsidR="00000000" w:rsidRPr="00E70DA4" w:rsidP="00E70DA4">
            <w:pPr>
              <w:pStyle w:val="ListBullet"/>
            </w:pPr>
            <w:r w:rsidRPr="00E70DA4">
              <w:t xml:space="preserve">using method performance analysis measures, such as accuracy, precision, uncertainty, linearity, selectivity, range, limit of detection and matrix characteristics in method selection </w:t>
            </w:r>
          </w:p>
          <w:p w:rsidR="00000000" w:rsidRPr="00E70DA4" w:rsidP="00E70DA4">
            <w:pPr>
              <w:pStyle w:val="ListBullet"/>
            </w:pPr>
            <w:r w:rsidRPr="00E70DA4">
              <w:t>documenting</w:t>
            </w:r>
            <w:r w:rsidRPr="00E70DA4">
              <w:t xml:space="preserve"> method selection procedures</w:t>
            </w:r>
          </w:p>
          <w:p w:rsidR="00000000" w:rsidRPr="00E70DA4" w:rsidP="00E70DA4">
            <w:pPr>
              <w:pStyle w:val="ListBullet"/>
            </w:pPr>
            <w:r w:rsidRPr="00E70DA4">
              <w:t>maintaining records of published methods</w:t>
            </w:r>
          </w:p>
          <w:p w:rsidR="00000000" w:rsidP="00E70DA4">
            <w:pPr>
              <w:pStyle w:val="ListBullet"/>
              <w:rPr>
                <w:lang w:val="en-NZ"/>
              </w:rPr>
            </w:pPr>
            <w:r w:rsidRPr="00E70DA4">
              <w:t>following OHS procedures and principles of good laboratory practice (GLP)</w:t>
            </w:r>
          </w:p>
        </w:tc>
      </w:tr>
      <w:tr w:rsidTr="00A8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Required knowledge</w:t>
            </w:r>
          </w:p>
        </w:tc>
      </w:tr>
      <w:tr w:rsidTr="00A8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Required knowledge includes:</w:t>
            </w:r>
          </w:p>
          <w:p w:rsidR="00000000" w:rsidRPr="00E70DA4" w:rsidP="00E70DA4">
            <w:pPr>
              <w:pStyle w:val="ListBullet"/>
            </w:pPr>
            <w:r w:rsidRPr="00E70DA4">
              <w:t>princip</w:t>
            </w:r>
            <w:r w:rsidRPr="00E70DA4">
              <w:t>les, concepts and enterprise/regulatory requirements related to method selection</w:t>
            </w:r>
          </w:p>
          <w:p w:rsidR="00000000" w:rsidRPr="00E70DA4" w:rsidP="00E70DA4">
            <w:pPr>
              <w:pStyle w:val="ListBullet"/>
            </w:pPr>
            <w:r w:rsidRPr="00E70DA4">
              <w:t>regulatory/licensing testing requirements</w:t>
            </w:r>
          </w:p>
          <w:p w:rsidR="00000000" w:rsidRPr="00E70DA4" w:rsidP="00E70DA4">
            <w:pPr>
              <w:pStyle w:val="ListBullet"/>
            </w:pPr>
            <w:r w:rsidRPr="00E70DA4">
              <w:t>relative advantages/disadvantages of test methods for a range of testing situations</w:t>
            </w:r>
          </w:p>
          <w:p w:rsidR="00000000" w:rsidRPr="00E70DA4" w:rsidP="00E70DA4">
            <w:pPr>
              <w:pStyle w:val="ListBullet"/>
            </w:pPr>
            <w:r w:rsidRPr="00E70DA4">
              <w:t xml:space="preserve">cost advantages/disadvantages of enterprise test </w:t>
            </w:r>
            <w:r w:rsidRPr="00E70DA4">
              <w:t>methods</w:t>
            </w:r>
          </w:p>
          <w:p w:rsidR="00000000" w:rsidRPr="00E70DA4" w:rsidP="00E70DA4">
            <w:pPr>
              <w:pStyle w:val="ListBullet"/>
            </w:pPr>
            <w:r w:rsidRPr="00E70DA4">
              <w:t>scientific/technical principles underpinning test method and their application to selection of testing methods for different materials</w:t>
            </w:r>
          </w:p>
          <w:p w:rsidR="00000000" w:rsidRPr="00E70DA4" w:rsidP="00E70DA4">
            <w:pPr>
              <w:pStyle w:val="ListBullet"/>
            </w:pPr>
            <w:r w:rsidRPr="00E70DA4">
              <w:t>metrological principles</w:t>
            </w:r>
          </w:p>
          <w:p w:rsidR="00000000" w:rsidRPr="00E70DA4" w:rsidP="00E70DA4">
            <w:pPr>
              <w:pStyle w:val="ListBullet"/>
            </w:pPr>
            <w:r w:rsidRPr="00E70DA4">
              <w:t>significance of normal, physiological or reference ranges</w:t>
            </w:r>
          </w:p>
          <w:p w:rsidR="00000000" w:rsidRPr="00E70DA4" w:rsidP="00E70DA4">
            <w:pPr>
              <w:pStyle w:val="ListBullet"/>
            </w:pPr>
            <w:r w:rsidRPr="00E70DA4">
              <w:t>enterprise and/or legal require</w:t>
            </w:r>
            <w:r w:rsidRPr="00E70DA4">
              <w:t>ments for traceability</w:t>
            </w:r>
          </w:p>
          <w:p w:rsidR="00000000" w:rsidRPr="00E70DA4" w:rsidP="00E70DA4">
            <w:pPr>
              <w:pStyle w:val="ListBullet"/>
            </w:pPr>
            <w:r w:rsidRPr="00E70DA4">
              <w:t>enterprise/regulatory requirements regarding recording and reporting</w:t>
            </w:r>
          </w:p>
          <w:p w:rsidR="00000000" w:rsidRPr="00E70DA4" w:rsidP="00E70DA4">
            <w:pPr>
              <w:pStyle w:val="ListBullet"/>
            </w:pPr>
            <w:r w:rsidRPr="00E70DA4">
              <w:t>relevant health, safety and environment requirements</w:t>
            </w:r>
          </w:p>
          <w:p w:rsidR="00000000" w:rsidRPr="00E70DA4" w:rsidP="00E70DA4">
            <w:pPr>
              <w:pStyle w:val="BodyText"/>
            </w:pPr>
            <w:r w:rsidRPr="00E70DA4">
              <w:rPr>
                <w:rStyle w:val="SpecialBold"/>
              </w:rPr>
              <w:t>Specific industry</w:t>
            </w:r>
          </w:p>
          <w:p w:rsidR="00000000" w:rsidRPr="00E70DA4" w:rsidP="00E70DA4">
            <w:pPr>
              <w:pStyle w:val="BodyText"/>
            </w:pPr>
            <w:r w:rsidRPr="00E70DA4">
              <w:t>Additional knowledge requirements may apply for different industry sectors. For example:</w:t>
            </w:r>
          </w:p>
          <w:p w:rsidR="00000000" w:rsidRPr="00E70DA4" w:rsidP="00E70DA4">
            <w:pPr>
              <w:pStyle w:val="BodyText"/>
            </w:pPr>
            <w:r w:rsidRPr="00E70DA4">
              <w:t>Biomedical, biotechnology and food processing:</w:t>
            </w:r>
          </w:p>
          <w:p w:rsidR="00000000" w:rsidRPr="00E70DA4" w:rsidP="00E70DA4">
            <w:pPr>
              <w:pStyle w:val="ListBullet"/>
            </w:pPr>
            <w:r w:rsidRPr="00E70DA4">
              <w:t>effects of biologically inert or active chemicals, such as food and drug metabolites in test selection, testing and test data interpretation</w:t>
            </w: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10" w:name="O_103788"/>
      <w:bookmarkEnd w:id="10"/>
      <w:r w:rsidRPr="00E70DA4">
        <w:t>Evidence Guide</w:t>
      </w:r>
    </w:p>
    <w:tbl>
      <w:tblPr>
        <w:tblW w:w="9570" w:type="dxa"/>
        <w:tblLayout w:type="fixed"/>
        <w:tblCellMar>
          <w:left w:w="62" w:type="dxa"/>
          <w:right w:w="62" w:type="dxa"/>
        </w:tblCellMar>
        <w:tblLook w:val="0000"/>
      </w:tblPr>
      <w:tblGrid>
        <w:gridCol w:w="3908"/>
        <w:gridCol w:w="5662"/>
      </w:tblGrid>
      <w:tr w:rsidTr="00A85A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EVIDENCE GUIDE</w:t>
            </w:r>
          </w:p>
        </w:tc>
      </w:tr>
      <w:tr w:rsidTr="00A85A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t>The Evidence Guide provides advice on assessment and must be read in conjunction with the performance criteria, required skills and knowledge, range statement and the Assessment Guidelines for the Training Package.</w:t>
            </w:r>
          </w:p>
        </w:tc>
      </w:tr>
      <w:tr w:rsidTr="00A85A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p>
        </w:tc>
      </w:tr>
      <w:tr w:rsidTr="00A85A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Critical aspec</w:t>
            </w:r>
            <w:r w:rsidRPr="00E70DA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Assessors should ensure that candidates can:</w:t>
            </w:r>
          </w:p>
          <w:p w:rsidR="00000000" w:rsidRPr="00E70DA4" w:rsidP="00E70DA4">
            <w:pPr>
              <w:pStyle w:val="ListBullet"/>
            </w:pPr>
            <w:r w:rsidRPr="00E70DA4">
              <w:t>evaluate and select appropriate test methods and/or procedures to satisfy the range of testing situations normally encountered in t</w:t>
            </w:r>
            <w:r w:rsidRPr="00E70DA4">
              <w:t>he laboratory</w:t>
            </w:r>
          </w:p>
          <w:p w:rsidR="00000000" w:rsidRPr="00E70DA4" w:rsidP="00E70DA4">
            <w:pPr>
              <w:pStyle w:val="ListBullet"/>
            </w:pPr>
            <w:r w:rsidRPr="00E70DA4">
              <w:t>identify reference standards or SOPs appropriate to testing requirements of the laboratory</w:t>
            </w:r>
          </w:p>
          <w:p w:rsidR="00000000" w:rsidRPr="00E70DA4" w:rsidP="00E70DA4">
            <w:pPr>
              <w:pStyle w:val="ListBullet"/>
            </w:pPr>
            <w:r w:rsidRPr="00E70DA4">
              <w:t>identify standards that support compliance with regulatory and/or licensing requirements</w:t>
            </w:r>
          </w:p>
          <w:p w:rsidR="00000000" w:rsidRPr="00E70DA4" w:rsidP="00E70DA4">
            <w:pPr>
              <w:pStyle w:val="ListBullet"/>
            </w:pPr>
            <w:r w:rsidRPr="00E70DA4">
              <w:t xml:space="preserve">apply enterprise procedures to select appropriate standards </w:t>
            </w:r>
          </w:p>
          <w:p w:rsidR="00000000" w:rsidRPr="00E70DA4" w:rsidP="00E70DA4">
            <w:pPr>
              <w:pStyle w:val="ListBullet"/>
            </w:pPr>
            <w:r w:rsidRPr="00E70DA4">
              <w:t xml:space="preserve">use method performance measures, such as accuracy, precision, uncertainty, linearity, selectivity, range, limit of detection and matrix characteristics in method selection </w:t>
            </w:r>
          </w:p>
          <w:p w:rsidR="00000000" w:rsidRPr="00E70DA4" w:rsidP="00E70DA4">
            <w:pPr>
              <w:pStyle w:val="ListBullet"/>
            </w:pPr>
            <w:r w:rsidRPr="00E70DA4">
              <w:t>clearly document method selection procedures</w:t>
            </w:r>
          </w:p>
          <w:p w:rsidR="00000000" w:rsidRPr="00E70DA4" w:rsidP="00E70DA4">
            <w:pPr>
              <w:pStyle w:val="ListBullet"/>
            </w:pPr>
            <w:r w:rsidRPr="00E70DA4">
              <w:t>maintain records of published methods</w:t>
            </w:r>
          </w:p>
          <w:p w:rsidR="00000000" w:rsidP="00E70DA4">
            <w:pPr>
              <w:pStyle w:val="ListBullet"/>
              <w:rPr>
                <w:lang w:val="en-NZ"/>
              </w:rPr>
            </w:pPr>
            <w:r w:rsidRPr="00E70DA4">
              <w:t>follow OHS procedures and principles of GLP.</w:t>
            </w:r>
          </w:p>
        </w:tc>
      </w:tr>
      <w:tr w:rsidTr="00A85A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 xml:space="preserve">This unit of competency is to be assessed in the workplace or simulated workplace environment. </w:t>
            </w:r>
          </w:p>
          <w:p w:rsidR="00000000" w:rsidRPr="00E70DA4" w:rsidP="00E70DA4">
            <w:pPr>
              <w:pStyle w:val="BodyText"/>
            </w:pPr>
            <w:r w:rsidRPr="00E70DA4">
              <w:t>This unit of competency may be assessed with:</w:t>
            </w:r>
          </w:p>
          <w:p w:rsidR="00000000" w:rsidRPr="00E70DA4" w:rsidP="00E70DA4">
            <w:pPr>
              <w:pStyle w:val="ListBullet"/>
            </w:pPr>
            <w:r w:rsidRPr="00E70DA4">
              <w:rPr>
                <w:rStyle w:val="Emphasis"/>
              </w:rPr>
              <w:t>MSL925002A Analyse</w:t>
            </w:r>
            <w:r w:rsidRPr="00E70DA4">
              <w:rPr>
                <w:rStyle w:val="Emphasis"/>
              </w:rPr>
              <w:t xml:space="preserve"> measurements and estimate uncertainties</w:t>
            </w:r>
          </w:p>
          <w:p w:rsidR="00000000" w:rsidRPr="00E70DA4" w:rsidP="00E70DA4">
            <w:pPr>
              <w:pStyle w:val="ListBullet"/>
            </w:pPr>
            <w:r w:rsidRPr="00E70DA4">
              <w:rPr>
                <w:rStyle w:val="Emphasis"/>
              </w:rPr>
              <w:t>MSL916003A Supervise laboratory operations in work</w:t>
            </w:r>
            <w:r w:rsidRPr="00E70DA4">
              <w:t>/</w:t>
            </w:r>
            <w:r w:rsidRPr="00E70DA4">
              <w:rPr>
                <w:rStyle w:val="Emphasis"/>
              </w:rPr>
              <w:t>functional area</w:t>
            </w:r>
            <w:r w:rsidRPr="00E70DA4">
              <w:t>.</w:t>
            </w:r>
          </w:p>
          <w:p w:rsidR="00000000" w:rsidRPr="00E70DA4" w:rsidP="00E70DA4">
            <w:pPr>
              <w:pStyle w:val="BodyText"/>
            </w:pPr>
            <w:r w:rsidRPr="00E70DA4">
              <w:t>Resources may include:</w:t>
            </w:r>
          </w:p>
          <w:p w:rsidR="00000000" w:rsidRPr="00E70DA4" w:rsidP="00E70DA4">
            <w:pPr>
              <w:pStyle w:val="ListBullet"/>
            </w:pPr>
            <w:r w:rsidRPr="00E70DA4">
              <w:t>standard laboratory equipped with appropriate equipment and reagents</w:t>
            </w:r>
          </w:p>
          <w:p w:rsidR="00000000" w:rsidRPr="00E70DA4" w:rsidP="00E70DA4">
            <w:pPr>
              <w:pStyle w:val="ListBullet"/>
            </w:pPr>
            <w:r w:rsidRPr="00E70DA4">
              <w:t>SOPs and test methods</w:t>
            </w:r>
          </w:p>
          <w:p w:rsidR="00000000" w:rsidP="00E70DA4">
            <w:pPr>
              <w:pStyle w:val="ListBullet"/>
              <w:rPr>
                <w:lang w:val="en-NZ"/>
              </w:rPr>
            </w:pPr>
            <w:r w:rsidRPr="00E70DA4">
              <w:t>appropriate Australian and international regulatory standards.</w:t>
            </w:r>
          </w:p>
        </w:tc>
      </w:tr>
      <w:tr w:rsidTr="00A85A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The following assessment methods are suggested:</w:t>
            </w:r>
          </w:p>
          <w:p w:rsidR="00000000" w:rsidRPr="00E70DA4" w:rsidP="00E70DA4">
            <w:pPr>
              <w:pStyle w:val="ListBullet"/>
            </w:pPr>
            <w:r w:rsidRPr="00E70DA4">
              <w:t>completion of selection brief or selection proficiency test</w:t>
            </w:r>
          </w:p>
          <w:p w:rsidR="00000000" w:rsidRPr="00E70DA4" w:rsidP="00E70DA4">
            <w:pPr>
              <w:pStyle w:val="ListBullet"/>
            </w:pPr>
            <w:r w:rsidRPr="00E70DA4">
              <w:t xml:space="preserve">review of records completed by the candidate over a period of </w:t>
            </w:r>
            <w:r w:rsidRPr="00E70DA4">
              <w:t>time to confirm consistency in method selection</w:t>
            </w:r>
          </w:p>
          <w:p w:rsidR="00000000" w:rsidRPr="00E70DA4" w:rsidP="00E70DA4">
            <w:pPr>
              <w:pStyle w:val="ListBullet"/>
            </w:pPr>
            <w:r w:rsidRPr="00E70DA4">
              <w:t>feedback from peers and supervisors</w:t>
            </w:r>
          </w:p>
          <w:p w:rsidR="00000000" w:rsidRPr="00E70DA4" w:rsidP="00E70DA4">
            <w:pPr>
              <w:pStyle w:val="ListBullet"/>
            </w:pPr>
            <w:r w:rsidRPr="00E70DA4">
              <w:t>oral questioning to establish basis of selection of test methods and/or procedures.</w:t>
            </w:r>
          </w:p>
          <w:p w:rsidR="00000000" w:rsidRPr="00E70DA4" w:rsidP="00E70DA4">
            <w:pPr>
              <w:pStyle w:val="BodyText"/>
            </w:pPr>
            <w:r w:rsidRPr="00E70DA4">
              <w:t>In all cases, practical assessment should be supported by questions to assess underpinni</w:t>
            </w:r>
            <w:r w:rsidRPr="00E70DA4">
              <w:t xml:space="preserve">ng knowledge and those aspects of competency which are difficult to assess directly. </w:t>
            </w:r>
          </w:p>
          <w:p w:rsidR="00000000" w:rsidRPr="00E70DA4" w:rsidP="00E70DA4">
            <w:pPr>
              <w:pStyle w:val="BodyText"/>
            </w:pPr>
            <w:r w:rsidRPr="00E70DA4">
              <w:t xml:space="preserve">Where applicable, reasonable adjustment must be made to work environments and training situations to accommodate ethnicity, age, gender, demographics and disability. </w:t>
            </w:r>
          </w:p>
          <w:p w:rsidR="00000000" w:rsidRPr="00E70DA4" w:rsidP="00E70DA4">
            <w:pPr>
              <w:pStyle w:val="BodyText"/>
            </w:pPr>
            <w:r w:rsidRPr="00E70DA4">
              <w:t>Acc</w:t>
            </w:r>
            <w:r w:rsidRPr="00E70DA4">
              <w:t xml:space="preserve">ess must be provided to appropriate learning and/or assessment support when required. </w:t>
            </w:r>
          </w:p>
          <w:p w:rsidR="00000000" w:rsidP="00E70DA4">
            <w:pPr>
              <w:pStyle w:val="BodyText"/>
              <w:rPr>
                <w:lang w:val="en-NZ"/>
              </w:rPr>
            </w:pPr>
            <w:r w:rsidRPr="00E70DA4">
              <w:t>The language, literacy and numeracy demands of assessment should not be greater than those required to undertake the unit of competency in a work like environment.</w:t>
            </w:r>
          </w:p>
        </w:tc>
      </w:tr>
      <w:tr w:rsidTr="00A85A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This</w:t>
            </w:r>
            <w:r w:rsidRPr="00E70DA4">
              <w:rPr>
                <w:rStyle w:val="SpecialBold"/>
              </w:rPr>
              <w:t xml:space="preserve">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Industry representatives have provided the case studies below to illustrate the practical application of this unit of competency and to show its relevance in a workplace setting.</w:t>
            </w:r>
          </w:p>
          <w:p w:rsidR="00000000" w:rsidRPr="00E70DA4" w:rsidP="00E70DA4">
            <w:pPr>
              <w:pStyle w:val="BodyText"/>
            </w:pPr>
            <w:r w:rsidRPr="00E70DA4">
              <w:rPr>
                <w:rStyle w:val="SpecialBold"/>
              </w:rPr>
              <w:t>Biotechnology</w:t>
            </w:r>
            <w:r w:rsidRPr="00E70DA4">
              <w:t xml:space="preserve"> </w:t>
            </w:r>
          </w:p>
          <w:p w:rsidR="00000000" w:rsidRPr="00E70DA4" w:rsidP="00E70DA4">
            <w:pPr>
              <w:pStyle w:val="BodyText"/>
            </w:pPr>
            <w:r w:rsidRPr="00E70DA4">
              <w:t>The choic</w:t>
            </w:r>
            <w:r w:rsidRPr="00E70DA4">
              <w:t>e of analytical method for protein assay is influenced by the amount of protein likely to be present and the impurities present. During an extraction procedure, the yield of protein is monitored. At any stage there will be a range of substances used in the</w:t>
            </w:r>
            <w:r w:rsidRPr="00E70DA4">
              <w:t xml:space="preserve"> extraction. When the extraction is complete and the protein required has been isolated, the amount of protein recovered could range from bulk or gram quantities down to microgram quantities. The technical officer will check through the available methodolo</w:t>
            </w:r>
            <w:r w:rsidRPr="00E70DA4">
              <w:t>gies and select procedures that will take account of the above problems. The Biuret assay is used for bulk assay protein, but will require reagent blanks to compensate for the impurities. At later stages of the monitoring, the Bradford reagent will be chos</w:t>
            </w:r>
            <w:r w:rsidRPr="00E70DA4">
              <w:t>en because of its greater sensitivity and detection of smaller concentrations. It will be chosen over the Folins reagent because the Bradford reagent is not affected by buffer reagents and detergent.</w:t>
            </w:r>
          </w:p>
          <w:p w:rsidR="00000000" w:rsidRPr="00E70DA4" w:rsidP="00E70DA4">
            <w:pPr>
              <w:pStyle w:val="BodyText"/>
            </w:pPr>
            <w:r w:rsidRPr="00E70DA4">
              <w:rPr>
                <w:rStyle w:val="SpecialBold"/>
              </w:rPr>
              <w:t>Biomedical</w:t>
            </w:r>
          </w:p>
          <w:p w:rsidR="00000000" w:rsidRPr="00E70DA4" w:rsidP="00E70DA4">
            <w:pPr>
              <w:pStyle w:val="BodyText"/>
            </w:pPr>
            <w:r w:rsidRPr="00E70DA4">
              <w:t>A technician is asked to detect, identify and</w:t>
            </w:r>
            <w:r w:rsidRPr="00E70DA4">
              <w:t xml:space="preserve"> quantify a blood group antibody using a range of physical, chemical and immunological tests. During the test evaluation and selection process he/she identifies performance parameters, such as test tolerance, sensitivity, specificity and reproducibility al</w:t>
            </w:r>
            <w:r w:rsidRPr="00E70DA4">
              <w:t>ong with the effect of possible interfering serum pigments, such as dissolved haemoglobin and bilirubin. The technician prepares a report for the supervising scientist that explains the selection rationale, reports the performance test results and cites pr</w:t>
            </w:r>
            <w:r w:rsidRPr="00E70DA4">
              <w:t>oduct information and recent literature to validate the test results and substantiate his/her conclusions and recommendations.</w:t>
            </w:r>
          </w:p>
          <w:p w:rsidR="00000000" w:rsidRPr="00E70DA4" w:rsidP="00E70DA4">
            <w:pPr>
              <w:pStyle w:val="BodyText"/>
            </w:pPr>
            <w:r w:rsidRPr="00E70DA4">
              <w:rPr>
                <w:rStyle w:val="SpecialBold"/>
              </w:rPr>
              <w:t>Food processing</w:t>
            </w:r>
            <w:r w:rsidRPr="00E70DA4">
              <w:t xml:space="preserve"> </w:t>
            </w:r>
          </w:p>
          <w:p w:rsidR="00000000" w:rsidRPr="00E70DA4" w:rsidP="00E70DA4">
            <w:pPr>
              <w:pStyle w:val="BodyText"/>
            </w:pPr>
            <w:r w:rsidRPr="00E70DA4">
              <w:t>A technician working in a food company must be able to select test methods appropriate to requirements. For exam</w:t>
            </w:r>
            <w:r w:rsidRPr="00E70DA4">
              <w:t>ple, if a quick determination of unsaturation in an oil mixture is required, the technician will probably use an appropriate method for determining the iodine value of the mix and compare this with specification. However, at a margarine manufacturing plant</w:t>
            </w:r>
            <w:r w:rsidRPr="00E70DA4">
              <w:t xml:space="preserve"> where the technician may be required to perform an analysis of fats and oils to determine the % saturated, % monounsaturated and % polyunsaturated components, then a gas chromatographic method would be run using appropriate computer software and the resul</w:t>
            </w:r>
            <w:r w:rsidRPr="00E70DA4">
              <w:t>ts checked against specification.</w:t>
            </w: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11" w:name="O_103789"/>
      <w:bookmarkEnd w:id="11"/>
      <w:r w:rsidRPr="00E70DA4">
        <w:t>Range Statement</w:t>
      </w:r>
    </w:p>
    <w:tbl>
      <w:tblPr>
        <w:tblW w:w="0" w:type="auto"/>
        <w:tblLayout w:type="fixed"/>
        <w:tblCellMar>
          <w:left w:w="62" w:type="dxa"/>
          <w:right w:w="62" w:type="dxa"/>
        </w:tblCellMar>
        <w:tblLook w:val="0000"/>
      </w:tblPr>
      <w:tblGrid>
        <w:gridCol w:w="3482"/>
        <w:gridCol w:w="5040"/>
      </w:tblGrid>
      <w:tr w:rsidTr="00A85A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RANGE STATEMENT</w:t>
            </w:r>
          </w:p>
        </w:tc>
      </w:tr>
      <w:tr w:rsidTr="00A85A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t>The range statement relates to the unit of competency as a whole. It allows for different work environments and situations that may affect performance. Bold italicised w</w:t>
            </w:r>
            <w:r w:rsidRPr="00E70DA4">
              <w:t>ording, if used in the performance criteria, is detailed below. Essential operating conditions that may be present with training and assessment (depending on the work situation, needs of the candidate, accessibility of the item, and local industry and regi</w:t>
            </w:r>
            <w:r w:rsidRPr="00E70DA4">
              <w:t>onal contexts) may also be included.</w:t>
            </w:r>
          </w:p>
        </w:tc>
      </w:tr>
      <w:tr w:rsidTr="00A85A6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t>Where reference is made to industry codes of practice, and/or Australian/international standards, it is expected the latest version will be used</w:t>
            </w:r>
          </w:p>
        </w:tc>
      </w:tr>
      <w:tr w:rsidTr="00A85A6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Standards</w:t>
            </w:r>
            <w:r w:rsidRPr="00E70DA4">
              <w:t xml:space="preserve">, </w:t>
            </w:r>
            <w:r w:rsidRPr="00E70DA4">
              <w:rPr>
                <w:rStyle w:val="SpecialBold"/>
              </w:rPr>
              <w:t>codes</w:t>
            </w:r>
            <w:r w:rsidRPr="00E70DA4">
              <w:t xml:space="preserve">, </w:t>
            </w:r>
            <w:r w:rsidRPr="00E70DA4">
              <w:rPr>
                <w:rStyle w:val="SpecialBold"/>
              </w:rPr>
              <w:t>procedures and</w:t>
            </w:r>
            <w:r w:rsidRPr="00E70DA4">
              <w:t>/</w:t>
            </w:r>
            <w:r w:rsidRPr="00E70DA4">
              <w:rPr>
                <w:rStyle w:val="SpecialBold"/>
              </w:rPr>
              <w:t>or enterprise requirements</w:t>
            </w:r>
            <w:r w:rsidRPr="00E70DA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Standards, codes, procedures and/or enterprise requirements may include:</w:t>
            </w:r>
          </w:p>
          <w:p w:rsidR="00000000" w:rsidRPr="00E70DA4" w:rsidP="00E70DA4">
            <w:pPr>
              <w:pStyle w:val="ListBullet"/>
            </w:pPr>
            <w:r w:rsidRPr="00E70DA4">
              <w:t>Australian and international standards, such as:</w:t>
            </w:r>
          </w:p>
          <w:p w:rsidR="00000000" w:rsidRPr="00E70DA4" w:rsidP="00E70DA4">
            <w:pPr>
              <w:pStyle w:val="ListBullet"/>
            </w:pPr>
            <w:r w:rsidRPr="00E70DA4">
              <w:t>AS ISO 1000-1998 The international system of units (SI) and its application</w:t>
            </w:r>
          </w:p>
          <w:p w:rsidR="00000000" w:rsidRPr="00E70DA4" w:rsidP="00E70DA4">
            <w:pPr>
              <w:pStyle w:val="ListBullet2"/>
            </w:pPr>
            <w:r w:rsidRPr="00E70DA4">
              <w:t>AS ISO 17025-2005 General requirements for the competence of testing and calibration laboratories</w:t>
            </w:r>
          </w:p>
          <w:p w:rsidR="00000000" w:rsidRPr="00E70DA4" w:rsidP="00E70DA4">
            <w:pPr>
              <w:pStyle w:val="ListBullet2"/>
            </w:pPr>
            <w:r w:rsidRPr="00E70DA4">
              <w:t>AS/NZS 2243 Set:2006 Safety in laboratories set</w:t>
            </w:r>
          </w:p>
          <w:p w:rsidR="00000000" w:rsidRPr="00E70DA4" w:rsidP="00E70DA4">
            <w:pPr>
              <w:pStyle w:val="ListBullet"/>
            </w:pPr>
            <w:r w:rsidRPr="00E70DA4">
              <w:t>AS/NZS ISO 10005:2006 Quality management systems - Guidelines for quality plans</w:t>
            </w:r>
          </w:p>
          <w:p w:rsidR="00000000" w:rsidRPr="00E70DA4" w:rsidP="00E70DA4">
            <w:pPr>
              <w:pStyle w:val="ListBullet"/>
            </w:pPr>
            <w:r w:rsidRPr="00E70DA4">
              <w:t>AS/NZS ISO 10012:2004 Measure</w:t>
            </w:r>
            <w:r w:rsidRPr="00E70DA4">
              <w:t>ment management systems - Requirements for measurement processes and measuring equipment</w:t>
            </w:r>
          </w:p>
          <w:p w:rsidR="00000000" w:rsidRPr="00E70DA4" w:rsidP="00E70DA4">
            <w:pPr>
              <w:pStyle w:val="ListBullet2"/>
            </w:pPr>
            <w:r w:rsidRPr="00E70DA4">
              <w:t>AS/NZS ISO 14000 Set:2005 Environmental management standards set</w:t>
            </w:r>
          </w:p>
          <w:p w:rsidR="00000000" w:rsidRPr="00E70DA4" w:rsidP="00E70DA4">
            <w:pPr>
              <w:pStyle w:val="ListBullet2"/>
            </w:pPr>
            <w:r w:rsidRPr="00E70DA4">
              <w:t>AS/NZS ISO 9000 Set:2008 Quality management systems set</w:t>
            </w:r>
          </w:p>
          <w:p w:rsidR="00000000" w:rsidRPr="00E70DA4" w:rsidP="00E70DA4">
            <w:pPr>
              <w:pStyle w:val="ListBullet2"/>
            </w:pPr>
            <w:r w:rsidRPr="00E70DA4">
              <w:t>ISO 5725 Accuracy (trueness and precision) of</w:t>
            </w:r>
            <w:r w:rsidRPr="00E70DA4">
              <w:t xml:space="preserve"> measurement methods and results</w:t>
            </w:r>
          </w:p>
          <w:p w:rsidR="00000000" w:rsidRPr="00E70DA4" w:rsidP="00E70DA4">
            <w:pPr>
              <w:pStyle w:val="ListBullet2"/>
            </w:pPr>
            <w:r w:rsidRPr="00E70DA4">
              <w:t>ISO/IEC Guide 98-3:2008 Uncertainty of measurement - Part 3 Guide to the expression of uncertainty in measurement (GUM)</w:t>
            </w:r>
          </w:p>
          <w:p w:rsidR="00000000" w:rsidRPr="00E70DA4" w:rsidP="00E70DA4">
            <w:pPr>
              <w:pStyle w:val="ListBullet"/>
            </w:pPr>
            <w:r w:rsidRPr="00E70DA4">
              <w:t>Eurachem/CITAC Guide CG4 Quantifying uncertainty in analytical measurement</w:t>
            </w:r>
          </w:p>
          <w:p w:rsidR="00000000" w:rsidRPr="00E70DA4" w:rsidP="00E70DA4">
            <w:pPr>
              <w:pStyle w:val="ListBullet"/>
            </w:pPr>
            <w:r w:rsidRPr="00E70DA4">
              <w:t xml:space="preserve">Australia New Zealand Food </w:t>
            </w:r>
            <w:r w:rsidRPr="00E70DA4">
              <w:t>Standards (ANZFS) Code</w:t>
            </w:r>
          </w:p>
          <w:p w:rsidR="00000000" w:rsidRPr="00E70DA4" w:rsidP="00E70DA4">
            <w:pPr>
              <w:pStyle w:val="ListBullet"/>
            </w:pPr>
            <w:r w:rsidRPr="00E70DA4">
              <w:t>Australian code of good manufacturing practice for medicinal products (GMP)</w:t>
            </w:r>
          </w:p>
          <w:p w:rsidR="00000000" w:rsidRPr="00E70DA4" w:rsidP="00E70DA4">
            <w:pPr>
              <w:pStyle w:val="ListBullet"/>
            </w:pPr>
            <w:r w:rsidRPr="00E70DA4">
              <w:t>Australian Dangerous Goods Code</w:t>
            </w:r>
          </w:p>
          <w:p w:rsidR="00000000" w:rsidRPr="00E70DA4" w:rsidP="00E70DA4">
            <w:pPr>
              <w:pStyle w:val="ListBullet"/>
            </w:pPr>
            <w:r w:rsidRPr="00E70DA4">
              <w:t>Australian Quarantine and Inspection Service (AQIS) Export Control (Orders) Regulations 1982 and Import Guidelines</w:t>
            </w:r>
          </w:p>
          <w:p w:rsidR="00000000" w:rsidRPr="00E70DA4" w:rsidP="00E70DA4">
            <w:pPr>
              <w:pStyle w:val="ListBullet"/>
            </w:pPr>
            <w:r w:rsidRPr="00E70DA4">
              <w:t>ethics committee requirements</w:t>
            </w:r>
          </w:p>
          <w:p w:rsidR="00000000" w:rsidRPr="00E70DA4" w:rsidP="00E70DA4">
            <w:pPr>
              <w:pStyle w:val="ListBullet"/>
            </w:pPr>
            <w:r w:rsidRPr="00E70DA4">
              <w:t>gene technology regulations</w:t>
            </w:r>
          </w:p>
          <w:p w:rsidR="00000000" w:rsidRPr="00E70DA4" w:rsidP="00E70DA4">
            <w:pPr>
              <w:pStyle w:val="ListBullet"/>
            </w:pPr>
            <w:r w:rsidRPr="00E70DA4">
              <w:t>intellectual property and copy right</w:t>
            </w:r>
          </w:p>
          <w:p w:rsidR="00000000" w:rsidRPr="00E70DA4" w:rsidP="00E70DA4">
            <w:pPr>
              <w:pStyle w:val="ListBullet"/>
            </w:pPr>
            <w:r w:rsidRPr="00E70DA4">
              <w:t>material safety data sheets (MSDS)</w:t>
            </w:r>
          </w:p>
          <w:p w:rsidR="00000000" w:rsidRPr="00E70DA4" w:rsidP="00E70DA4">
            <w:pPr>
              <w:pStyle w:val="ListBullet"/>
            </w:pPr>
            <w:r w:rsidRPr="00E70DA4">
              <w:t>material, production and product specifications</w:t>
            </w:r>
          </w:p>
          <w:p w:rsidR="00000000" w:rsidRPr="00E70DA4" w:rsidP="00E70DA4">
            <w:pPr>
              <w:pStyle w:val="ListBullet"/>
            </w:pPr>
            <w:r w:rsidRPr="00E70DA4">
              <w:t>National Association of Testing Authorities (NATA) Accreditation programs requ</w:t>
            </w:r>
            <w:r w:rsidRPr="00E70DA4">
              <w:t>irements</w:t>
            </w:r>
          </w:p>
          <w:p w:rsidR="00000000" w:rsidRPr="00E70DA4" w:rsidP="00E70DA4">
            <w:pPr>
              <w:pStyle w:val="ListBullet"/>
            </w:pPr>
            <w:r w:rsidRPr="00E70DA4">
              <w:t>national environment protection measures</w:t>
            </w:r>
          </w:p>
          <w:p w:rsidR="00000000" w:rsidRPr="00E70DA4" w:rsidP="00E70DA4">
            <w:pPr>
              <w:pStyle w:val="ListBullet"/>
            </w:pPr>
            <w:r w:rsidRPr="00E70DA4">
              <w:t>National Health and Medical Research Council (NHMRC) Guidelines</w:t>
            </w:r>
          </w:p>
          <w:p w:rsidR="00000000" w:rsidRPr="00E70DA4" w:rsidP="00E70DA4">
            <w:pPr>
              <w:pStyle w:val="ListBullet"/>
            </w:pPr>
            <w:r w:rsidRPr="00E70DA4">
              <w:t>national measurement regulations and guidelines</w:t>
            </w:r>
          </w:p>
          <w:p w:rsidR="00000000" w:rsidRPr="00E70DA4" w:rsidP="00E70DA4">
            <w:pPr>
              <w:pStyle w:val="ListBullet"/>
            </w:pPr>
            <w:r w:rsidRPr="00E70DA4">
              <w:t>OHS national standards and codes of practice</w:t>
            </w:r>
          </w:p>
          <w:p w:rsidR="00000000" w:rsidRPr="00E70DA4" w:rsidP="00E70DA4">
            <w:pPr>
              <w:pStyle w:val="ListBullet"/>
            </w:pPr>
            <w:r w:rsidRPr="00E70DA4">
              <w:t>principles of GLP</w:t>
            </w:r>
          </w:p>
          <w:p w:rsidR="00000000" w:rsidRPr="00E70DA4" w:rsidP="00E70DA4">
            <w:pPr>
              <w:pStyle w:val="ListBullet"/>
            </w:pPr>
            <w:r w:rsidRPr="00E70DA4">
              <w:t xml:space="preserve">quality manuals, equipment and </w:t>
            </w:r>
            <w:r w:rsidRPr="00E70DA4">
              <w:t xml:space="preserve">procedures manuals </w:t>
            </w:r>
          </w:p>
          <w:p w:rsidR="00000000" w:rsidP="00E70DA4">
            <w:pPr>
              <w:pStyle w:val="ListBullet"/>
              <w:rPr>
                <w:lang w:val="en-NZ"/>
              </w:rPr>
            </w:pPr>
            <w:r w:rsidRPr="00E70DA4">
              <w:t>Therapeutic Goods Regulations 1009</w:t>
            </w:r>
          </w:p>
        </w:tc>
      </w:tr>
      <w:tr w:rsidTr="00A85A6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Tests and procedures</w:t>
            </w:r>
            <w:r w:rsidRPr="00E70DA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Tests and procedures may be:</w:t>
            </w:r>
          </w:p>
          <w:p w:rsidR="00000000" w:rsidRPr="00E70DA4" w:rsidP="00E70DA4">
            <w:pPr>
              <w:pStyle w:val="ListBullet"/>
            </w:pPr>
            <w:r w:rsidRPr="00E70DA4">
              <w:t>routine</w:t>
            </w:r>
          </w:p>
          <w:p w:rsidR="00000000" w:rsidRPr="00E70DA4" w:rsidP="00E70DA4">
            <w:pPr>
              <w:pStyle w:val="ListBullet"/>
            </w:pPr>
            <w:r w:rsidRPr="00E70DA4">
              <w:t xml:space="preserve">infrequent </w:t>
            </w:r>
          </w:p>
          <w:p w:rsidR="00000000" w:rsidRPr="00E70DA4" w:rsidP="00E70DA4">
            <w:pPr>
              <w:pStyle w:val="ListBullet"/>
            </w:pPr>
            <w:r w:rsidRPr="00E70DA4">
              <w:t>'one-off'</w:t>
            </w:r>
          </w:p>
          <w:p w:rsidR="00000000" w:rsidRPr="00E70DA4" w:rsidP="00E70DA4">
            <w:pPr>
              <w:pStyle w:val="ListBullet"/>
            </w:pPr>
            <w:r w:rsidRPr="00E70DA4">
              <w:t xml:space="preserve">quantitative or qualitative </w:t>
            </w:r>
          </w:p>
          <w:p w:rsidR="00000000" w:rsidRPr="00E70DA4" w:rsidP="00E70DA4">
            <w:pPr>
              <w:pStyle w:val="ListBullet"/>
            </w:pPr>
            <w:r w:rsidRPr="00E70DA4">
              <w:t xml:space="preserve">identification or quantification of biological, chemical or physical activity </w:t>
            </w:r>
          </w:p>
          <w:p w:rsidR="00000000" w:rsidRPr="00E70DA4" w:rsidP="00E70DA4">
            <w:pPr>
              <w:pStyle w:val="ListBullet"/>
            </w:pPr>
            <w:r w:rsidRPr="00E70DA4">
              <w:t>gross characteristics of a sample, including in vitro and in vivo</w:t>
            </w:r>
          </w:p>
          <w:p w:rsidR="00000000" w:rsidP="00E70DA4">
            <w:pPr>
              <w:pStyle w:val="ListBullet"/>
              <w:rPr>
                <w:lang w:val="en-NZ"/>
              </w:rPr>
            </w:pPr>
            <w:r w:rsidRPr="00E70DA4">
              <w:t>detection of chemical, physical or biological characteristics, features, markers or responses</w:t>
            </w:r>
          </w:p>
        </w:tc>
      </w:tr>
      <w:tr w:rsidTr="00A85A6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Drivers for the evaluation and selection of test methods and</w:t>
            </w:r>
            <w:r w:rsidRPr="00E70DA4">
              <w:t>/</w:t>
            </w:r>
            <w:r w:rsidRPr="00E70DA4">
              <w:rPr>
                <w:rStyle w:val="SpecialBold"/>
              </w:rPr>
              <w:t>or procedures</w:t>
            </w:r>
            <w:r w:rsidRPr="00E70DA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Drivers for the eva</w:t>
            </w:r>
            <w:r w:rsidRPr="00E70DA4">
              <w:t>luation and selection of test methods and/or procedures may include the:</w:t>
            </w:r>
          </w:p>
          <w:p w:rsidR="00000000" w:rsidRPr="00E70DA4" w:rsidP="00E70DA4">
            <w:pPr>
              <w:pStyle w:val="ListBullet"/>
            </w:pPr>
            <w:r w:rsidRPr="00E70DA4">
              <w:t>new or amended legislation, regulation and licensing, accreditation requirements</w:t>
            </w:r>
          </w:p>
          <w:p w:rsidR="00000000" w:rsidRPr="00E70DA4" w:rsidP="00E70DA4">
            <w:pPr>
              <w:pStyle w:val="ListBullet"/>
            </w:pPr>
            <w:r w:rsidRPr="00E70DA4">
              <w:t>public, political and commercial pressures</w:t>
            </w:r>
          </w:p>
          <w:p w:rsidR="00000000" w:rsidRPr="00E70DA4" w:rsidP="00E70DA4">
            <w:pPr>
              <w:pStyle w:val="ListBullet"/>
            </w:pPr>
            <w:r w:rsidRPr="00E70DA4">
              <w:t>'one-off' testing of potentially hazardous or contaminated</w:t>
            </w:r>
            <w:r w:rsidRPr="00E70DA4">
              <w:t xml:space="preserve"> materials following an environmental emergency or incident</w:t>
            </w:r>
          </w:p>
          <w:p w:rsidR="00000000" w:rsidRPr="00E70DA4" w:rsidP="00E70DA4">
            <w:pPr>
              <w:pStyle w:val="ListBullet"/>
            </w:pPr>
            <w:r w:rsidRPr="00E70DA4">
              <w:t>introduction of new reference standards, new or modified equipment and instruments</w:t>
            </w:r>
          </w:p>
          <w:p w:rsidR="00000000" w:rsidRPr="00E70DA4" w:rsidP="00E70DA4">
            <w:pPr>
              <w:pStyle w:val="ListBullet"/>
            </w:pPr>
            <w:r w:rsidRPr="00E70DA4">
              <w:t>introduction of commercial products that are potentially hazardous</w:t>
            </w:r>
          </w:p>
          <w:p w:rsidR="00000000" w:rsidRPr="00E70DA4" w:rsidP="00E70DA4">
            <w:pPr>
              <w:pStyle w:val="ListBullet"/>
            </w:pPr>
            <w:r w:rsidRPr="00E70DA4">
              <w:t xml:space="preserve">control of new, or changed, starting </w:t>
            </w:r>
            <w:r w:rsidRPr="00E70DA4">
              <w:t>materials, in-process materials and products</w:t>
            </w:r>
          </w:p>
          <w:p w:rsidR="00000000" w:rsidRPr="00E70DA4" w:rsidP="00E70DA4">
            <w:pPr>
              <w:pStyle w:val="ListBullet"/>
            </w:pPr>
            <w:r w:rsidRPr="00E70DA4">
              <w:t>troubleshooting of production, environmental and public health issues</w:t>
            </w:r>
          </w:p>
          <w:p w:rsidR="00000000" w:rsidRPr="00E70DA4" w:rsidP="00E70DA4">
            <w:pPr>
              <w:pStyle w:val="ListBullet"/>
            </w:pPr>
            <w:r w:rsidRPr="00E70DA4">
              <w:t>environmental monitoring of new sites</w:t>
            </w:r>
          </w:p>
          <w:p w:rsidR="00000000" w:rsidRPr="00E70DA4" w:rsidP="00E70DA4">
            <w:pPr>
              <w:pStyle w:val="ListBullet"/>
            </w:pPr>
            <w:r w:rsidRPr="00E70DA4">
              <w:t>investigation of customer's complaints</w:t>
            </w:r>
          </w:p>
          <w:p w:rsidR="00000000" w:rsidRPr="00E70DA4" w:rsidP="00E70DA4">
            <w:pPr>
              <w:pStyle w:val="ListBullet"/>
            </w:pPr>
            <w:r w:rsidRPr="00E70DA4">
              <w:t>specialised testing of forensic, medical or veterinary samples</w:t>
            </w:r>
          </w:p>
          <w:p w:rsidR="00000000" w:rsidRPr="00E70DA4" w:rsidP="00E70DA4">
            <w:pPr>
              <w:pStyle w:val="ListBullet"/>
            </w:pPr>
            <w:r w:rsidRPr="00E70DA4">
              <w:t>n</w:t>
            </w:r>
            <w:r w:rsidRPr="00E70DA4">
              <w:t>eed to meet customer specific or changed requirements</w:t>
            </w:r>
          </w:p>
          <w:p w:rsidR="00000000" w:rsidP="00E70DA4">
            <w:pPr>
              <w:pStyle w:val="ListBullet"/>
              <w:rPr>
                <w:lang w:val="en-NZ"/>
              </w:rPr>
            </w:pPr>
            <w:r w:rsidRPr="00E70DA4">
              <w:t>development of new products</w:t>
            </w:r>
          </w:p>
        </w:tc>
      </w:tr>
      <w:tr w:rsidTr="00A85A6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Factors which may influence method evaluation and selection</w:t>
            </w:r>
            <w:r w:rsidRPr="00E70DA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 xml:space="preserve">Factors which may influence method evaluation and selection </w:t>
            </w:r>
          </w:p>
          <w:p w:rsidR="00000000" w:rsidRPr="00E70DA4" w:rsidP="00E70DA4">
            <w:pPr>
              <w:pStyle w:val="ListBullet"/>
            </w:pPr>
            <w:r w:rsidRPr="00E70DA4">
              <w:t>quantity and nature of sample available for testin</w:t>
            </w:r>
            <w:r w:rsidRPr="00E70DA4">
              <w:t xml:space="preserve">g </w:t>
            </w:r>
          </w:p>
          <w:p w:rsidR="00000000" w:rsidRPr="00E70DA4" w:rsidP="00E70DA4">
            <w:pPr>
              <w:pStyle w:val="ListBullet"/>
            </w:pPr>
            <w:r w:rsidRPr="00E70DA4">
              <w:t>levels of detection required</w:t>
            </w:r>
          </w:p>
          <w:p w:rsidR="00000000" w:rsidRPr="00E70DA4" w:rsidP="00E70DA4">
            <w:pPr>
              <w:pStyle w:val="ListBullet"/>
            </w:pPr>
            <w:r w:rsidRPr="00E70DA4">
              <w:t>type of matrix, possible contaminants and resulting interference</w:t>
            </w:r>
          </w:p>
          <w:p w:rsidR="00000000" w:rsidRPr="00E70DA4" w:rsidP="00E70DA4">
            <w:pPr>
              <w:pStyle w:val="ListBullet"/>
            </w:pPr>
            <w:r w:rsidRPr="00E70DA4">
              <w:t>safety</w:t>
            </w:r>
          </w:p>
          <w:p w:rsidR="00000000" w:rsidRPr="00E70DA4" w:rsidP="00E70DA4">
            <w:pPr>
              <w:pStyle w:val="ListBullet"/>
            </w:pPr>
            <w:r w:rsidRPr="00E70DA4">
              <w:t>availability of suitable equipment, instruments and availability of trained staff</w:t>
            </w:r>
          </w:p>
          <w:p w:rsidR="00000000" w:rsidRPr="00E70DA4" w:rsidP="00E70DA4">
            <w:pPr>
              <w:pStyle w:val="ListBullet"/>
            </w:pPr>
            <w:r w:rsidRPr="00E70DA4">
              <w:t>cost</w:t>
            </w:r>
          </w:p>
          <w:p w:rsidR="00000000" w:rsidRPr="00E70DA4" w:rsidP="00E70DA4">
            <w:pPr>
              <w:pStyle w:val="ListBullet"/>
            </w:pPr>
            <w:r w:rsidRPr="00E70DA4">
              <w:t>selectivity of method, range, accuracy, precision and acceptable uncertainty</w:t>
            </w:r>
          </w:p>
          <w:p w:rsidR="00000000" w:rsidRPr="00E70DA4" w:rsidP="00E70DA4">
            <w:pPr>
              <w:pStyle w:val="ListBullet"/>
            </w:pPr>
            <w:r w:rsidRPr="00E70DA4">
              <w:t>whether it is appropriate/ethical to perform the test</w:t>
            </w:r>
          </w:p>
          <w:p w:rsidR="00000000" w:rsidP="00E70DA4">
            <w:pPr>
              <w:pStyle w:val="ListBullet"/>
              <w:rPr>
                <w:lang w:val="en-NZ"/>
              </w:rPr>
            </w:pPr>
            <w:r w:rsidRPr="00E70DA4">
              <w:t>balancing customer, enterprise and/or regulatory/licensing requirements</w:t>
            </w:r>
          </w:p>
        </w:tc>
      </w:tr>
      <w:tr w:rsidTr="00A85A6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Occupational health and safety</w:t>
            </w:r>
            <w:r w:rsidRPr="00E70DA4">
              <w:t xml:space="preserve"> (</w:t>
            </w:r>
            <w:r w:rsidRPr="00E70DA4">
              <w:rPr>
                <w:rStyle w:val="SpecialBold"/>
              </w:rPr>
              <w:t>OHS</w:t>
            </w:r>
            <w:r w:rsidRPr="00E70DA4">
              <w:t xml:space="preserve">) </w:t>
            </w:r>
            <w:r w:rsidRPr="00E70DA4">
              <w:rPr>
                <w:rStyle w:val="SpecialBold"/>
              </w:rPr>
              <w:t>and environment</w:t>
            </w:r>
            <w:r w:rsidRPr="00E70DA4">
              <w:rPr>
                <w:rStyle w:val="SpecialBold"/>
              </w:rPr>
              <w:t>al management requirements</w:t>
            </w:r>
            <w:r w:rsidRPr="00E70DA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OHS and environmental management requirements:</w:t>
            </w:r>
          </w:p>
          <w:p w:rsidR="00000000" w:rsidRPr="00E70DA4" w:rsidP="00E70DA4">
            <w:pPr>
              <w:pStyle w:val="ListBullet"/>
            </w:pPr>
            <w:r w:rsidRPr="00E70DA4">
              <w:t>all operations must comply with enterprise OHS and environmental management requirements, which may be imposed through state/territory or federal legislation - these requirements m</w:t>
            </w:r>
            <w:r w:rsidRPr="00E70DA4">
              <w:t>ust not be compromised at any time</w:t>
            </w:r>
          </w:p>
          <w:p w:rsidR="00000000" w:rsidRPr="00E70DA4" w:rsidP="00E70DA4">
            <w:pPr>
              <w:pStyle w:val="ListBullet"/>
            </w:pPr>
            <w:r w:rsidRPr="00E70DA4">
              <w:t>all operations assume the potentially hazardous nature of samples and require standard precautions to be applied</w:t>
            </w:r>
          </w:p>
          <w:p w:rsidR="00000000" w:rsidRPr="00E70DA4" w:rsidP="00E70DA4">
            <w:pPr>
              <w:pStyle w:val="ListBullet"/>
            </w:pPr>
            <w:r w:rsidRPr="00E70DA4">
              <w:t xml:space="preserve">where relevant, users should access and apply current industry understanding of infection control issued by </w:t>
            </w:r>
            <w:r w:rsidRPr="00E70DA4">
              <w:t>the National Health and Medical Research Council (NHMRC) and State and Territory Departments of Health</w:t>
            </w:r>
          </w:p>
        </w:tc>
      </w:tr>
    </w:tbl>
    <w:p w:rsidR="00A85A67" w:rsidP="00E70DA4">
      <w:pPr>
        <w:pStyle w:val="BodyText"/>
      </w:pPr>
    </w:p>
    <w:p w:rsidR="00A85A67" w:rsidP="00E70DA4">
      <w:pPr>
        <w:pStyle w:val="BodyText"/>
      </w:pPr>
    </w:p>
    <w:p w:rsidR="00000000" w:rsidRPr="00E70DA4" w:rsidP="00E70DA4">
      <w:pPr>
        <w:pStyle w:val="Heading1"/>
      </w:pPr>
      <w:bookmarkStart w:id="12" w:name="O_103790"/>
      <w:bookmarkEnd w:id="12"/>
      <w:r w:rsidRPr="00E70DA4">
        <w:t>Unit Sector(s)</w:t>
      </w:r>
    </w:p>
    <w:tbl>
      <w:tblPr>
        <w:tblW w:w="0" w:type="auto"/>
        <w:tblLayout w:type="fixed"/>
        <w:tblCellMar>
          <w:left w:w="62" w:type="dxa"/>
          <w:right w:w="62" w:type="dxa"/>
        </w:tblCellMar>
        <w:tblLook w:val="0000"/>
      </w:tblPr>
      <w:tblGrid>
        <w:gridCol w:w="2619"/>
        <w:gridCol w:w="5903"/>
      </w:tblGrid>
      <w:tr w:rsidTr="00A85A6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r w:rsidRPr="00E70DA4">
              <w:t>Testing</w:t>
            </w: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13" w:name="O_159612"/>
      <w:bookmarkEnd w:id="13"/>
      <w:r w:rsidRPr="00E70DA4">
        <w:t>Competency field</w:t>
      </w:r>
    </w:p>
    <w:tbl>
      <w:tblPr>
        <w:tblW w:w="0" w:type="auto"/>
        <w:tblLayout w:type="fixed"/>
        <w:tblCellMar>
          <w:left w:w="62" w:type="dxa"/>
          <w:right w:w="62" w:type="dxa"/>
        </w:tblCellMar>
        <w:tblLook w:val="0000"/>
      </w:tblPr>
      <w:tblGrid>
        <w:gridCol w:w="2784"/>
        <w:gridCol w:w="5738"/>
      </w:tblGrid>
      <w:tr w:rsidTr="00A85A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p>
        </w:tc>
      </w:tr>
    </w:tbl>
    <w:p w:rsidR="00000000" w:rsidRPr="00E70DA4" w:rsidP="00E70DA4">
      <w:pPr>
        <w:pStyle w:val="BodyText"/>
      </w:pPr>
    </w:p>
    <w:p w:rsidR="00000000" w:rsidRPr="00E70DA4" w:rsidP="00E70DA4">
      <w:pPr>
        <w:pStyle w:val="AllowPageBreak"/>
      </w:pPr>
    </w:p>
    <w:p w:rsidR="00000000" w:rsidRPr="00E70DA4" w:rsidP="00E70DA4">
      <w:pPr>
        <w:pStyle w:val="Heading1"/>
      </w:pPr>
      <w:bookmarkStart w:id="14" w:name="O_159611"/>
      <w:bookmarkEnd w:id="14"/>
      <w:r w:rsidRPr="00E70DA4">
        <w:t>Co-requisite units</w:t>
      </w:r>
    </w:p>
    <w:tbl>
      <w:tblPr>
        <w:tblW w:w="0" w:type="auto"/>
        <w:tblLayout w:type="fixed"/>
        <w:tblCellMar>
          <w:left w:w="62" w:type="dxa"/>
          <w:right w:w="62" w:type="dxa"/>
        </w:tblCellMar>
        <w:tblLook w:val="0000"/>
      </w:tblPr>
      <w:tblGrid>
        <w:gridCol w:w="2641"/>
        <w:gridCol w:w="1322"/>
        <w:gridCol w:w="4559"/>
      </w:tblGrid>
      <w:tr w:rsidTr="00A85A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r w:rsidRPr="00E70D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p>
        </w:tc>
      </w:tr>
      <w:tr w:rsidTr="00A85A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A4">
            <w:pPr>
              <w:pStyle w:val="BodyText"/>
              <w:rPr>
                <w:lang w:val="en-NZ"/>
              </w:rPr>
            </w:pPr>
          </w:p>
        </w:tc>
      </w:tr>
      <w:tr w:rsidTr="00A85A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A4" w:rsidP="00E70DA4">
            <w:pPr>
              <w:pStyle w:val="BodyText"/>
            </w:pPr>
          </w:p>
        </w:tc>
      </w:tr>
    </w:tbl>
    <w:p w:rsidR="00000000" w:rsidRPr="00E70DA4" w:rsidP="00E70DA4">
      <w:pPr>
        <w:pStyle w:val="BodyText"/>
      </w:pPr>
    </w:p>
    <w:p w:rsidR="00000000" w:rsidRPr="00E70DA4" w:rsidP="00E70DA4"/>
    <w:sectPr w:rsidSect="00E70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A4" w:rsidRPr="00A85A67" w:rsidP="00A85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67" w:rsidP="00E70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5A67" w:rsidP="00E70D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5A67" w:rsidP="00E70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A4" w:rsidRPr="00A85A67" w:rsidP="00A85A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A67" w:rsidRPr="002D2AF8" w:rsidP="00E70DA4">
    <w:pPr>
      <w:pStyle w:val="Header"/>
      <w:framePr w:wrap="around"/>
    </w:pPr>
    <w:r>
      <w:fldChar w:fldCharType="begin"/>
    </w:r>
    <w:r>
      <w:instrText xml:space="preserve"> TITLE   \* MERGEFORMAT </w:instrText>
    </w:r>
    <w:r>
      <w:fldChar w:fldCharType="separate"/>
    </w:r>
    <w:r>
      <w:t>MSL976003A Evaluate and select appropriate test methods and/or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A85A67" w:rsidP="00E70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6A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6E9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49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DA4"/>
    <w:pPr>
      <w:spacing w:before="360" w:after="60"/>
      <w:outlineLvl w:val="0"/>
    </w:pPr>
    <w:rPr>
      <w:sz w:val="32"/>
    </w:rPr>
  </w:style>
  <w:style w:type="paragraph" w:styleId="Heading2">
    <w:name w:val="heading 2"/>
    <w:basedOn w:val="HeadingBase"/>
    <w:next w:val="BodyText"/>
    <w:link w:val="Heading2Char"/>
    <w:qFormat/>
    <w:rsid w:val="00E70DA4"/>
    <w:pPr>
      <w:keepLines/>
      <w:spacing w:before="240" w:after="120"/>
      <w:outlineLvl w:val="1"/>
    </w:pPr>
    <w:rPr>
      <w:sz w:val="28"/>
      <w:szCs w:val="40"/>
    </w:rPr>
  </w:style>
  <w:style w:type="paragraph" w:styleId="Heading3">
    <w:name w:val="heading 3"/>
    <w:basedOn w:val="HeadingBase"/>
    <w:next w:val="BodyText"/>
    <w:link w:val="Heading3Char"/>
    <w:qFormat/>
    <w:rsid w:val="00E70DA4"/>
    <w:pPr>
      <w:spacing w:before="180" w:after="120"/>
      <w:outlineLvl w:val="2"/>
    </w:pPr>
    <w:rPr>
      <w:spacing w:val="-10"/>
      <w:kern w:val="32"/>
    </w:rPr>
  </w:style>
  <w:style w:type="paragraph" w:styleId="Heading4">
    <w:name w:val="heading 4"/>
    <w:basedOn w:val="HeadingBase"/>
    <w:next w:val="BodyText"/>
    <w:link w:val="Heading4Char"/>
    <w:qFormat/>
    <w:rsid w:val="00E70DA4"/>
    <w:pPr>
      <w:spacing w:before="160" w:after="120"/>
      <w:outlineLvl w:val="3"/>
    </w:pPr>
    <w:rPr>
      <w:sz w:val="22"/>
    </w:rPr>
  </w:style>
  <w:style w:type="paragraph" w:styleId="Heading5">
    <w:name w:val="heading 5"/>
    <w:basedOn w:val="HeadingBase"/>
    <w:next w:val="Normal"/>
    <w:link w:val="Heading5Char"/>
    <w:qFormat/>
    <w:rsid w:val="00E70DA4"/>
    <w:pPr>
      <w:spacing w:before="80"/>
      <w:outlineLvl w:val="4"/>
    </w:pPr>
    <w:rPr>
      <w:color w:val="918585"/>
      <w:sz w:val="20"/>
    </w:rPr>
  </w:style>
  <w:style w:type="paragraph" w:styleId="Heading6">
    <w:name w:val="heading 6"/>
    <w:basedOn w:val="HeadingBase"/>
    <w:next w:val="Normal"/>
    <w:link w:val="Heading6Char"/>
    <w:qFormat/>
    <w:rsid w:val="00E70DA4"/>
    <w:pPr>
      <w:spacing w:before="60"/>
      <w:outlineLvl w:val="5"/>
    </w:pPr>
    <w:rPr>
      <w:color w:val="918585"/>
      <w:sz w:val="20"/>
    </w:rPr>
  </w:style>
  <w:style w:type="paragraph" w:styleId="Heading7">
    <w:name w:val="heading 7"/>
    <w:basedOn w:val="Normal"/>
    <w:next w:val="Normal"/>
    <w:link w:val="Heading7Char"/>
    <w:qFormat/>
    <w:rsid w:val="00E70DA4"/>
    <w:pPr>
      <w:ind w:left="720"/>
      <w:outlineLvl w:val="6"/>
    </w:pPr>
    <w:rPr>
      <w:i/>
    </w:rPr>
  </w:style>
  <w:style w:type="paragraph" w:styleId="Heading8">
    <w:name w:val="heading 8"/>
    <w:basedOn w:val="Normal"/>
    <w:next w:val="Normal"/>
    <w:link w:val="Heading8Char"/>
    <w:qFormat/>
    <w:rsid w:val="00E70DA4"/>
    <w:pPr>
      <w:ind w:left="720"/>
      <w:outlineLvl w:val="7"/>
    </w:pPr>
    <w:rPr>
      <w:i/>
    </w:rPr>
  </w:style>
  <w:style w:type="paragraph" w:styleId="Heading9">
    <w:name w:val="heading 9"/>
    <w:basedOn w:val="Normal"/>
    <w:next w:val="Normal"/>
    <w:link w:val="Heading9Char"/>
    <w:qFormat/>
    <w:rsid w:val="00E70DA4"/>
    <w:pPr>
      <w:ind w:left="720"/>
      <w:outlineLvl w:val="8"/>
    </w:pPr>
    <w:rPr>
      <w:i/>
    </w:rPr>
  </w:style>
  <w:style w:type="character" w:default="1" w:styleId="DefaultParagraphFont">
    <w:name w:val="Default Paragraph Font"/>
    <w:uiPriority w:val="1"/>
    <w:unhideWhenUsed/>
    <w:rsid w:val="00E70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DA4"/>
  </w:style>
  <w:style w:type="character" w:customStyle="1" w:styleId="Heading1Char">
    <w:name w:val="Heading 1 Char"/>
    <w:basedOn w:val="DefaultParagraphFont"/>
    <w:link w:val="Heading1"/>
    <w:rsid w:val="00E70DA4"/>
    <w:rPr>
      <w:rFonts w:ascii="Times New Roman" w:eastAsia="Times New Roman" w:hAnsi="Times New Roman" w:cs="Times New Roman"/>
      <w:b/>
      <w:sz w:val="32"/>
      <w:szCs w:val="20"/>
      <w:lang w:eastAsia="en-US"/>
    </w:rPr>
  </w:style>
  <w:style w:type="paragraph" w:styleId="BodyText">
    <w:name w:val="Body Text"/>
    <w:basedOn w:val="Normal"/>
    <w:link w:val="BodyTextChar"/>
    <w:rsid w:val="00E70D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DA4"/>
    <w:rPr>
      <w:rFonts w:ascii="Times New Roman" w:eastAsia="Times New Roman" w:hAnsi="Times New Roman" w:cs="Times New Roman"/>
      <w:sz w:val="24"/>
      <w:lang w:eastAsia="en-US"/>
    </w:rPr>
  </w:style>
  <w:style w:type="paragraph" w:styleId="List">
    <w:name w:val="List"/>
    <w:basedOn w:val="BodyText"/>
    <w:next w:val="BodyText"/>
    <w:rsid w:val="00E70DA4"/>
    <w:pPr>
      <w:tabs>
        <w:tab w:val="left" w:pos="340"/>
      </w:tabs>
      <w:spacing w:before="60" w:after="60"/>
      <w:ind w:left="340" w:hanging="340"/>
    </w:pPr>
  </w:style>
  <w:style w:type="paragraph" w:styleId="ListBullet">
    <w:name w:val="List Bullet"/>
    <w:basedOn w:val="List"/>
    <w:rsid w:val="00E70DA4"/>
    <w:pPr>
      <w:numPr>
        <w:numId w:val="13"/>
      </w:numPr>
      <w:tabs>
        <w:tab w:val="clear" w:pos="340"/>
      </w:tabs>
      <w:spacing w:before="40" w:after="40"/>
    </w:pPr>
  </w:style>
  <w:style w:type="character" w:customStyle="1" w:styleId="SpecialBold">
    <w:name w:val="Special Bold"/>
    <w:basedOn w:val="DefaultParagraphFont"/>
    <w:rsid w:val="00E70DA4"/>
    <w:rPr>
      <w:b/>
      <w:spacing w:val="0"/>
    </w:rPr>
  </w:style>
  <w:style w:type="paragraph" w:styleId="ListBullet2">
    <w:name w:val="List Bullet 2"/>
    <w:basedOn w:val="List2"/>
    <w:rsid w:val="00E70DA4"/>
    <w:pPr>
      <w:numPr>
        <w:numId w:val="14"/>
      </w:numPr>
      <w:tabs>
        <w:tab w:val="clear" w:pos="680"/>
      </w:tabs>
    </w:pPr>
  </w:style>
  <w:style w:type="character" w:styleId="Emphasis">
    <w:name w:val="Emphasis"/>
    <w:basedOn w:val="DefaultParagraphFont"/>
    <w:qFormat/>
    <w:rsid w:val="00E70DA4"/>
    <w:rPr>
      <w:i/>
    </w:rPr>
  </w:style>
  <w:style w:type="paragraph" w:customStyle="1" w:styleId="SuperHeading">
    <w:name w:val="SuperHeading"/>
    <w:basedOn w:val="Normal"/>
    <w:rsid w:val="00E70DA4"/>
    <w:pPr>
      <w:spacing w:before="240" w:after="120"/>
      <w:outlineLvl w:val="0"/>
    </w:pPr>
    <w:rPr>
      <w:rFonts w:ascii="Times New Roman" w:hAnsi="Times New Roman"/>
      <w:b/>
      <w:sz w:val="32"/>
    </w:rPr>
  </w:style>
  <w:style w:type="paragraph" w:customStyle="1" w:styleId="AllowPageBreak">
    <w:name w:val="AllowPageBreak"/>
    <w:rsid w:val="00E70D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0DA4"/>
    <w:pPr>
      <w:tabs>
        <w:tab w:val="left" w:pos="680"/>
      </w:tabs>
      <w:spacing w:before="60" w:after="60"/>
      <w:ind w:left="680" w:hanging="340"/>
    </w:pPr>
  </w:style>
  <w:style w:type="character" w:customStyle="1" w:styleId="Heading2Char">
    <w:name w:val="Heading 2 Char"/>
    <w:basedOn w:val="DefaultParagraphFont"/>
    <w:link w:val="Heading2"/>
    <w:rsid w:val="00E70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DA4"/>
    <w:rPr>
      <w:rFonts w:ascii="Courier New" w:eastAsia="Times New Roman" w:hAnsi="Courier New" w:cs="Times New Roman"/>
      <w:i/>
      <w:szCs w:val="20"/>
      <w:lang w:eastAsia="en-US"/>
    </w:rPr>
  </w:style>
  <w:style w:type="paragraph" w:customStyle="1" w:styleId="HeadingBase">
    <w:name w:val="Heading Base"/>
    <w:rsid w:val="00E70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DA4"/>
    <w:pPr>
      <w:tabs>
        <w:tab w:val="right" w:leader="dot" w:pos="9072"/>
      </w:tabs>
      <w:ind w:left="567"/>
    </w:pPr>
    <w:rPr>
      <w:szCs w:val="22"/>
    </w:rPr>
  </w:style>
  <w:style w:type="paragraph" w:customStyle="1" w:styleId="TOCBase">
    <w:name w:val="TOC Base"/>
    <w:rsid w:val="00E70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DA4"/>
    <w:pPr>
      <w:tabs>
        <w:tab w:val="right" w:leader="dot" w:pos="9072"/>
      </w:tabs>
      <w:spacing w:before="40" w:after="40"/>
      <w:ind w:left="284"/>
    </w:pPr>
    <w:rPr>
      <w:rFonts w:ascii="Times New Roman" w:hAnsi="Times New Roman"/>
    </w:rPr>
  </w:style>
  <w:style w:type="paragraph" w:styleId="TOC1">
    <w:name w:val="toc 1"/>
    <w:basedOn w:val="TOCBase"/>
    <w:next w:val="Normal"/>
    <w:rsid w:val="00E70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DA4"/>
    <w:rPr>
      <w:rFonts w:ascii="Times New Roman" w:eastAsia="Times New Roman" w:hAnsi="Times New Roman" w:cs="Times New Roman"/>
      <w:sz w:val="16"/>
      <w:lang w:eastAsia="en-US"/>
    </w:rPr>
  </w:style>
  <w:style w:type="paragraph" w:styleId="Title">
    <w:name w:val="Title"/>
    <w:basedOn w:val="HeadingBase"/>
    <w:link w:val="TitleChar"/>
    <w:qFormat/>
    <w:rsid w:val="00E70DA4"/>
    <w:pPr>
      <w:spacing w:before="5040"/>
      <w:jc w:val="center"/>
    </w:pPr>
    <w:rPr>
      <w:sz w:val="48"/>
      <w:szCs w:val="72"/>
      <w:lang w:val="en-US"/>
    </w:rPr>
  </w:style>
  <w:style w:type="character" w:customStyle="1" w:styleId="TitleChar">
    <w:name w:val="Title Char"/>
    <w:basedOn w:val="DefaultParagraphFont"/>
    <w:link w:val="Title"/>
    <w:rsid w:val="00E70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DA4"/>
    <w:pPr>
      <w:tabs>
        <w:tab w:val="left" w:pos="3600"/>
        <w:tab w:val="left" w:pos="3958"/>
      </w:tabs>
    </w:pPr>
  </w:style>
  <w:style w:type="paragraph" w:customStyle="1" w:styleId="Note">
    <w:name w:val="Note"/>
    <w:basedOn w:val="BodyText"/>
    <w:rsid w:val="00E70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DA4"/>
    <w:pPr>
      <w:framePr w:wrap="auto" w:hAnchor="text" w:y="6049"/>
    </w:pPr>
    <w:rPr>
      <w:color w:val="000000"/>
      <w:sz w:val="40"/>
    </w:rPr>
  </w:style>
  <w:style w:type="paragraph" w:customStyle="1" w:styleId="TOCTitle">
    <w:name w:val="TOCTitle"/>
    <w:basedOn w:val="Heading1"/>
    <w:rsid w:val="00E70DA4"/>
    <w:pPr>
      <w:spacing w:after="240"/>
      <w:jc w:val="center"/>
      <w:outlineLvl w:val="9"/>
    </w:pPr>
    <w:rPr>
      <w:caps/>
    </w:rPr>
  </w:style>
  <w:style w:type="paragraph" w:customStyle="1" w:styleId="Version">
    <w:name w:val="Version"/>
    <w:rsid w:val="00E70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DA4"/>
    <w:pPr>
      <w:keepNext w:val="0"/>
      <w:tabs>
        <w:tab w:val="right" w:pos="4176"/>
      </w:tabs>
      <w:ind w:left="198" w:hanging="198"/>
    </w:pPr>
    <w:rPr>
      <w:rFonts w:ascii="Garamond" w:hAnsi="Garamond"/>
    </w:rPr>
  </w:style>
  <w:style w:type="paragraph" w:styleId="IndexHeading">
    <w:name w:val="index heading"/>
    <w:basedOn w:val="Normal"/>
    <w:next w:val="Index1"/>
    <w:semiHidden/>
    <w:rsid w:val="00E70DA4"/>
    <w:pPr>
      <w:spacing w:before="120" w:after="120"/>
    </w:pPr>
    <w:rPr>
      <w:rFonts w:ascii="Arial" w:hAnsi="Arial"/>
      <w:b/>
      <w:color w:val="918585"/>
      <w:sz w:val="24"/>
    </w:rPr>
  </w:style>
  <w:style w:type="paragraph" w:styleId="Header">
    <w:name w:val="header"/>
    <w:basedOn w:val="Normal"/>
    <w:link w:val="HeaderChar"/>
    <w:rsid w:val="00E70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DA4"/>
    <w:rPr>
      <w:rFonts w:ascii="Times New Roman" w:eastAsia="Times New Roman" w:hAnsi="Times New Roman" w:cs="Times New Roman"/>
      <w:sz w:val="16"/>
      <w:szCs w:val="20"/>
      <w:lang w:val="en-GB" w:eastAsia="en-US"/>
    </w:rPr>
  </w:style>
  <w:style w:type="paragraph" w:customStyle="1" w:styleId="Chapter">
    <w:name w:val="Chapter"/>
    <w:basedOn w:val="Normal"/>
    <w:rsid w:val="00E70DA4"/>
    <w:pPr>
      <w:spacing w:before="240"/>
    </w:pPr>
    <w:rPr>
      <w:rFonts w:ascii="Times New Roman" w:hAnsi="Times New Roman"/>
      <w:smallCaps/>
      <w:spacing w:val="80"/>
      <w:sz w:val="28"/>
    </w:rPr>
  </w:style>
  <w:style w:type="paragraph" w:customStyle="1" w:styleId="InChapter">
    <w:name w:val="InChapter"/>
    <w:basedOn w:val="Heading3"/>
    <w:rsid w:val="00E70DA4"/>
    <w:pPr>
      <w:spacing w:after="240"/>
      <w:outlineLvl w:val="9"/>
    </w:pPr>
    <w:rPr>
      <w:noProof/>
    </w:rPr>
  </w:style>
  <w:style w:type="paragraph" w:styleId="Index2">
    <w:name w:val="index 2"/>
    <w:basedOn w:val="Normal"/>
    <w:next w:val="Normal"/>
    <w:semiHidden/>
    <w:rsid w:val="00E70DA4"/>
    <w:pPr>
      <w:tabs>
        <w:tab w:val="right" w:pos="4176"/>
      </w:tabs>
      <w:ind w:left="568" w:hanging="284"/>
    </w:pPr>
    <w:rPr>
      <w:rFonts w:ascii="Garamond" w:hAnsi="Garamond"/>
    </w:rPr>
  </w:style>
  <w:style w:type="paragraph" w:customStyle="1" w:styleId="Byline">
    <w:name w:val="Byline"/>
    <w:rsid w:val="00E70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DA4"/>
    <w:pPr>
      <w:tabs>
        <w:tab w:val="clear" w:pos="3600"/>
        <w:tab w:val="clear" w:pos="3958"/>
      </w:tabs>
      <w:jc w:val="right"/>
    </w:pPr>
  </w:style>
  <w:style w:type="paragraph" w:styleId="Caption">
    <w:name w:val="caption"/>
    <w:basedOn w:val="BodyText"/>
    <w:next w:val="Normal"/>
    <w:qFormat/>
    <w:rsid w:val="00E70DA4"/>
    <w:pPr>
      <w:framePr w:w="2268" w:hSpace="181" w:vSpace="181" w:wrap="around" w:vAnchor="text" w:hAnchor="page" w:x="1135" w:y="285" w:anchorLock="1"/>
    </w:pPr>
    <w:rPr>
      <w:i/>
    </w:rPr>
  </w:style>
  <w:style w:type="paragraph" w:customStyle="1" w:styleId="MiniTOCTitle">
    <w:name w:val="MiniTOCTitle"/>
    <w:basedOn w:val="Heading4"/>
    <w:rsid w:val="00E70DA4"/>
    <w:pPr>
      <w:spacing w:before="240"/>
      <w:outlineLvl w:val="9"/>
    </w:pPr>
    <w:rPr>
      <w:noProof/>
      <w:sz w:val="24"/>
    </w:rPr>
  </w:style>
  <w:style w:type="paragraph" w:customStyle="1" w:styleId="MiniTOCItem">
    <w:name w:val="MiniTOCItem"/>
    <w:basedOn w:val="ListBullet"/>
    <w:rsid w:val="00E70DA4"/>
    <w:pPr>
      <w:numPr>
        <w:numId w:val="0"/>
      </w:numPr>
      <w:tabs>
        <w:tab w:val="right" w:leader="dot" w:pos="6521"/>
      </w:tabs>
      <w:spacing w:before="0" w:after="0"/>
    </w:pPr>
  </w:style>
  <w:style w:type="paragraph" w:customStyle="1" w:styleId="TOFTitle">
    <w:name w:val="TOFTitle"/>
    <w:basedOn w:val="TOCTitle"/>
    <w:rsid w:val="00E70DA4"/>
  </w:style>
  <w:style w:type="paragraph" w:styleId="TableofFigures">
    <w:name w:val="table of figures"/>
    <w:basedOn w:val="Normal"/>
    <w:next w:val="Normal"/>
    <w:semiHidden/>
    <w:rsid w:val="00E70DA4"/>
    <w:pPr>
      <w:tabs>
        <w:tab w:val="right" w:leader="dot" w:pos="9072"/>
      </w:tabs>
      <w:ind w:left="970" w:hanging="403"/>
    </w:pPr>
    <w:rPr>
      <w:rFonts w:ascii="Times New Roman" w:hAnsi="Times New Roman"/>
      <w:b/>
    </w:rPr>
  </w:style>
  <w:style w:type="paragraph" w:styleId="ListNumber">
    <w:name w:val="List Number"/>
    <w:basedOn w:val="List"/>
    <w:rsid w:val="00E70DA4"/>
    <w:pPr>
      <w:numPr>
        <w:numId w:val="11"/>
      </w:numPr>
    </w:pPr>
  </w:style>
  <w:style w:type="character" w:customStyle="1" w:styleId="WingdingSymbols">
    <w:name w:val="Wingding Symbols"/>
    <w:rsid w:val="00E70DA4"/>
    <w:rPr>
      <w:rFonts w:ascii="Wingdings" w:hAnsi="Wingdings"/>
    </w:rPr>
  </w:style>
  <w:style w:type="paragraph" w:customStyle="1" w:styleId="TableHeading">
    <w:name w:val="Table Heading"/>
    <w:basedOn w:val="HeadingBase"/>
    <w:rsid w:val="00E70DA4"/>
    <w:pPr>
      <w:keepLines/>
      <w:pBdr>
        <w:bottom w:val="single" w:sz="6" w:space="1" w:color="918585"/>
      </w:pBdr>
      <w:spacing w:before="240"/>
    </w:pPr>
  </w:style>
  <w:style w:type="character" w:customStyle="1" w:styleId="HotSpot">
    <w:name w:val="HotSpot"/>
    <w:rsid w:val="00E70DA4"/>
    <w:rPr>
      <w:color w:val="0033CC"/>
      <w:u w:val="none"/>
    </w:rPr>
  </w:style>
  <w:style w:type="paragraph" w:customStyle="1" w:styleId="BodyTextRight">
    <w:name w:val="Body Text Right"/>
    <w:basedOn w:val="BodyText"/>
    <w:rsid w:val="00E70DA4"/>
    <w:pPr>
      <w:spacing w:before="0" w:after="0"/>
      <w:jc w:val="right"/>
    </w:pPr>
  </w:style>
  <w:style w:type="paragraph" w:styleId="Index3">
    <w:name w:val="index 3"/>
    <w:basedOn w:val="ListNumber2"/>
    <w:next w:val="Normal"/>
    <w:semiHidden/>
    <w:rsid w:val="00E70DA4"/>
    <w:pPr>
      <w:numPr>
        <w:numId w:val="0"/>
      </w:numPr>
      <w:tabs>
        <w:tab w:val="right" w:leader="dot" w:pos="4176"/>
      </w:tabs>
    </w:pPr>
  </w:style>
  <w:style w:type="paragraph" w:styleId="ListNumber2">
    <w:name w:val="List Number 2"/>
    <w:basedOn w:val="List2"/>
    <w:rsid w:val="00E70DA4"/>
    <w:pPr>
      <w:numPr>
        <w:numId w:val="10"/>
      </w:numPr>
      <w:tabs>
        <w:tab w:val="clear" w:pos="1060"/>
      </w:tabs>
    </w:pPr>
  </w:style>
  <w:style w:type="paragraph" w:customStyle="1" w:styleId="MarginNote">
    <w:name w:val="Margin Note"/>
    <w:basedOn w:val="BodyText"/>
    <w:rsid w:val="00E70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DA4"/>
    <w:rPr>
      <w:sz w:val="32"/>
    </w:rPr>
  </w:style>
  <w:style w:type="paragraph" w:customStyle="1" w:styleId="HeadingProcedure">
    <w:name w:val="Heading Procedure"/>
    <w:basedOn w:val="HeadingBase"/>
    <w:next w:val="Normal"/>
    <w:rsid w:val="00E70DA4"/>
    <w:pPr>
      <w:tabs>
        <w:tab w:val="left" w:pos="0"/>
      </w:tabs>
      <w:spacing w:before="120" w:after="60"/>
    </w:pPr>
    <w:rPr>
      <w:i/>
      <w:color w:val="918585"/>
      <w:sz w:val="22"/>
    </w:rPr>
  </w:style>
  <w:style w:type="paragraph" w:customStyle="1" w:styleId="TableBodyText">
    <w:name w:val="Table Body Text"/>
    <w:basedOn w:val="BodyText"/>
    <w:rsid w:val="00E70DA4"/>
    <w:pPr>
      <w:spacing w:before="60" w:after="60"/>
    </w:pPr>
  </w:style>
  <w:style w:type="paragraph" w:styleId="ListContinue">
    <w:name w:val="List Continue"/>
    <w:basedOn w:val="List"/>
    <w:rsid w:val="00E70DA4"/>
    <w:pPr>
      <w:ind w:firstLine="0"/>
    </w:pPr>
  </w:style>
  <w:style w:type="paragraph" w:customStyle="1" w:styleId="ListNote">
    <w:name w:val="List Note"/>
    <w:basedOn w:val="List"/>
    <w:rsid w:val="00E70DA4"/>
    <w:pPr>
      <w:pBdr>
        <w:top w:val="single" w:sz="6" w:space="2" w:color="918585"/>
        <w:bottom w:val="single" w:sz="6" w:space="2" w:color="918585"/>
      </w:pBdr>
      <w:tabs>
        <w:tab w:val="left" w:pos="1021"/>
      </w:tabs>
      <w:ind w:firstLine="0"/>
    </w:pPr>
  </w:style>
  <w:style w:type="paragraph" w:customStyle="1" w:styleId="Warning">
    <w:name w:val="Warning"/>
    <w:basedOn w:val="BodyText"/>
    <w:rsid w:val="00E70DA4"/>
    <w:pPr>
      <w:shd w:val="clear" w:color="auto" w:fill="D9D9D9"/>
      <w:tabs>
        <w:tab w:val="left" w:pos="992"/>
      </w:tabs>
      <w:ind w:left="119" w:right="119"/>
    </w:pPr>
    <w:rPr>
      <w:sz w:val="20"/>
    </w:rPr>
  </w:style>
  <w:style w:type="paragraph" w:customStyle="1" w:styleId="MarginIcons">
    <w:name w:val="Margin Icons"/>
    <w:basedOn w:val="BodyText"/>
    <w:rsid w:val="00E70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DA4"/>
    <w:rPr>
      <w:rFonts w:ascii="Courier New" w:hAnsi="Courier New"/>
    </w:rPr>
  </w:style>
  <w:style w:type="paragraph" w:customStyle="1" w:styleId="NoteBullet">
    <w:name w:val="Note Bullet"/>
    <w:basedOn w:val="Note"/>
    <w:rsid w:val="00E70DA4"/>
    <w:pPr>
      <w:tabs>
        <w:tab w:val="clear" w:pos="680"/>
      </w:tabs>
      <w:spacing w:before="60" w:after="60"/>
    </w:pPr>
  </w:style>
  <w:style w:type="paragraph" w:customStyle="1" w:styleId="SubHeading2">
    <w:name w:val="SubHeading2"/>
    <w:basedOn w:val="HeadingBase"/>
    <w:rsid w:val="00E70DA4"/>
    <w:pPr>
      <w:spacing w:before="240" w:after="60"/>
    </w:pPr>
    <w:rPr>
      <w:sz w:val="20"/>
    </w:rPr>
  </w:style>
  <w:style w:type="paragraph" w:customStyle="1" w:styleId="SubHeading1">
    <w:name w:val="SubHeading1"/>
    <w:basedOn w:val="HeadingBase"/>
    <w:rsid w:val="00E70DA4"/>
    <w:pPr>
      <w:spacing w:before="240" w:after="60"/>
    </w:pPr>
    <w:rPr>
      <w:color w:val="918585"/>
      <w:sz w:val="22"/>
    </w:rPr>
  </w:style>
  <w:style w:type="paragraph" w:customStyle="1" w:styleId="SideHeading">
    <w:name w:val="Side Heading"/>
    <w:basedOn w:val="HeadingBase"/>
    <w:rsid w:val="00E70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DA4"/>
    <w:pPr>
      <w:numPr>
        <w:numId w:val="12"/>
      </w:numPr>
    </w:pPr>
  </w:style>
  <w:style w:type="paragraph" w:styleId="PlainText">
    <w:name w:val="Plain Text"/>
    <w:basedOn w:val="Normal"/>
    <w:link w:val="PlainTextChar"/>
    <w:rsid w:val="00E70DA4"/>
    <w:rPr>
      <w:sz w:val="20"/>
    </w:rPr>
  </w:style>
  <w:style w:type="character" w:customStyle="1" w:styleId="PlainTextChar">
    <w:name w:val="Plain Text Char"/>
    <w:basedOn w:val="DefaultParagraphFont"/>
    <w:link w:val="PlainText"/>
    <w:rsid w:val="00E70DA4"/>
    <w:rPr>
      <w:rFonts w:ascii="Courier New" w:eastAsia="Times New Roman" w:hAnsi="Courier New" w:cs="Times New Roman"/>
      <w:sz w:val="20"/>
      <w:szCs w:val="20"/>
      <w:lang w:eastAsia="en-US"/>
    </w:rPr>
  </w:style>
  <w:style w:type="character" w:customStyle="1" w:styleId="MenuOption">
    <w:name w:val="Menu Option"/>
    <w:basedOn w:val="DefaultParagraphFont"/>
    <w:rsid w:val="00E70DA4"/>
    <w:rPr>
      <w:b/>
      <w:smallCaps/>
    </w:rPr>
  </w:style>
  <w:style w:type="paragraph" w:customStyle="1" w:styleId="TableListNumber">
    <w:name w:val="Table List Number"/>
    <w:basedOn w:val="ListNumber"/>
    <w:rsid w:val="00E70DA4"/>
    <w:pPr>
      <w:numPr>
        <w:numId w:val="0"/>
      </w:numPr>
    </w:pPr>
  </w:style>
  <w:style w:type="paragraph" w:styleId="TOC4">
    <w:name w:val="toc 4"/>
    <w:basedOn w:val="TOCBase"/>
    <w:next w:val="Normal"/>
    <w:semiHidden/>
    <w:rsid w:val="00E70DA4"/>
    <w:pPr>
      <w:tabs>
        <w:tab w:val="right" w:leader="dot" w:pos="9071"/>
      </w:tabs>
      <w:ind w:left="1701"/>
    </w:pPr>
  </w:style>
  <w:style w:type="paragraph" w:customStyle="1" w:styleId="ListAlpha">
    <w:name w:val="List Alpha"/>
    <w:basedOn w:val="List"/>
    <w:rsid w:val="00E70DA4"/>
    <w:pPr>
      <w:numPr>
        <w:numId w:val="9"/>
      </w:numPr>
    </w:pPr>
  </w:style>
  <w:style w:type="paragraph" w:customStyle="1" w:styleId="ListAlpha2">
    <w:name w:val="List Alpha 2"/>
    <w:basedOn w:val="List2"/>
    <w:rsid w:val="00E70DA4"/>
    <w:pPr>
      <w:numPr>
        <w:numId w:val="8"/>
      </w:numPr>
    </w:pPr>
  </w:style>
  <w:style w:type="paragraph" w:styleId="List3">
    <w:name w:val="List 3"/>
    <w:basedOn w:val="BodyText"/>
    <w:rsid w:val="00E70DA4"/>
    <w:pPr>
      <w:tabs>
        <w:tab w:val="left" w:pos="1021"/>
      </w:tabs>
      <w:spacing w:before="60" w:after="60"/>
      <w:ind w:left="1020" w:hanging="340"/>
    </w:pPr>
  </w:style>
  <w:style w:type="paragraph" w:styleId="List4">
    <w:name w:val="List 4"/>
    <w:basedOn w:val="BodyText"/>
    <w:rsid w:val="00E70DA4"/>
    <w:pPr>
      <w:tabs>
        <w:tab w:val="left" w:pos="1361"/>
      </w:tabs>
      <w:spacing w:before="60" w:after="60"/>
      <w:ind w:left="1361" w:hanging="340"/>
    </w:pPr>
  </w:style>
  <w:style w:type="paragraph" w:styleId="List5">
    <w:name w:val="List 5"/>
    <w:basedOn w:val="BodyText"/>
    <w:rsid w:val="00E70DA4"/>
    <w:pPr>
      <w:tabs>
        <w:tab w:val="left" w:pos="1701"/>
      </w:tabs>
      <w:spacing w:before="60" w:after="60"/>
      <w:ind w:left="1701" w:hanging="340"/>
    </w:pPr>
  </w:style>
  <w:style w:type="paragraph" w:styleId="ListBullet3">
    <w:name w:val="List Bullet 3"/>
    <w:basedOn w:val="List3"/>
    <w:rsid w:val="00E70DA4"/>
    <w:pPr>
      <w:numPr>
        <w:numId w:val="15"/>
      </w:numPr>
      <w:tabs>
        <w:tab w:val="clear" w:pos="1021"/>
      </w:tabs>
      <w:ind w:left="1037" w:hanging="357"/>
    </w:pPr>
  </w:style>
  <w:style w:type="paragraph" w:styleId="ListBullet4">
    <w:name w:val="List Bullet 4"/>
    <w:basedOn w:val="List4"/>
    <w:rsid w:val="00E70DA4"/>
    <w:pPr>
      <w:numPr>
        <w:numId w:val="3"/>
      </w:numPr>
    </w:pPr>
  </w:style>
  <w:style w:type="paragraph" w:styleId="ListBullet5">
    <w:name w:val="List Bullet 5"/>
    <w:basedOn w:val="List5"/>
    <w:rsid w:val="00E70DA4"/>
    <w:pPr>
      <w:numPr>
        <w:numId w:val="4"/>
      </w:numPr>
    </w:pPr>
  </w:style>
  <w:style w:type="paragraph" w:styleId="ListContinue2">
    <w:name w:val="List Continue 2"/>
    <w:basedOn w:val="List2"/>
    <w:rsid w:val="00E70DA4"/>
    <w:pPr>
      <w:ind w:firstLine="0"/>
    </w:pPr>
  </w:style>
  <w:style w:type="paragraph" w:styleId="ListContinue3">
    <w:name w:val="List Continue 3"/>
    <w:basedOn w:val="List3"/>
    <w:rsid w:val="00E70DA4"/>
    <w:pPr>
      <w:ind w:left="1021" w:firstLine="0"/>
    </w:pPr>
  </w:style>
  <w:style w:type="paragraph" w:styleId="ListContinue4">
    <w:name w:val="List Continue 4"/>
    <w:basedOn w:val="List4"/>
    <w:rsid w:val="00E70DA4"/>
    <w:pPr>
      <w:ind w:firstLine="0"/>
    </w:pPr>
  </w:style>
  <w:style w:type="paragraph" w:styleId="ListContinue5">
    <w:name w:val="List Continue 5"/>
    <w:basedOn w:val="List5"/>
    <w:rsid w:val="00E70DA4"/>
    <w:pPr>
      <w:ind w:firstLine="0"/>
    </w:pPr>
  </w:style>
  <w:style w:type="paragraph" w:styleId="ListNumber3">
    <w:name w:val="List Number 3"/>
    <w:basedOn w:val="List3"/>
    <w:rsid w:val="00E70DA4"/>
    <w:pPr>
      <w:numPr>
        <w:numId w:val="5"/>
      </w:numPr>
    </w:pPr>
  </w:style>
  <w:style w:type="paragraph" w:styleId="ListNumber4">
    <w:name w:val="List Number 4"/>
    <w:basedOn w:val="List4"/>
    <w:rsid w:val="00E70DA4"/>
    <w:pPr>
      <w:numPr>
        <w:numId w:val="6"/>
      </w:numPr>
    </w:pPr>
  </w:style>
  <w:style w:type="paragraph" w:styleId="ListNumber5">
    <w:name w:val="List Number 5"/>
    <w:basedOn w:val="List5"/>
    <w:rsid w:val="00E70DA4"/>
    <w:pPr>
      <w:numPr>
        <w:numId w:val="7"/>
      </w:numPr>
    </w:pPr>
  </w:style>
  <w:style w:type="paragraph" w:styleId="BlockText">
    <w:name w:val="Block Text"/>
    <w:basedOn w:val="Normal"/>
    <w:rsid w:val="00E70DA4"/>
    <w:pPr>
      <w:spacing w:after="120"/>
      <w:ind w:left="1440" w:right="1440"/>
    </w:pPr>
  </w:style>
  <w:style w:type="character" w:customStyle="1" w:styleId="Subscript">
    <w:name w:val="Subscript"/>
    <w:basedOn w:val="DefaultParagraphFont"/>
    <w:rsid w:val="00E70DA4"/>
    <w:rPr>
      <w:sz w:val="16"/>
      <w:vertAlign w:val="subscript"/>
    </w:rPr>
  </w:style>
  <w:style w:type="character" w:customStyle="1" w:styleId="Superscript">
    <w:name w:val="Superscript"/>
    <w:basedOn w:val="DefaultParagraphFont"/>
    <w:rsid w:val="00E70DA4"/>
    <w:rPr>
      <w:sz w:val="16"/>
      <w:vertAlign w:val="superscript"/>
    </w:rPr>
  </w:style>
  <w:style w:type="character" w:customStyle="1" w:styleId="Symbols">
    <w:name w:val="Symbols"/>
    <w:basedOn w:val="DefaultParagraphFont"/>
    <w:rsid w:val="00E70DA4"/>
    <w:rPr>
      <w:rFonts w:ascii="Symbol" w:hAnsi="Symbol"/>
    </w:rPr>
  </w:style>
  <w:style w:type="character" w:customStyle="1" w:styleId="MenuOptions">
    <w:name w:val="Menu Options"/>
    <w:basedOn w:val="DefaultParagraphFont"/>
    <w:rsid w:val="00E70DA4"/>
    <w:rPr>
      <w:rFonts w:ascii="Arial Narrow" w:hAnsi="Arial Narrow"/>
      <w:smallCaps/>
    </w:rPr>
  </w:style>
  <w:style w:type="character" w:customStyle="1" w:styleId="Buttons">
    <w:name w:val="Buttons"/>
    <w:basedOn w:val="DefaultParagraphFont"/>
    <w:rsid w:val="00E70DA4"/>
    <w:rPr>
      <w:b/>
    </w:rPr>
  </w:style>
  <w:style w:type="character" w:customStyle="1" w:styleId="Underlined">
    <w:name w:val="Underlined"/>
    <w:basedOn w:val="DefaultParagraphFont"/>
    <w:rsid w:val="00E70DA4"/>
    <w:rPr>
      <w:u w:val="single"/>
    </w:rPr>
  </w:style>
  <w:style w:type="paragraph" w:customStyle="1" w:styleId="TableBodyTextRight">
    <w:name w:val="Table Body Text Right"/>
    <w:basedOn w:val="TableBodyText"/>
    <w:rsid w:val="00E70DA4"/>
    <w:pPr>
      <w:widowControl w:val="0"/>
      <w:autoSpaceDE w:val="0"/>
      <w:autoSpaceDN w:val="0"/>
      <w:adjustRightInd w:val="0"/>
      <w:jc w:val="right"/>
    </w:pPr>
    <w:rPr>
      <w:rFonts w:cs="Arial"/>
      <w:szCs w:val="18"/>
    </w:rPr>
  </w:style>
  <w:style w:type="paragraph" w:customStyle="1" w:styleId="CopyrightText">
    <w:name w:val="Copyright Text"/>
    <w:basedOn w:val="BodyText"/>
    <w:rsid w:val="00E70DA4"/>
    <w:rPr>
      <w:sz w:val="18"/>
    </w:rPr>
  </w:style>
  <w:style w:type="paragraph" w:customStyle="1" w:styleId="BodySmallRight">
    <w:name w:val="Body Small Right"/>
    <w:basedOn w:val="BodyTextRight"/>
    <w:rsid w:val="00E70DA4"/>
    <w:rPr>
      <w:sz w:val="18"/>
      <w:szCs w:val="18"/>
    </w:rPr>
  </w:style>
  <w:style w:type="paragraph" w:customStyle="1" w:styleId="MarginEdition">
    <w:name w:val="Margin Edition"/>
    <w:basedOn w:val="MarginNote"/>
    <w:rsid w:val="00E70DA4"/>
    <w:pPr>
      <w:spacing w:before="0" w:after="0"/>
    </w:pPr>
    <w:rPr>
      <w:rFonts w:ascii="Times New Roman" w:hAnsi="Times New Roman"/>
      <w:color w:val="999999"/>
    </w:rPr>
  </w:style>
  <w:style w:type="paragraph" w:customStyle="1" w:styleId="Spacer">
    <w:name w:val="Spacer"/>
    <w:basedOn w:val="Normal"/>
    <w:rsid w:val="00E70DA4"/>
    <w:rPr>
      <w:sz w:val="2"/>
      <w:szCs w:val="2"/>
    </w:rPr>
  </w:style>
  <w:style w:type="character" w:customStyle="1" w:styleId="Small">
    <w:name w:val="Small"/>
    <w:basedOn w:val="DefaultParagraphFont"/>
    <w:rsid w:val="00E70DA4"/>
    <w:rPr>
      <w:sz w:val="16"/>
    </w:rPr>
  </w:style>
  <w:style w:type="paragraph" w:customStyle="1" w:styleId="WideTable">
    <w:name w:val="Wide Table"/>
    <w:basedOn w:val="Normal"/>
    <w:rsid w:val="00E70DA4"/>
    <w:pPr>
      <w:ind w:left="-1418"/>
    </w:pPr>
    <w:rPr>
      <w:sz w:val="2"/>
      <w:szCs w:val="2"/>
    </w:rPr>
  </w:style>
  <w:style w:type="character" w:styleId="PageNumber">
    <w:name w:val="page number"/>
    <w:basedOn w:val="DefaultParagraphFont"/>
    <w:rsid w:val="00E70DA4"/>
  </w:style>
  <w:style w:type="paragraph" w:styleId="Quote">
    <w:name w:val="Quote"/>
    <w:basedOn w:val="Heading1"/>
    <w:link w:val="QuoteChar"/>
    <w:qFormat/>
    <w:rsid w:val="00E70DA4"/>
    <w:rPr>
      <w:b w:val="0"/>
      <w:sz w:val="72"/>
      <w:szCs w:val="72"/>
      <w:lang w:val="en-NZ"/>
    </w:rPr>
  </w:style>
  <w:style w:type="character" w:customStyle="1" w:styleId="QuoteChar">
    <w:name w:val="Quote Char"/>
    <w:basedOn w:val="DefaultParagraphFont"/>
    <w:link w:val="Quote"/>
    <w:rsid w:val="00E70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DA4"/>
    <w:pPr>
      <w:pageBreakBefore/>
    </w:pPr>
  </w:style>
  <w:style w:type="paragraph" w:customStyle="1" w:styleId="Border">
    <w:name w:val="Border"/>
    <w:basedOn w:val="Normal"/>
    <w:qFormat/>
    <w:rsid w:val="00E70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DA4"/>
    <w:rPr>
      <w:b/>
      <w:bCs/>
      <w:i/>
      <w:iCs/>
      <w:color w:val="auto"/>
    </w:rPr>
  </w:style>
  <w:style w:type="paragraph" w:styleId="IntenseQuote">
    <w:name w:val="Intense Quote"/>
    <w:basedOn w:val="Normal"/>
    <w:next w:val="Normal"/>
    <w:link w:val="IntenseQuoteChar"/>
    <w:uiPriority w:val="30"/>
    <w:qFormat/>
    <w:rsid w:val="00E70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DA4"/>
    <w:rPr>
      <w:smallCaps/>
      <w:color w:val="auto"/>
      <w:u w:val="single"/>
    </w:rPr>
  </w:style>
  <w:style w:type="character" w:styleId="IntenseReference">
    <w:name w:val="Intense Reference"/>
    <w:basedOn w:val="DefaultParagraphFont"/>
    <w:uiPriority w:val="32"/>
    <w:qFormat/>
    <w:rsid w:val="00E70DA4"/>
    <w:rPr>
      <w:b/>
      <w:bCs/>
      <w:smallCaps/>
      <w:color w:val="auto"/>
      <w:spacing w:val="5"/>
      <w:u w:val="single"/>
    </w:rPr>
  </w:style>
  <w:style w:type="paragraph" w:customStyle="1" w:styleId="2ColumnHeading">
    <w:name w:val="2Column Heading"/>
    <w:basedOn w:val="BodyText"/>
    <w:qFormat/>
    <w:rsid w:val="00E70DA4"/>
    <w:pPr>
      <w:spacing w:after="60"/>
      <w:ind w:left="-2268"/>
    </w:pPr>
    <w:rPr>
      <w:b/>
    </w:rPr>
  </w:style>
  <w:style w:type="paragraph" w:customStyle="1" w:styleId="Heading1TOC">
    <w:name w:val="Heading1 TOC"/>
    <w:basedOn w:val="Normal"/>
    <w:qFormat/>
    <w:rsid w:val="00E70DA4"/>
    <w:pPr>
      <w:spacing w:before="240" w:after="120"/>
    </w:pPr>
    <w:rPr>
      <w:rFonts w:ascii="Times New Roman" w:hAnsi="Times New Roman"/>
      <w:b/>
      <w:sz w:val="32"/>
    </w:rPr>
  </w:style>
  <w:style w:type="paragraph" w:customStyle="1" w:styleId="Heading2TOC">
    <w:name w:val="Heading2 TOC"/>
    <w:basedOn w:val="Normal"/>
    <w:qFormat/>
    <w:rsid w:val="00E70DA4"/>
    <w:pPr>
      <w:spacing w:before="240" w:after="60"/>
    </w:pPr>
    <w:rPr>
      <w:rFonts w:ascii="Times New Roman" w:hAnsi="Times New Roman"/>
      <w:b/>
      <w:sz w:val="28"/>
    </w:rPr>
  </w:style>
  <w:style w:type="character" w:customStyle="1" w:styleId="Underline">
    <w:name w:val="Underline"/>
    <w:basedOn w:val="DefaultParagraphFont"/>
    <w:qFormat/>
    <w:rsid w:val="00E70DA4"/>
    <w:rPr>
      <w:u w:val="single"/>
    </w:rPr>
  </w:style>
  <w:style w:type="character" w:customStyle="1" w:styleId="BoldandItalics">
    <w:name w:val="Bold and Italics"/>
    <w:qFormat/>
    <w:rsid w:val="00E70DA4"/>
    <w:rPr>
      <w:b/>
      <w:i/>
      <w:u w:val="none"/>
    </w:rPr>
  </w:style>
  <w:style w:type="paragraph" w:styleId="BalloonText">
    <w:name w:val="Balloon Text"/>
    <w:basedOn w:val="Normal"/>
    <w:link w:val="BalloonTextChar"/>
    <w:rsid w:val="00E70DA4"/>
    <w:rPr>
      <w:rFonts w:ascii="Tahoma" w:hAnsi="Tahoma" w:cs="Tahoma"/>
      <w:sz w:val="16"/>
      <w:szCs w:val="16"/>
    </w:rPr>
  </w:style>
  <w:style w:type="character" w:customStyle="1" w:styleId="BalloonTextChar">
    <w:name w:val="Balloon Text Char"/>
    <w:basedOn w:val="DefaultParagraphFont"/>
    <w:link w:val="BalloonText"/>
    <w:rsid w:val="00E70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D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DA4"/>
    <w:rPr>
      <w:b/>
      <w:color w:val="660033"/>
      <w:spacing w:val="0"/>
    </w:rPr>
  </w:style>
  <w:style w:type="paragraph" w:customStyle="1" w:styleId="Nameditemlist">
    <w:name w:val="Named item list"/>
    <w:basedOn w:val="BodyText"/>
    <w:qFormat/>
    <w:rsid w:val="00E70D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2183</Words>
  <Characters>14246</Characters>
  <Application>Microsoft Office Word</Application>
  <DocSecurity>0</DocSecurity>
  <Lines>459</Lines>
  <Paragraphs>198</Paragraphs>
  <ScaleCrop>false</ScaleCrop>
  <Company>Author-it Software Corporation Ltd.</Company>
  <LinksUpToDate>false</LinksUpToDate>
  <CharactersWithSpaces>16347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MSL976003A Evaluate and select appropriate test methods and/or procedures</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2013-10-25T06:04:00Z</dcterms:created>
  <dcterms:modified xsi:type="dcterms:W3CDTF">2013-10-25T06:04:00Z</dcterms:modified>
</cp:coreProperties>
</file>