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B10" w:rsidP="005D2B10">
      <w:pPr>
        <w:pStyle w:val="Title"/>
      </w:pPr>
      <w:r>
        <w:fldChar w:fldCharType="begin"/>
      </w:r>
      <w:r>
        <w:instrText xml:space="preserve"> TITLE   \* MERGEFORMAT </w:instrText>
      </w:r>
      <w:r>
        <w:fldChar w:fldCharType="separate"/>
      </w:r>
      <w:r>
        <w:t>MSL976001A Classify building sites</w:t>
      </w:r>
      <w:r>
        <w:fldChar w:fldCharType="end"/>
      </w:r>
    </w:p>
    <w:p w:rsidR="005D2B10" w:rsidP="005D2B10">
      <w:pPr>
        <w:pStyle w:val="Version"/>
        <w:sectPr w:rsidSect="00A60C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0C2B" w:rsidP="00A60C2B">
      <w:pPr>
        <w:pStyle w:val="SuperHeading"/>
      </w:pPr>
      <w:r w:rsidRPr="00A60C2B">
        <w:t>MSL976001A Classify building sites</w:t>
      </w:r>
    </w:p>
    <w:p w:rsidR="00000000" w:rsidRPr="00A60C2B" w:rsidP="00A60C2B">
      <w:pPr>
        <w:pStyle w:val="SuperHeading"/>
      </w:pPr>
    </w:p>
    <w:p w:rsidR="00000000" w:rsidRPr="00A60C2B" w:rsidP="00A60C2B">
      <w:pPr>
        <w:pStyle w:val="Heading1"/>
      </w:pPr>
      <w:bookmarkStart w:id="1" w:name="O_103755"/>
      <w:bookmarkEnd w:id="1"/>
      <w:r w:rsidRPr="00A60C2B">
        <w:t>Modification History</w:t>
      </w:r>
    </w:p>
    <w:p w:rsidR="00000000" w:rsidRPr="00A60C2B" w:rsidP="00A60C2B">
      <w:pPr>
        <w:pStyle w:val="BodyText"/>
      </w:pPr>
      <w:r w:rsidRPr="00A60C2B">
        <w:t>Not applicable.</w:t>
      </w:r>
    </w:p>
    <w:p w:rsidR="00000000" w:rsidRPr="00A60C2B" w:rsidP="00A60C2B">
      <w:pPr>
        <w:pStyle w:val="AllowPageBreak"/>
      </w:pPr>
    </w:p>
    <w:p w:rsidR="00000000" w:rsidRPr="00A60C2B" w:rsidP="00A60C2B">
      <w:pPr>
        <w:pStyle w:val="Heading1"/>
      </w:pPr>
      <w:bookmarkStart w:id="2" w:name="O_103756"/>
      <w:bookmarkEnd w:id="2"/>
      <w:r w:rsidRPr="00A60C2B">
        <w:t>Unit Descriptor</w:t>
      </w:r>
    </w:p>
    <w:tbl>
      <w:tblPr>
        <w:tblW w:w="0" w:type="auto"/>
        <w:tblLayout w:type="fixed"/>
        <w:tblCellMar>
          <w:left w:w="62" w:type="dxa"/>
          <w:right w:w="62" w:type="dxa"/>
        </w:tblCellMar>
        <w:tblLook w:val="0000"/>
      </w:tblPr>
      <w:tblGrid>
        <w:gridCol w:w="2671"/>
        <w:gridCol w:w="5851"/>
      </w:tblGrid>
      <w:tr w:rsidTr="005D2B1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This unit of competency covers the ability to classify building sites, including residential, light industrial, co</w:t>
            </w:r>
            <w:r w:rsidRPr="00A60C2B">
              <w:t xml:space="preserve">mmercial and institutional structures for the purpose of providing guidance for the design of footing systems. </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3" w:name="O_103757"/>
      <w:bookmarkEnd w:id="3"/>
      <w:r w:rsidRPr="00A60C2B">
        <w:t>Application of the Unit</w:t>
      </w:r>
    </w:p>
    <w:tbl>
      <w:tblPr>
        <w:tblW w:w="0" w:type="auto"/>
        <w:tblLayout w:type="fixed"/>
        <w:tblCellMar>
          <w:left w:w="62" w:type="dxa"/>
          <w:right w:w="62" w:type="dxa"/>
        </w:tblCellMar>
        <w:tblLook w:val="0000"/>
      </w:tblPr>
      <w:tblGrid>
        <w:gridCol w:w="2750"/>
        <w:gridCol w:w="5772"/>
      </w:tblGrid>
      <w:tr w:rsidTr="005D2B1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This unit of competency is applicable to senior technical officers working in the construction materials testing industry sector. Site classification is applicable to single dwelling houses, townhouses and commercial, institutional or light industrial buil</w:t>
            </w:r>
            <w:r w:rsidRPr="00A60C2B">
              <w:t>dings. The classification depends on reactivity of the foundation soils and other potential problems, such as mine subsidence, groundwater conditions and slope. These influence the design of footings, so as to minimise damage due to foundation movement dur</w:t>
            </w:r>
            <w:r w:rsidRPr="00A60C2B">
              <w:t>ing the life of the building. Operations are performed in accordance with laboratory and/or enterprise procedures, and appropriate legislative requirements. This competency is typically performed by paraprofessionals who often guide the work of experienced</w:t>
            </w:r>
            <w:r w:rsidRPr="00A60C2B">
              <w:t xml:space="preserve"> testers.</w:t>
            </w:r>
          </w:p>
          <w:p w:rsidR="00000000" w:rsidRPr="00A60C2B" w:rsidP="00A60C2B">
            <w:pPr>
              <w:pStyle w:val="BodyText"/>
            </w:pPr>
            <w:r w:rsidRPr="00A60C2B">
              <w:t>Industry representatives have provided case studies to illustrate the practical application of this unit of competency and to show its relevance in a workplace setting. These can be found at the end of this unit of competency under the section 'T</w:t>
            </w:r>
            <w:r w:rsidRPr="00A60C2B">
              <w:t>his competency in practice'.</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4" w:name="O_103758"/>
      <w:bookmarkEnd w:id="4"/>
      <w:r w:rsidRPr="00A60C2B">
        <w:t>Licensing/Regulatory Information</w:t>
      </w:r>
    </w:p>
    <w:p w:rsidR="00000000" w:rsidRPr="00A60C2B" w:rsidP="00A60C2B">
      <w:pPr>
        <w:pStyle w:val="BodyText"/>
      </w:pPr>
      <w:r w:rsidRPr="00A60C2B">
        <w:t>Not applicable.</w:t>
      </w:r>
    </w:p>
    <w:p w:rsidR="00000000" w:rsidRPr="00A60C2B" w:rsidP="00A60C2B">
      <w:pPr>
        <w:pStyle w:val="AllowPageBreak"/>
      </w:pPr>
    </w:p>
    <w:p w:rsidR="00000000" w:rsidRPr="00A60C2B" w:rsidP="00A60C2B">
      <w:pPr>
        <w:pStyle w:val="Heading1"/>
      </w:pPr>
      <w:bookmarkStart w:id="5" w:name="O_103759"/>
      <w:bookmarkEnd w:id="5"/>
      <w:r w:rsidRPr="00A60C2B">
        <w:t>Pre-Requisites</w:t>
      </w:r>
    </w:p>
    <w:tbl>
      <w:tblPr>
        <w:tblW w:w="0" w:type="auto"/>
        <w:tblLayout w:type="fixed"/>
        <w:tblCellMar>
          <w:left w:w="62" w:type="dxa"/>
          <w:right w:w="62" w:type="dxa"/>
        </w:tblCellMar>
        <w:tblLook w:val="0000"/>
      </w:tblPr>
      <w:tblGrid>
        <w:gridCol w:w="2645"/>
        <w:gridCol w:w="2785"/>
        <w:gridCol w:w="3092"/>
      </w:tblGrid>
      <w:tr w:rsidTr="005D2B10">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Prerequisite units</w:t>
            </w:r>
          </w:p>
        </w:tc>
        <w:tc>
          <w:tcPr>
            <w:tcW w:w="58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Emphasis"/>
              </w:rPr>
              <w:t>MSL975007A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Emphasis"/>
              </w:rPr>
              <w:t>Supervise sampling</w:t>
            </w:r>
            <w:r w:rsidRPr="00A60C2B">
              <w:t xml:space="preserve">, </w:t>
            </w:r>
            <w:r w:rsidRPr="00A60C2B">
              <w:rPr>
                <w:rStyle w:val="Emphasis"/>
              </w:rPr>
              <w:t>inspections and testing at construction sites</w:t>
            </w: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BoldandItalics"/>
              </w:rPr>
              <w:t>OR</w:t>
            </w: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Emphasis"/>
              </w:rPr>
              <w:t>MSL975023A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Emphasis"/>
              </w:rPr>
              <w:t>Supervise geotechnical site investigations</w:t>
            </w: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BoldandItalics"/>
              </w:rPr>
              <w:t>AND</w:t>
            </w: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Emphasis"/>
              </w:rPr>
              <w:t>MSL974002A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Emphasis"/>
              </w:rPr>
              <w:t>Conduct geotechnical site investigations</w:t>
            </w:r>
          </w:p>
        </w:tc>
      </w:tr>
      <w:tr w:rsidTr="005D2B1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Emphasis"/>
              </w:rPr>
              <w:t>MSL973012A</w:t>
            </w:r>
          </w:p>
        </w:tc>
        <w:tc>
          <w:tcPr>
            <w:tcW w:w="3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Emphasis"/>
              </w:rPr>
              <w:t>Assist with geotechnical site investigations</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6" w:name="O_103760"/>
      <w:bookmarkEnd w:id="6"/>
      <w:r w:rsidRPr="00A60C2B">
        <w:t>Employability Skills Information</w:t>
      </w:r>
    </w:p>
    <w:tbl>
      <w:tblPr>
        <w:tblW w:w="0" w:type="auto"/>
        <w:tblLayout w:type="fixed"/>
        <w:tblCellMar>
          <w:left w:w="62" w:type="dxa"/>
          <w:right w:w="62" w:type="dxa"/>
        </w:tblCellMar>
        <w:tblLook w:val="0000"/>
      </w:tblPr>
      <w:tblGrid>
        <w:gridCol w:w="2802"/>
        <w:gridCol w:w="5720"/>
      </w:tblGrid>
      <w:tr w:rsidTr="005D2B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This unit contains employability skills.</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7" w:name="O_103761"/>
      <w:bookmarkEnd w:id="7"/>
      <w:r w:rsidRPr="00A60C2B">
        <w:t>Elements and Performance Criteria Pre-Content</w:t>
      </w:r>
    </w:p>
    <w:tbl>
      <w:tblPr>
        <w:tblW w:w="0" w:type="auto"/>
        <w:tblLayout w:type="fixed"/>
        <w:tblCellMar>
          <w:left w:w="62" w:type="dxa"/>
          <w:right w:w="62" w:type="dxa"/>
        </w:tblCellMar>
        <w:tblLook w:val="0000"/>
      </w:tblPr>
      <w:tblGrid>
        <w:gridCol w:w="2574"/>
        <w:gridCol w:w="5948"/>
      </w:tblGrid>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Performance criteria describe the performance needed to demonstrate achievement of the element. Where bold italicised text is used, further information is detailed in the required skills and knowledge section and the range statement. Assessment of performa</w:t>
            </w:r>
            <w:r w:rsidRPr="00A60C2B">
              <w:t>nce is to be consistent with the evidence guide.</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8" w:name="O_103762"/>
      <w:bookmarkEnd w:id="8"/>
      <w:r w:rsidRPr="00A60C2B">
        <w:t>Elements and Performance Criteria</w:t>
      </w:r>
    </w:p>
    <w:tbl>
      <w:tblPr>
        <w:tblW w:w="0" w:type="auto"/>
        <w:tblLayout w:type="fixed"/>
        <w:tblCellMar>
          <w:left w:w="62" w:type="dxa"/>
          <w:right w:w="62" w:type="dxa"/>
        </w:tblCellMar>
        <w:tblLook w:val="0000"/>
      </w:tblPr>
      <w:tblGrid>
        <w:gridCol w:w="2574"/>
        <w:gridCol w:w="5948"/>
      </w:tblGrid>
      <w:tr w:rsidTr="005D2B10">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PERFORMANCE CRITERIA</w:t>
            </w:r>
          </w:p>
        </w:tc>
      </w:tr>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List"/>
              <w:rPr>
                <w:lang w:val="en-NZ"/>
              </w:rPr>
            </w:pPr>
            <w:r w:rsidRPr="00A60C2B">
              <w:t>1.</w:t>
            </w:r>
            <w:r w:rsidRPr="00A60C2B">
              <w:tab/>
              <w:t>Prepare for on-site operations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List2"/>
            </w:pPr>
            <w:r w:rsidRPr="00A60C2B">
              <w:t>1.1.</w:t>
            </w:r>
            <w:r w:rsidRPr="00A60C2B">
              <w:tab/>
            </w:r>
            <w:r w:rsidRPr="00A60C2B">
              <w:t>Identify the job, consult with the client and obtain relevant information, drawn from such sources as maps, drawings, specifications and codes of practice</w:t>
            </w:r>
          </w:p>
          <w:p w:rsidR="00000000" w:rsidRPr="00A60C2B" w:rsidP="00A60C2B">
            <w:pPr>
              <w:pStyle w:val="List2"/>
            </w:pPr>
            <w:r w:rsidRPr="00A60C2B">
              <w:t>1.2.</w:t>
            </w:r>
            <w:r w:rsidRPr="00A60C2B">
              <w:tab/>
              <w:t>Select equipment and materials required for the job</w:t>
            </w:r>
          </w:p>
          <w:p w:rsidR="00000000" w:rsidRPr="00A60C2B" w:rsidP="00A60C2B">
            <w:pPr>
              <w:pStyle w:val="List2"/>
            </w:pPr>
            <w:r w:rsidRPr="00A60C2B">
              <w:t>1.3.</w:t>
            </w:r>
            <w:r w:rsidRPr="00A60C2B">
              <w:tab/>
              <w:t xml:space="preserve">Identify personal protective equipment </w:t>
            </w:r>
            <w:r w:rsidRPr="00A60C2B">
              <w:t>and safety procedures specified for the job and organise site induction, as required</w:t>
            </w:r>
          </w:p>
          <w:p w:rsidR="00000000" w:rsidRPr="00A60C2B" w:rsidP="00A60C2B">
            <w:pPr>
              <w:pStyle w:val="List2"/>
            </w:pPr>
            <w:r w:rsidRPr="00A60C2B">
              <w:t>1.4.</w:t>
            </w:r>
            <w:r w:rsidRPr="00A60C2B">
              <w:tab/>
              <w:t>Record description of the job to be undertaken, compare with specification and resolve any variations</w:t>
            </w:r>
          </w:p>
          <w:p w:rsidR="00000000" w:rsidRPr="00A60C2B" w:rsidP="00A60C2B">
            <w:pPr>
              <w:pStyle w:val="List2"/>
            </w:pPr>
            <w:r w:rsidRPr="00A60C2B">
              <w:t>1.5.</w:t>
            </w:r>
            <w:r w:rsidRPr="00A60C2B">
              <w:tab/>
              <w:t>Select suitable transport for site access</w:t>
            </w:r>
          </w:p>
          <w:p w:rsidR="00000000" w:rsidP="00A60C2B">
            <w:pPr>
              <w:pStyle w:val="List2"/>
              <w:rPr>
                <w:lang w:val="en-NZ"/>
              </w:rPr>
            </w:pPr>
            <w:r w:rsidRPr="00A60C2B">
              <w:t>1.6.</w:t>
            </w:r>
            <w:r w:rsidRPr="00A60C2B">
              <w:tab/>
              <w:t>Brief suppor</w:t>
            </w:r>
            <w:r w:rsidRPr="00A60C2B">
              <w:t>t personnel on job requirements</w:t>
            </w:r>
          </w:p>
        </w:tc>
      </w:tr>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List"/>
              <w:rPr>
                <w:lang w:val="en-NZ"/>
              </w:rPr>
            </w:pPr>
            <w:r w:rsidRPr="00A60C2B">
              <w:t>2.</w:t>
            </w:r>
            <w:r w:rsidRPr="00A60C2B">
              <w:tab/>
              <w:t>Conduct on-site investigations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List2"/>
            </w:pPr>
            <w:r w:rsidRPr="00A60C2B">
              <w:t>2.1.</w:t>
            </w:r>
            <w:r w:rsidRPr="00A60C2B">
              <w:tab/>
              <w:t>Identify the location of the proposed structure</w:t>
            </w:r>
          </w:p>
          <w:p w:rsidR="00000000" w:rsidRPr="00A60C2B" w:rsidP="00A60C2B">
            <w:pPr>
              <w:pStyle w:val="List2"/>
            </w:pPr>
            <w:r w:rsidRPr="00A60C2B">
              <w:t>2.2.</w:t>
            </w:r>
            <w:r w:rsidRPr="00A60C2B">
              <w:tab/>
              <w:t>Observe and record physical characteristics of the site, including topography, vegetation, recent activity and the presence of unde</w:t>
            </w:r>
            <w:r w:rsidRPr="00A60C2B">
              <w:t>rground services</w:t>
            </w:r>
          </w:p>
          <w:p w:rsidR="00000000" w:rsidRPr="00A60C2B" w:rsidP="00A60C2B">
            <w:pPr>
              <w:pStyle w:val="List2"/>
            </w:pPr>
            <w:r w:rsidRPr="00A60C2B">
              <w:t>2.3.</w:t>
            </w:r>
            <w:r w:rsidRPr="00A60C2B">
              <w:tab/>
              <w:t>Conduct subsurface investigations, obtain samples and record strata details, including groundwater conditions, while minimising disturbance and potential contamination of site</w:t>
            </w:r>
          </w:p>
          <w:p w:rsidR="00000000" w:rsidRPr="00A60C2B" w:rsidP="00A60C2B">
            <w:pPr>
              <w:pStyle w:val="List2"/>
            </w:pPr>
            <w:r w:rsidRPr="00A60C2B">
              <w:t>2.4.</w:t>
            </w:r>
            <w:r w:rsidRPr="00A60C2B">
              <w:tab/>
              <w:t>Perform relevant in situ testing</w:t>
            </w:r>
          </w:p>
          <w:p w:rsidR="00000000" w:rsidP="00A60C2B">
            <w:pPr>
              <w:pStyle w:val="List2"/>
              <w:rPr>
                <w:lang w:val="en-NZ"/>
              </w:rPr>
            </w:pPr>
            <w:r w:rsidRPr="00A60C2B">
              <w:t>2.5.</w:t>
            </w:r>
            <w:r w:rsidRPr="00A60C2B">
              <w:tab/>
              <w:t>Clean up on com</w:t>
            </w:r>
            <w:r w:rsidRPr="00A60C2B">
              <w:t>pletion, backfilling or sealing the excavation or ensuring that it is left in a safe and uncontaminated condition</w:t>
            </w:r>
          </w:p>
        </w:tc>
      </w:tr>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List"/>
              <w:rPr>
                <w:lang w:val="en-NZ"/>
              </w:rPr>
            </w:pPr>
            <w:r w:rsidRPr="00A60C2B">
              <w:t>3.</w:t>
            </w:r>
            <w:r w:rsidRPr="00A60C2B">
              <w:tab/>
              <w:t>Conduct laboratory testing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List2"/>
            </w:pPr>
            <w:r w:rsidRPr="00A60C2B">
              <w:t>3.1.</w:t>
            </w:r>
            <w:r w:rsidRPr="00A60C2B">
              <w:tab/>
              <w:t>Perform relevant laboratory tests to determine foundation materials properties</w:t>
            </w:r>
          </w:p>
          <w:p w:rsidR="00000000" w:rsidP="00A60C2B">
            <w:pPr>
              <w:pStyle w:val="List2"/>
              <w:rPr>
                <w:lang w:val="en-NZ"/>
              </w:rPr>
            </w:pPr>
            <w:r w:rsidRPr="00A60C2B">
              <w:t>3.2.</w:t>
            </w:r>
            <w:r w:rsidRPr="00A60C2B">
              <w:tab/>
            </w:r>
            <w:r w:rsidRPr="00A60C2B">
              <w:t>Report test results in accordance with enterprise practices</w:t>
            </w:r>
          </w:p>
        </w:tc>
      </w:tr>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List"/>
              <w:rPr>
                <w:lang w:val="en-NZ"/>
              </w:rPr>
            </w:pPr>
            <w:r w:rsidRPr="00A60C2B">
              <w:t>4.</w:t>
            </w:r>
            <w:r w:rsidRPr="00A60C2B">
              <w:tab/>
              <w:t>Assign a classification to the site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List2"/>
            </w:pPr>
            <w:r w:rsidRPr="00A60C2B">
              <w:t>4.1.</w:t>
            </w:r>
            <w:r w:rsidRPr="00A60C2B">
              <w:tab/>
              <w:t>Analyse field data, test results and observations, checking for accuracy and validity</w:t>
            </w:r>
          </w:p>
          <w:p w:rsidR="00000000" w:rsidRPr="00A60C2B" w:rsidP="00A60C2B">
            <w:pPr>
              <w:pStyle w:val="List2"/>
            </w:pPr>
            <w:r w:rsidRPr="00A60C2B">
              <w:t>4.2.</w:t>
            </w:r>
            <w:r w:rsidRPr="00A60C2B">
              <w:tab/>
              <w:t>Ascertain whether fill is present on-site, its extent, and w</w:t>
            </w:r>
            <w:r w:rsidRPr="00A60C2B">
              <w:t>hether controlled or uncontrolled</w:t>
            </w:r>
          </w:p>
          <w:p w:rsidR="00000000" w:rsidRPr="00A60C2B" w:rsidP="00A60C2B">
            <w:pPr>
              <w:pStyle w:val="List2"/>
            </w:pPr>
            <w:r w:rsidRPr="00A60C2B">
              <w:t>4.3.</w:t>
            </w:r>
            <w:r w:rsidRPr="00A60C2B">
              <w:tab/>
              <w:t>Determine the classification of the site in accordance with approved procedures or as documented in the relevant code</w:t>
            </w:r>
          </w:p>
          <w:p w:rsidR="00000000" w:rsidP="00A60C2B">
            <w:pPr>
              <w:pStyle w:val="List2"/>
              <w:rPr>
                <w:lang w:val="en-NZ"/>
              </w:rPr>
            </w:pPr>
            <w:r w:rsidRPr="00A60C2B">
              <w:t>4.4.</w:t>
            </w:r>
            <w:r w:rsidRPr="00A60C2B">
              <w:tab/>
              <w:t>Report results to client in accordance with enterprise procedures</w:t>
            </w:r>
          </w:p>
        </w:tc>
      </w:tr>
      <w:tr w:rsidTr="005D2B10">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List"/>
              <w:rPr>
                <w:lang w:val="en-NZ"/>
              </w:rPr>
            </w:pPr>
            <w:r w:rsidRPr="00A60C2B">
              <w:t>5.</w:t>
            </w:r>
            <w:r w:rsidRPr="00A60C2B">
              <w:tab/>
              <w:t>Maintain records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List2"/>
            </w:pPr>
            <w:r w:rsidRPr="00A60C2B">
              <w:t>5.1.</w:t>
            </w:r>
            <w:r w:rsidRPr="00A60C2B">
              <w:tab/>
              <w:t>Re</w:t>
            </w:r>
            <w:r w:rsidRPr="00A60C2B">
              <w:t>cord and store observations, data and results in accordance with enterprise procedures</w:t>
            </w:r>
          </w:p>
          <w:p w:rsidR="00000000" w:rsidRPr="00A60C2B" w:rsidP="00A60C2B">
            <w:pPr>
              <w:pStyle w:val="List2"/>
            </w:pPr>
            <w:r w:rsidRPr="00A60C2B">
              <w:t>5.2.</w:t>
            </w:r>
            <w:r w:rsidRPr="00A60C2B">
              <w:tab/>
              <w:t>Maintain confidentiality and security of client and enterprise information</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9" w:name="O_103763"/>
      <w:bookmarkEnd w:id="9"/>
      <w:r w:rsidRPr="00A60C2B">
        <w:t>Required Skills and Knowledge</w:t>
      </w:r>
    </w:p>
    <w:tbl>
      <w:tblPr>
        <w:tblW w:w="0" w:type="auto"/>
        <w:tblLayout w:type="fixed"/>
        <w:tblCellMar>
          <w:left w:w="62" w:type="dxa"/>
          <w:right w:w="62" w:type="dxa"/>
        </w:tblCellMar>
        <w:tblLook w:val="0000"/>
      </w:tblPr>
      <w:tblGrid>
        <w:gridCol w:w="8522"/>
      </w:tblGrid>
      <w:tr w:rsidTr="005D2B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REQUIRED SKILLS AND KNOWLEDGE</w:t>
            </w:r>
          </w:p>
        </w:tc>
      </w:tr>
      <w:tr w:rsidTr="005D2B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t>This section describes the skills and knowledge required for this unit.</w:t>
            </w:r>
          </w:p>
        </w:tc>
      </w:tr>
      <w:tr w:rsidTr="005D2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Required skills</w:t>
            </w:r>
          </w:p>
        </w:tc>
      </w:tr>
      <w:tr w:rsidTr="005D2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Required skills include:</w:t>
            </w:r>
          </w:p>
          <w:p w:rsidR="00000000" w:rsidRPr="00A60C2B" w:rsidP="00A60C2B">
            <w:pPr>
              <w:pStyle w:val="ListBullet"/>
            </w:pPr>
            <w:r w:rsidRPr="00A60C2B">
              <w:t>conducting site and laboratory operations, and analysingtest results and observationsto assign a site classification</w:t>
            </w:r>
          </w:p>
          <w:p w:rsidR="00000000" w:rsidRPr="00A60C2B" w:rsidP="00A60C2B">
            <w:pPr>
              <w:pStyle w:val="ListBullet"/>
            </w:pPr>
            <w:r w:rsidRPr="00A60C2B">
              <w:t>reading and interpreting maps, drawings, specifications and codes of practice</w:t>
            </w:r>
          </w:p>
          <w:p w:rsidR="00000000" w:rsidRPr="00A60C2B" w:rsidP="00A60C2B">
            <w:pPr>
              <w:pStyle w:val="ListBullet"/>
            </w:pPr>
            <w:r w:rsidRPr="00A60C2B">
              <w:t>conducting subsurface explorations and log strata</w:t>
            </w:r>
          </w:p>
          <w:p w:rsidR="00000000" w:rsidRPr="00A60C2B" w:rsidP="00A60C2B">
            <w:pPr>
              <w:pStyle w:val="ListBullet"/>
            </w:pPr>
            <w:r w:rsidRPr="00A60C2B">
              <w:t>conducting insitu testing for site classification purposes</w:t>
            </w:r>
          </w:p>
          <w:p w:rsidR="00000000" w:rsidRPr="00A60C2B" w:rsidP="00A60C2B">
            <w:pPr>
              <w:pStyle w:val="ListBullet"/>
            </w:pPr>
            <w:r w:rsidRPr="00A60C2B">
              <w:t>conducting disturbed and undisturbed sampling</w:t>
            </w:r>
          </w:p>
          <w:p w:rsidR="00000000" w:rsidRPr="00A60C2B" w:rsidP="00A60C2B">
            <w:pPr>
              <w:pStyle w:val="ListBullet"/>
            </w:pPr>
            <w:r w:rsidRPr="00A60C2B">
              <w:t>recording project detai</w:t>
            </w:r>
            <w:r w:rsidRPr="00A60C2B">
              <w:t>ls in writing, by sketching and photography</w:t>
            </w:r>
          </w:p>
          <w:p w:rsidR="00000000" w:rsidRPr="00A60C2B" w:rsidP="00A60C2B">
            <w:pPr>
              <w:pStyle w:val="ListBullet"/>
            </w:pPr>
            <w:r w:rsidRPr="00A60C2B">
              <w:t>conducting laboratory testing for site classification purposes</w:t>
            </w:r>
          </w:p>
          <w:p w:rsidR="00000000" w:rsidRPr="00A60C2B" w:rsidP="00A60C2B">
            <w:pPr>
              <w:pStyle w:val="ListBullet"/>
            </w:pPr>
            <w:r w:rsidRPr="00A60C2B">
              <w:t>observing, interpreting and reporting atypical situations</w:t>
            </w:r>
          </w:p>
          <w:p w:rsidR="00000000" w:rsidRPr="00A60C2B" w:rsidP="00A60C2B">
            <w:pPr>
              <w:pStyle w:val="ListBullet"/>
            </w:pPr>
            <w:r w:rsidRPr="00A60C2B">
              <w:t>communicating problems to appropriate personnel</w:t>
            </w:r>
          </w:p>
          <w:p w:rsidR="00000000" w:rsidP="00A60C2B">
            <w:pPr>
              <w:pStyle w:val="ListBullet"/>
              <w:rPr>
                <w:lang w:val="en-NZ"/>
              </w:rPr>
            </w:pPr>
            <w:r w:rsidRPr="00A60C2B">
              <w:t>reporting results to clients using enterpri</w:t>
            </w:r>
            <w:r w:rsidRPr="00A60C2B">
              <w:t>se procedures</w:t>
            </w:r>
          </w:p>
        </w:tc>
      </w:tr>
      <w:tr w:rsidTr="005D2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Required knowledge</w:t>
            </w:r>
          </w:p>
        </w:tc>
      </w:tr>
      <w:tr w:rsidTr="005D2B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Required knowledge includes:</w:t>
            </w:r>
          </w:p>
          <w:p w:rsidR="00000000" w:rsidRPr="00A60C2B" w:rsidP="00A60C2B">
            <w:pPr>
              <w:pStyle w:val="ListBullet"/>
            </w:pPr>
            <w:r w:rsidRPr="00A60C2B">
              <w:t>engineering properties of soil and rock materials</w:t>
            </w:r>
          </w:p>
          <w:p w:rsidR="00000000" w:rsidRPr="00A60C2B" w:rsidP="00A60C2B">
            <w:pPr>
              <w:pStyle w:val="ListBullet"/>
            </w:pPr>
            <w:r w:rsidRPr="00A60C2B">
              <w:t>insitu and laboratory test methods applicable to site classification</w:t>
            </w:r>
          </w:p>
          <w:p w:rsidR="00000000" w:rsidRPr="00A60C2B" w:rsidP="00A60C2B">
            <w:pPr>
              <w:pStyle w:val="ListBullet"/>
            </w:pPr>
            <w:r w:rsidRPr="00A60C2B">
              <w:t>methods of assigning a site classification</w:t>
            </w:r>
          </w:p>
          <w:p w:rsidR="00000000" w:rsidRPr="00A60C2B" w:rsidP="00A60C2B">
            <w:pPr>
              <w:pStyle w:val="ListBullet"/>
            </w:pPr>
            <w:r w:rsidRPr="00A60C2B">
              <w:t>mathematical principles and processes used in site classification</w:t>
            </w:r>
          </w:p>
          <w:p w:rsidR="00000000" w:rsidRPr="00A60C2B" w:rsidP="00A60C2B">
            <w:pPr>
              <w:pStyle w:val="ListBullet"/>
            </w:pPr>
            <w:r w:rsidRPr="00A60C2B">
              <w:t>provisions and requirements of relevant codes</w:t>
            </w:r>
          </w:p>
          <w:p w:rsidR="00000000" w:rsidRPr="00A60C2B" w:rsidP="00A60C2B">
            <w:pPr>
              <w:pStyle w:val="ListBullet"/>
            </w:pPr>
            <w:r w:rsidRPr="00A60C2B">
              <w:t>relevant health, safety and environment requirements</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10" w:name="O_103764"/>
      <w:bookmarkEnd w:id="10"/>
      <w:r w:rsidRPr="00A60C2B">
        <w:t>Evidence Guide</w:t>
      </w:r>
    </w:p>
    <w:tbl>
      <w:tblPr>
        <w:tblW w:w="9570" w:type="dxa"/>
        <w:tblLayout w:type="fixed"/>
        <w:tblCellMar>
          <w:left w:w="62" w:type="dxa"/>
          <w:right w:w="62" w:type="dxa"/>
        </w:tblCellMar>
        <w:tblLook w:val="0000"/>
      </w:tblPr>
      <w:tblGrid>
        <w:gridCol w:w="3908"/>
        <w:gridCol w:w="5662"/>
      </w:tblGrid>
      <w:tr w:rsidTr="005D2B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EVIDENCE GUIDE</w:t>
            </w:r>
          </w:p>
        </w:tc>
      </w:tr>
      <w:tr w:rsidTr="005D2B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t>The Evidenc</w:t>
            </w:r>
            <w:r w:rsidRPr="00A60C2B">
              <w:t>e Guide provides advice on assessment and must be read in conjunction with the performance criteria, required skills and knowledge, range statement and the Assessment Guidelines for the Training Package.</w:t>
            </w:r>
          </w:p>
        </w:tc>
      </w:tr>
      <w:tr w:rsidTr="005D2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p>
        </w:tc>
      </w:tr>
      <w:tr w:rsidTr="005D2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Critical aspects for asse</w:t>
            </w:r>
            <w:r w:rsidRPr="00A60C2B">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Assessors should ensure that candidates can:</w:t>
            </w:r>
          </w:p>
          <w:p w:rsidR="00000000" w:rsidRPr="00A60C2B" w:rsidP="00A60C2B">
            <w:pPr>
              <w:pStyle w:val="ListBullet"/>
            </w:pPr>
            <w:r w:rsidRPr="00A60C2B">
              <w:t>conduct site and laboratory operations, and analyse test results and observationsto assign a site classification</w:t>
            </w:r>
          </w:p>
          <w:p w:rsidR="00000000" w:rsidRPr="00A60C2B" w:rsidP="00A60C2B">
            <w:pPr>
              <w:pStyle w:val="ListBullet"/>
            </w:pPr>
            <w:r w:rsidRPr="00A60C2B">
              <w:t>read and interpret maps, drawings, specifications and codes of practice</w:t>
            </w:r>
          </w:p>
          <w:p w:rsidR="00000000" w:rsidRPr="00A60C2B" w:rsidP="00A60C2B">
            <w:pPr>
              <w:pStyle w:val="ListBullet"/>
            </w:pPr>
            <w:r w:rsidRPr="00A60C2B">
              <w:t>conduct subsurface explorations and log strata</w:t>
            </w:r>
          </w:p>
          <w:p w:rsidR="00000000" w:rsidRPr="00A60C2B" w:rsidP="00A60C2B">
            <w:pPr>
              <w:pStyle w:val="ListBullet"/>
            </w:pPr>
            <w:r w:rsidRPr="00A60C2B">
              <w:t>conduct insitu testing for site classification purposes</w:t>
            </w:r>
          </w:p>
          <w:p w:rsidR="00000000" w:rsidRPr="00A60C2B" w:rsidP="00A60C2B">
            <w:pPr>
              <w:pStyle w:val="ListBullet"/>
            </w:pPr>
            <w:r w:rsidRPr="00A60C2B">
              <w:t>conduct disturbed and undisturbed sampling</w:t>
            </w:r>
          </w:p>
          <w:p w:rsidR="00000000" w:rsidRPr="00A60C2B" w:rsidP="00A60C2B">
            <w:pPr>
              <w:pStyle w:val="ListBullet"/>
            </w:pPr>
            <w:r w:rsidRPr="00A60C2B">
              <w:t xml:space="preserve">record project details in writing, by </w:t>
            </w:r>
            <w:r w:rsidRPr="00A60C2B">
              <w:t>sketching and photography</w:t>
            </w:r>
          </w:p>
          <w:p w:rsidR="00000000" w:rsidRPr="00A60C2B" w:rsidP="00A60C2B">
            <w:pPr>
              <w:pStyle w:val="ListBullet"/>
            </w:pPr>
            <w:r w:rsidRPr="00A60C2B">
              <w:t>conduct laboratory testing for site classification purposes</w:t>
            </w:r>
          </w:p>
          <w:p w:rsidR="00000000" w:rsidRPr="00A60C2B" w:rsidP="00A60C2B">
            <w:pPr>
              <w:pStyle w:val="ListBullet"/>
            </w:pPr>
            <w:r w:rsidRPr="00A60C2B">
              <w:t>observe, interpret and report atypical situations</w:t>
            </w:r>
          </w:p>
          <w:p w:rsidR="00000000" w:rsidRPr="00A60C2B" w:rsidP="00A60C2B">
            <w:pPr>
              <w:pStyle w:val="ListBullet"/>
            </w:pPr>
            <w:r w:rsidRPr="00A60C2B">
              <w:t>communicate problems to appropriate personnel</w:t>
            </w:r>
          </w:p>
          <w:p w:rsidR="00000000" w:rsidP="00A60C2B">
            <w:pPr>
              <w:pStyle w:val="ListBullet"/>
              <w:rPr>
                <w:lang w:val="en-NZ"/>
              </w:rPr>
            </w:pPr>
            <w:r w:rsidRPr="00A60C2B">
              <w:t>report results to clients using enterprise procedures.</w:t>
            </w:r>
          </w:p>
        </w:tc>
      </w:tr>
      <w:tr w:rsidTr="005D2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Context of and spe</w:t>
            </w:r>
            <w:r w:rsidRPr="00A60C2B">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 xml:space="preserve">This unit of competency is to be assessed in the workplace or simulated workplace environment. </w:t>
            </w:r>
          </w:p>
          <w:p w:rsidR="00000000" w:rsidRPr="00A60C2B" w:rsidP="00A60C2B">
            <w:pPr>
              <w:pStyle w:val="BodyText"/>
            </w:pPr>
            <w:r w:rsidRPr="00A60C2B">
              <w:t>This unit of competency may be assessed with:</w:t>
            </w:r>
          </w:p>
          <w:p w:rsidR="00000000" w:rsidRPr="00A60C2B" w:rsidP="00A60C2B">
            <w:pPr>
              <w:pStyle w:val="ListBullet"/>
            </w:pPr>
            <w:r w:rsidRPr="00A60C2B">
              <w:rPr>
                <w:rStyle w:val="Emphasis"/>
              </w:rPr>
              <w:t>MSL915001A Provide information to customers</w:t>
            </w:r>
          </w:p>
          <w:p w:rsidR="00000000" w:rsidRPr="00A60C2B" w:rsidP="00A60C2B">
            <w:pPr>
              <w:pStyle w:val="ListBullet"/>
            </w:pPr>
            <w:r w:rsidRPr="00A60C2B">
              <w:rPr>
                <w:rStyle w:val="Emphasis"/>
              </w:rPr>
              <w:t>MSL916003A Supervise laboratory operat</w:t>
            </w:r>
            <w:r w:rsidRPr="00A60C2B">
              <w:rPr>
                <w:rStyle w:val="Emphasis"/>
              </w:rPr>
              <w:t>ions in work</w:t>
            </w:r>
            <w:r w:rsidRPr="00A60C2B">
              <w:t>/</w:t>
            </w:r>
            <w:r w:rsidRPr="00A60C2B">
              <w:rPr>
                <w:rStyle w:val="Emphasis"/>
              </w:rPr>
              <w:t>functional area</w:t>
            </w:r>
            <w:r w:rsidRPr="00A60C2B">
              <w:t>.</w:t>
            </w:r>
          </w:p>
          <w:p w:rsidR="00000000" w:rsidRPr="00A60C2B" w:rsidP="00A60C2B">
            <w:pPr>
              <w:pStyle w:val="BodyText"/>
            </w:pPr>
            <w:r w:rsidRPr="00A60C2B">
              <w:t>Resources may include:</w:t>
            </w:r>
          </w:p>
          <w:p w:rsidR="00000000" w:rsidRPr="00A60C2B" w:rsidP="00A60C2B">
            <w:pPr>
              <w:pStyle w:val="ListBullet"/>
            </w:pPr>
            <w:r w:rsidRPr="00A60C2B">
              <w:t>access to building sites, site tools, equipment and materials</w:t>
            </w:r>
          </w:p>
          <w:p w:rsidR="00000000" w:rsidRPr="00A60C2B" w:rsidP="00A60C2B">
            <w:pPr>
              <w:pStyle w:val="ListBullet"/>
            </w:pPr>
            <w:r w:rsidRPr="00A60C2B">
              <w:t>standard construction materials testing laboratory, samples, equipment, materials, test methods and enterprise procedures</w:t>
            </w:r>
          </w:p>
          <w:p w:rsidR="00000000" w:rsidP="00A60C2B">
            <w:pPr>
              <w:pStyle w:val="ListBullet"/>
              <w:rPr>
                <w:lang w:val="en-NZ"/>
              </w:rPr>
            </w:pPr>
            <w:r w:rsidRPr="00A60C2B">
              <w:t>access to more than one workplace or simulated learning environment if the primary workplace or learning environment is unable to provide a suitable range of equipment.</w:t>
            </w:r>
          </w:p>
        </w:tc>
      </w:tr>
      <w:tr w:rsidTr="005D2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It is strongly recommended that assessment is conducted through o</w:t>
            </w:r>
            <w:r w:rsidRPr="00A60C2B">
              <w:t>bservation over time. The timeframe must allow for adequate assessment of operation under all normal and a range of abnormal conditions. Where this is not practical, additional assessment techniques must be used.</w:t>
            </w:r>
          </w:p>
          <w:p w:rsidR="00000000" w:rsidRPr="00A60C2B" w:rsidP="00A60C2B">
            <w:pPr>
              <w:pStyle w:val="BodyText"/>
            </w:pPr>
            <w:r w:rsidRPr="00A60C2B">
              <w:t>The following assessment methods are sugges</w:t>
            </w:r>
            <w:r w:rsidRPr="00A60C2B">
              <w:t>ted:</w:t>
            </w:r>
          </w:p>
          <w:p w:rsidR="00000000" w:rsidRPr="00A60C2B" w:rsidP="00A60C2B">
            <w:pPr>
              <w:pStyle w:val="ListBullet"/>
            </w:pPr>
            <w:r w:rsidRPr="00A60C2B">
              <w:t>review of site classifications and other enterprise documentation prepared by the candidate</w:t>
            </w:r>
          </w:p>
          <w:p w:rsidR="00000000" w:rsidRPr="00A60C2B" w:rsidP="00A60C2B">
            <w:pPr>
              <w:pStyle w:val="ListBullet"/>
            </w:pPr>
            <w:r w:rsidRPr="00A60C2B">
              <w:t>analysis of work completed over a period of time to ensure accurate and consistent work is obtained within required timelines</w:t>
            </w:r>
          </w:p>
          <w:p w:rsidR="00000000" w:rsidRPr="00A60C2B" w:rsidP="00A60C2B">
            <w:pPr>
              <w:pStyle w:val="ListBullet"/>
            </w:pPr>
            <w:r w:rsidRPr="00A60C2B">
              <w:t>feedback from peers and supervis</w:t>
            </w:r>
            <w:r w:rsidRPr="00A60C2B">
              <w:t>ors</w:t>
            </w:r>
          </w:p>
          <w:p w:rsidR="00000000" w:rsidRPr="00A60C2B" w:rsidP="00A60C2B">
            <w:pPr>
              <w:pStyle w:val="ListBullet"/>
            </w:pPr>
            <w:r w:rsidRPr="00A60C2B">
              <w:t>use of suitable simulation and/or a range of case studies/scenarios.</w:t>
            </w:r>
          </w:p>
          <w:p w:rsidR="00000000" w:rsidRPr="00A60C2B" w:rsidP="00A60C2B">
            <w:pPr>
              <w:pStyle w:val="BodyText"/>
            </w:pPr>
            <w:r w:rsidRPr="00A60C2B">
              <w:t xml:space="preserve">In all cases, practical assessment should be supported by questions to assess underpinning knowledge and those aspects of competency which are difficult to assess directly. </w:t>
            </w:r>
          </w:p>
          <w:p w:rsidR="00000000" w:rsidRPr="00A60C2B" w:rsidP="00A60C2B">
            <w:pPr>
              <w:pStyle w:val="BodyText"/>
            </w:pPr>
            <w:r w:rsidRPr="00A60C2B">
              <w:t>Where app</w:t>
            </w:r>
            <w:r w:rsidRPr="00A60C2B">
              <w:t xml:space="preserve">licable, reasonable adjustment must be made to work environments and training situations to accommodate ethnicity, age, gender, demographics and disability. </w:t>
            </w:r>
          </w:p>
          <w:p w:rsidR="00000000" w:rsidRPr="00A60C2B" w:rsidP="00A60C2B">
            <w:pPr>
              <w:pStyle w:val="BodyText"/>
            </w:pPr>
            <w:r w:rsidRPr="00A60C2B">
              <w:t xml:space="preserve">Access must be provided to appropriate learning and/or assessment support when required. </w:t>
            </w:r>
          </w:p>
          <w:p w:rsidR="00000000" w:rsidP="00A60C2B">
            <w:pPr>
              <w:pStyle w:val="BodyText"/>
              <w:rPr>
                <w:lang w:val="en-NZ"/>
              </w:rPr>
            </w:pPr>
            <w:r w:rsidRPr="00A60C2B">
              <w:t>The language, literacy and numeracy demands of assessment should not be greater than those required to undertake the unit of competency in a work like environment.</w:t>
            </w:r>
          </w:p>
        </w:tc>
      </w:tr>
      <w:tr w:rsidTr="005D2B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 xml:space="preserve">Industry representatives have provided the case study below to </w:t>
            </w:r>
            <w:r w:rsidRPr="00A60C2B">
              <w:t>illustrate the practical application of this unit of competency and to show its relevance in a workplace setting.</w:t>
            </w:r>
          </w:p>
          <w:p w:rsidR="00000000" w:rsidRPr="00A60C2B" w:rsidP="00A60C2B">
            <w:pPr>
              <w:pStyle w:val="BodyText"/>
            </w:pPr>
            <w:r w:rsidRPr="00A60C2B">
              <w:rPr>
                <w:rStyle w:val="SpecialBold"/>
              </w:rPr>
              <w:t>Construction materials testing</w:t>
            </w:r>
          </w:p>
          <w:p w:rsidR="00000000" w:rsidRPr="00A60C2B" w:rsidP="00A60C2B">
            <w:pPr>
              <w:pStyle w:val="BodyText"/>
            </w:pPr>
            <w:r w:rsidRPr="00A60C2B">
              <w:t>A geotechnical consultancy company has been contracted to perform a site investigation for the purpose of deter</w:t>
            </w:r>
            <w:r w:rsidRPr="00A60C2B">
              <w:t xml:space="preserve">mining the classification of a building site. The client is a structural engineer who will use the information to design a block of townhouses for the site. The company manager assigns a senior technician to the project along with an experienced tester to </w:t>
            </w:r>
            <w:r w:rsidRPr="00A60C2B">
              <w:t>perform the site work. A second tester will perform the laboratory testing. The senior technician is a signatory for all tests for which the organisation is NATA accredited. They obtain a map of the area and establish that there is no local information ava</w:t>
            </w:r>
            <w:r w:rsidRPr="00A60C2B">
              <w:t xml:space="preserve">ilable on conditions in the immediate vicinity. There are no buried services to be damaged during the investigation. They brief the field tester on the project, specifying the number and suggested locations of boreholes as well as the sampling and testing </w:t>
            </w:r>
            <w:r w:rsidRPr="00A60C2B">
              <w:t>requirements. The field tester performs the site investigation by drilling power auger holes, logging and sampling the strata and performing dynamic cone penetrometer (DCP) tests. They push tubes to obtain undisturbed samples of material that they classify</w:t>
            </w:r>
            <w:r w:rsidRPr="00A60C2B">
              <w:t xml:space="preserve"> as high plasticity clay. They note the presence of uncontrolled fill in one corner of the site, and take several photographs with a digital camera.</w:t>
            </w:r>
          </w:p>
          <w:p w:rsidR="00000000" w:rsidRPr="00A60C2B" w:rsidP="00A60C2B">
            <w:pPr>
              <w:pStyle w:val="BodyText"/>
            </w:pPr>
            <w:r w:rsidRPr="00A60C2B">
              <w:t>When the site investigation is completed, the senior technician inspects the field logs, notes and photogra</w:t>
            </w:r>
            <w:r w:rsidRPr="00A60C2B">
              <w:t>phs and then specifies an appropriate testing program, including shrink-swell tests on the high plasticity clay. Using the shrink-swell test result, they calculate the characteristic surface movement and after reviewing all the data assign a P classificati</w:t>
            </w:r>
            <w:r w:rsidRPr="00A60C2B">
              <w:t xml:space="preserve">on in accordance with AS2870: Residential slabs and footings - Construction. They then prepare a report to the client, including a description of the site, the extent and nature of the investigation, test results and bore logs and the site classification. </w:t>
            </w:r>
            <w:r w:rsidRPr="00A60C2B">
              <w:t>Finally, all documentation relating to the project is filed and stored as a complete record in accordance with NATA, quality assurance and liability requirements. After review by the company manager, the results of the investigation are communicated to the</w:t>
            </w:r>
            <w:r w:rsidRPr="00A60C2B">
              <w:t xml:space="preserve"> client.</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11" w:name="O_103765"/>
      <w:bookmarkEnd w:id="11"/>
      <w:r w:rsidRPr="00A60C2B">
        <w:t>Range Statement</w:t>
      </w:r>
    </w:p>
    <w:tbl>
      <w:tblPr>
        <w:tblW w:w="0" w:type="auto"/>
        <w:tblLayout w:type="fixed"/>
        <w:tblCellMar>
          <w:left w:w="62" w:type="dxa"/>
          <w:right w:w="62" w:type="dxa"/>
        </w:tblCellMar>
        <w:tblLook w:val="0000"/>
      </w:tblPr>
      <w:tblGrid>
        <w:gridCol w:w="3482"/>
        <w:gridCol w:w="5040"/>
      </w:tblGrid>
      <w:tr w:rsidTr="005D2B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RANGE STATEMENT</w:t>
            </w:r>
          </w:p>
        </w:tc>
      </w:tr>
      <w:tr w:rsidTr="005D2B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t>The range statement relates to the unit of competency as a whole. It allows for different work environments and situations that may affect performance. Bold italicised wording, if used in the pe</w:t>
            </w:r>
            <w:r w:rsidRPr="00A60C2B">
              <w:t>rformance criteria, is detailed below. Essential operating conditions that may be present with training and assessment (depending on the work situation, needs of the candidate, accessibility of the item, and local industry and regional contexts) may also b</w:t>
            </w:r>
            <w:r w:rsidRPr="00A60C2B">
              <w:t>e included.</w:t>
            </w:r>
          </w:p>
        </w:tc>
      </w:tr>
      <w:tr w:rsidTr="005D2B1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t>Where reference is made to industry codes of practice, and/or Australian/international standards, it is expected the latest version will be used</w:t>
            </w:r>
          </w:p>
        </w:tc>
      </w:tr>
      <w:tr w:rsidTr="005D2B1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Standards</w:t>
            </w:r>
            <w:r w:rsidRPr="00A60C2B">
              <w:t xml:space="preserve">, </w:t>
            </w:r>
            <w:r w:rsidRPr="00A60C2B">
              <w:rPr>
                <w:rStyle w:val="SpecialBold"/>
              </w:rPr>
              <w:t>codes</w:t>
            </w:r>
            <w:r w:rsidRPr="00A60C2B">
              <w:t xml:space="preserve">, </w:t>
            </w:r>
            <w:r w:rsidRPr="00A60C2B">
              <w:rPr>
                <w:rStyle w:val="SpecialBold"/>
              </w:rPr>
              <w:t>procedures and</w:t>
            </w:r>
            <w:r w:rsidRPr="00A60C2B">
              <w:t>/</w:t>
            </w:r>
            <w:r w:rsidRPr="00A60C2B">
              <w:rPr>
                <w:rStyle w:val="SpecialBold"/>
              </w:rPr>
              <w:t>or enterprise requirements</w:t>
            </w:r>
            <w:r w:rsidRPr="00A60C2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Standards, codes, procedures and/or enterprise requirements may include:</w:t>
            </w:r>
          </w:p>
          <w:p w:rsidR="00000000" w:rsidRPr="00A60C2B" w:rsidP="00A60C2B">
            <w:pPr>
              <w:pStyle w:val="ListBullet"/>
            </w:pPr>
            <w:r w:rsidRPr="00A60C2B">
              <w:t>Australian and international standards, such as:</w:t>
            </w:r>
          </w:p>
          <w:p w:rsidR="00000000" w:rsidRPr="00A60C2B" w:rsidP="00A60C2B">
            <w:pPr>
              <w:pStyle w:val="ListBullet2"/>
            </w:pPr>
            <w:r w:rsidRPr="00A60C2B">
              <w:t>AS ISO 1000-1998 The international system of units (SI) and its application</w:t>
            </w:r>
          </w:p>
          <w:p w:rsidR="00000000" w:rsidRPr="00A60C2B" w:rsidP="00A60C2B">
            <w:pPr>
              <w:pStyle w:val="ListBullet2"/>
            </w:pPr>
            <w:r w:rsidRPr="00A60C2B">
              <w:t>AS ISO 17025-2005 General requirements for the competence of testing and calibration laboratories</w:t>
            </w:r>
          </w:p>
          <w:p w:rsidR="00000000" w:rsidRPr="00A60C2B" w:rsidP="00A60C2B">
            <w:pPr>
              <w:pStyle w:val="ListBullet2"/>
            </w:pPr>
            <w:r w:rsidRPr="00A60C2B">
              <w:t>AS/NZS ISO 14000 Set:2005 Environmental management standards set</w:t>
            </w:r>
          </w:p>
          <w:p w:rsidR="00000000" w:rsidRPr="00A60C2B" w:rsidP="00A60C2B">
            <w:pPr>
              <w:pStyle w:val="ListBullet2"/>
            </w:pPr>
            <w:r w:rsidRPr="00A60C2B">
              <w:t>AS/NZS ISO 9000 Set:2008 Quality management systems set</w:t>
            </w:r>
          </w:p>
          <w:p w:rsidR="00000000" w:rsidRPr="00A60C2B" w:rsidP="00A60C2B">
            <w:pPr>
              <w:pStyle w:val="ListBullet"/>
            </w:pPr>
            <w:r w:rsidRPr="00A60C2B">
              <w:t>calibration and maintenance schedule</w:t>
            </w:r>
            <w:r w:rsidRPr="00A60C2B">
              <w:t>s</w:t>
            </w:r>
          </w:p>
          <w:p w:rsidR="00000000" w:rsidRPr="00A60C2B" w:rsidP="00A60C2B">
            <w:pPr>
              <w:pStyle w:val="ListBullet"/>
            </w:pPr>
            <w:r w:rsidRPr="00A60C2B">
              <w:t>enterprise recording and reporting procedures</w:t>
            </w:r>
          </w:p>
          <w:p w:rsidR="00000000" w:rsidRPr="00A60C2B" w:rsidP="00A60C2B">
            <w:pPr>
              <w:pStyle w:val="ListBullet"/>
            </w:pPr>
            <w:r w:rsidRPr="00A60C2B">
              <w:t>environmental legislation and regulations</w:t>
            </w:r>
          </w:p>
          <w:p w:rsidR="00000000" w:rsidRPr="00A60C2B" w:rsidP="00A60C2B">
            <w:pPr>
              <w:pStyle w:val="ListBullet"/>
            </w:pPr>
            <w:r w:rsidRPr="00A60C2B">
              <w:t>equipment manuals</w:t>
            </w:r>
          </w:p>
          <w:p w:rsidR="00000000" w:rsidRPr="00A60C2B" w:rsidP="00A60C2B">
            <w:pPr>
              <w:pStyle w:val="ListBullet"/>
            </w:pPr>
            <w:r w:rsidRPr="00A60C2B">
              <w:t>equipment startup, operation and shutdown procedures</w:t>
            </w:r>
          </w:p>
          <w:p w:rsidR="00000000" w:rsidRPr="00A60C2B" w:rsidP="00A60C2B">
            <w:pPr>
              <w:pStyle w:val="ListBullet"/>
            </w:pPr>
            <w:r w:rsidRPr="00A60C2B">
              <w:t>industry codes of practice</w:t>
            </w:r>
          </w:p>
          <w:p w:rsidR="00000000" w:rsidRPr="00A60C2B" w:rsidP="00A60C2B">
            <w:pPr>
              <w:pStyle w:val="ListBullet"/>
            </w:pPr>
            <w:r w:rsidRPr="00A60C2B">
              <w:t>material, production and product specifications</w:t>
            </w:r>
          </w:p>
          <w:p w:rsidR="00000000" w:rsidRPr="00A60C2B" w:rsidP="00A60C2B">
            <w:pPr>
              <w:pStyle w:val="ListBullet"/>
            </w:pPr>
            <w:r w:rsidRPr="00A60C2B">
              <w:t>National Association</w:t>
            </w:r>
            <w:r w:rsidRPr="00A60C2B">
              <w:t xml:space="preserve"> of Testing Authorities (NATA) documents regarding construction materials testing</w:t>
            </w:r>
          </w:p>
          <w:p w:rsidR="00000000" w:rsidRPr="00A60C2B" w:rsidP="00A60C2B">
            <w:pPr>
              <w:pStyle w:val="ListBullet"/>
            </w:pPr>
            <w:r w:rsidRPr="00A60C2B">
              <w:t>occupational health and safety (OHS) national standards and codes of practice</w:t>
            </w:r>
          </w:p>
          <w:p w:rsidR="00000000" w:rsidRPr="00A60C2B" w:rsidP="00A60C2B">
            <w:pPr>
              <w:pStyle w:val="ListBullet"/>
            </w:pPr>
            <w:r w:rsidRPr="00A60C2B">
              <w:t>production and laboratory schedules</w:t>
            </w:r>
          </w:p>
          <w:p w:rsidR="00000000" w:rsidRPr="00A60C2B" w:rsidP="00A60C2B">
            <w:pPr>
              <w:pStyle w:val="ListBullet"/>
            </w:pPr>
            <w:r w:rsidRPr="00A60C2B">
              <w:t>quality manuals</w:t>
            </w:r>
          </w:p>
          <w:p w:rsidR="00000000" w:rsidP="00A60C2B">
            <w:pPr>
              <w:pStyle w:val="ListBullet"/>
              <w:rPr>
                <w:lang w:val="en-NZ"/>
              </w:rPr>
            </w:pPr>
            <w:r w:rsidRPr="00A60C2B">
              <w:t>standard operating procedures (SOPs)</w:t>
            </w:r>
          </w:p>
        </w:tc>
      </w:tr>
      <w:tr w:rsidTr="005D2B1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Tools and equipment</w:t>
            </w:r>
            <w:r w:rsidRPr="00A60C2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Tools and equipment used may include:</w:t>
            </w:r>
          </w:p>
          <w:p w:rsidR="00000000" w:rsidRPr="00A60C2B" w:rsidP="00A60C2B">
            <w:pPr>
              <w:pStyle w:val="ListBullet"/>
            </w:pPr>
            <w:r w:rsidRPr="00A60C2B">
              <w:t>hand and power augers</w:t>
            </w:r>
          </w:p>
          <w:p w:rsidR="00000000" w:rsidRPr="00A60C2B" w:rsidP="00A60C2B">
            <w:pPr>
              <w:pStyle w:val="ListBullet"/>
            </w:pPr>
            <w:r w:rsidRPr="00A60C2B">
              <w:t>hand tools, including shovels, scoops, spanners, wrenches and tape measures</w:t>
            </w:r>
          </w:p>
          <w:p w:rsidR="00000000" w:rsidRPr="00A60C2B" w:rsidP="00A60C2B">
            <w:pPr>
              <w:pStyle w:val="ListBullet"/>
            </w:pPr>
            <w:r w:rsidRPr="00A60C2B">
              <w:t>consumables, including sample bags, labels and thin-walled sampling tubes</w:t>
            </w:r>
          </w:p>
          <w:p w:rsidR="00000000" w:rsidRPr="00A60C2B" w:rsidP="00A60C2B">
            <w:pPr>
              <w:pStyle w:val="ListBullet"/>
            </w:pPr>
            <w:r w:rsidRPr="00A60C2B">
              <w:t>documentation, including</w:t>
            </w:r>
            <w:r w:rsidRPr="00A60C2B">
              <w:t xml:space="preserve"> maps, plans and worksheets</w:t>
            </w:r>
          </w:p>
          <w:p w:rsidR="00000000" w:rsidRPr="00A60C2B" w:rsidP="00A60C2B">
            <w:pPr>
              <w:pStyle w:val="ListBullet"/>
            </w:pPr>
            <w:r w:rsidRPr="00A60C2B">
              <w:t>field test equipment, including pocket penetrometer, dynamic cone penetrometers and sand penetrometer</w:t>
            </w:r>
          </w:p>
          <w:p w:rsidR="00000000" w:rsidRPr="00A60C2B" w:rsidP="00A60C2B">
            <w:pPr>
              <w:pStyle w:val="ListBullet"/>
            </w:pPr>
            <w:r w:rsidRPr="00A60C2B">
              <w:t>laboratory equipment, including balances, ovens, liquid limit apparatus, linear shrinkage troughs, vernier calipers, core swel</w:t>
            </w:r>
            <w:r w:rsidRPr="00A60C2B">
              <w:t>l testing cell, and psychrometer</w:t>
            </w:r>
          </w:p>
          <w:p w:rsidR="00000000" w:rsidRPr="00A60C2B" w:rsidP="00A60C2B">
            <w:pPr>
              <w:pStyle w:val="ListBullet"/>
            </w:pPr>
            <w:r w:rsidRPr="00A60C2B">
              <w:t>camera and global positioning system (GPS) receiver</w:t>
            </w:r>
          </w:p>
          <w:p w:rsidR="00000000" w:rsidP="00A60C2B">
            <w:pPr>
              <w:pStyle w:val="ListBullet"/>
              <w:rPr>
                <w:lang w:val="en-NZ"/>
              </w:rPr>
            </w:pPr>
            <w:r w:rsidRPr="00A60C2B">
              <w:t>safety clothing and equipment, including helmet, boots, earmuffs and glasses</w:t>
            </w:r>
          </w:p>
        </w:tc>
      </w:tr>
      <w:tr w:rsidTr="005D2B1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Typical problems</w:t>
            </w:r>
            <w:r w:rsidRPr="00A60C2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Typical problems may include:</w:t>
            </w:r>
          </w:p>
          <w:p w:rsidR="00000000" w:rsidRPr="00A60C2B" w:rsidP="00A60C2B">
            <w:pPr>
              <w:pStyle w:val="ListBullet"/>
            </w:pPr>
            <w:r w:rsidRPr="00A60C2B">
              <w:t>delays in obtaining test results</w:t>
            </w:r>
          </w:p>
          <w:p w:rsidR="00000000" w:rsidRPr="00A60C2B" w:rsidP="00A60C2B">
            <w:pPr>
              <w:pStyle w:val="ListBullet"/>
            </w:pPr>
            <w:r w:rsidRPr="00A60C2B">
              <w:t>damage to services</w:t>
            </w:r>
          </w:p>
          <w:p w:rsidR="00000000" w:rsidRPr="00A60C2B" w:rsidP="00A60C2B">
            <w:pPr>
              <w:pStyle w:val="ListBullet"/>
            </w:pPr>
            <w:r w:rsidRPr="00A60C2B">
              <w:t>displaced, missing and inaccurate survey markers</w:t>
            </w:r>
          </w:p>
          <w:p w:rsidR="00000000" w:rsidRPr="00A60C2B" w:rsidP="00A60C2B">
            <w:pPr>
              <w:pStyle w:val="ListBullet"/>
            </w:pPr>
            <w:r w:rsidRPr="00A60C2B">
              <w:t>misidentification of samples and sampling locations</w:t>
            </w:r>
          </w:p>
          <w:p w:rsidR="00000000" w:rsidRPr="00A60C2B" w:rsidP="00A60C2B">
            <w:pPr>
              <w:pStyle w:val="ListBullet"/>
            </w:pPr>
            <w:r w:rsidRPr="00A60C2B">
              <w:t>equipment breakdown and breakage</w:t>
            </w:r>
          </w:p>
          <w:p w:rsidR="00000000" w:rsidP="00A60C2B">
            <w:pPr>
              <w:pStyle w:val="ListBullet"/>
              <w:rPr>
                <w:lang w:val="en-NZ"/>
              </w:rPr>
            </w:pPr>
            <w:r w:rsidRPr="00A60C2B">
              <w:t>environmental problems and issues, including site access, inclement weather, traffic, wildlife, vegetat</w:t>
            </w:r>
            <w:r w:rsidRPr="00A60C2B">
              <w:t>ion, construction activities and contamination of stormwater</w:t>
            </w:r>
          </w:p>
        </w:tc>
      </w:tr>
      <w:tr w:rsidTr="005D2B1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Occupational health and safety</w:t>
            </w:r>
            <w:r w:rsidRPr="00A60C2B">
              <w:t xml:space="preserve"> (</w:t>
            </w:r>
            <w:r w:rsidRPr="00A60C2B">
              <w:rPr>
                <w:rStyle w:val="SpecialBold"/>
              </w:rPr>
              <w:t>OHS</w:t>
            </w:r>
            <w:r w:rsidRPr="00A60C2B">
              <w:t xml:space="preserve">) </w:t>
            </w:r>
            <w:r w:rsidRPr="00A60C2B">
              <w:rPr>
                <w:rStyle w:val="SpecialBold"/>
              </w:rPr>
              <w:t>and environmental management requirements</w:t>
            </w:r>
            <w:r w:rsidRPr="00A60C2B">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OHS and environmental management requirements:</w:t>
            </w:r>
          </w:p>
          <w:p w:rsidR="00000000" w:rsidRPr="00A60C2B" w:rsidP="00A60C2B">
            <w:pPr>
              <w:pStyle w:val="ListBullet"/>
            </w:pPr>
            <w:r w:rsidRPr="00A60C2B">
              <w:t>all operations must comply with enterprise OHS and environmental m</w:t>
            </w:r>
            <w:r w:rsidRPr="00A60C2B">
              <w:t>anagement requirements, which may be imposed through state/territory or federal legislation - these requirements must not be compromised at any time</w:t>
            </w:r>
          </w:p>
          <w:p w:rsidR="00000000" w:rsidRPr="00A60C2B" w:rsidP="00A60C2B">
            <w:pPr>
              <w:pStyle w:val="ListBullet"/>
            </w:pPr>
            <w:r w:rsidRPr="00A60C2B">
              <w:t>all operations assume the potentially hazardous nature of samples and require standard precautions to be ap</w:t>
            </w:r>
            <w:r w:rsidRPr="00A60C2B">
              <w:t>plied</w:t>
            </w:r>
          </w:p>
          <w:p w:rsidR="00000000" w:rsidRPr="00A60C2B" w:rsidP="00A60C2B">
            <w:pPr>
              <w:pStyle w:val="ListBullet"/>
            </w:pPr>
            <w:r w:rsidRPr="00A60C2B">
              <w:t>where relevant, users should access and apply current industry understanding of infection control issued by the National Health and Medical Research Council (NHMRC) and State and Territory Departments of Health</w:t>
            </w:r>
          </w:p>
        </w:tc>
      </w:tr>
    </w:tbl>
    <w:p w:rsidR="005D2B10" w:rsidP="00A60C2B">
      <w:pPr>
        <w:pStyle w:val="BodyText"/>
      </w:pPr>
    </w:p>
    <w:p w:rsidR="005D2B10" w:rsidP="00A60C2B">
      <w:pPr>
        <w:pStyle w:val="BodyText"/>
      </w:pPr>
    </w:p>
    <w:p w:rsidR="00000000" w:rsidRPr="00A60C2B" w:rsidP="00A60C2B">
      <w:pPr>
        <w:pStyle w:val="Heading1"/>
      </w:pPr>
      <w:bookmarkStart w:id="12" w:name="O_103766"/>
      <w:bookmarkEnd w:id="12"/>
      <w:r w:rsidRPr="00A60C2B">
        <w:t>Unit Sector(s)</w:t>
      </w:r>
    </w:p>
    <w:tbl>
      <w:tblPr>
        <w:tblW w:w="0" w:type="auto"/>
        <w:tblLayout w:type="fixed"/>
        <w:tblCellMar>
          <w:left w:w="62" w:type="dxa"/>
          <w:right w:w="62" w:type="dxa"/>
        </w:tblCellMar>
        <w:tblLook w:val="0000"/>
      </w:tblPr>
      <w:tblGrid>
        <w:gridCol w:w="2619"/>
        <w:gridCol w:w="5903"/>
      </w:tblGrid>
      <w:tr w:rsidTr="005D2B1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r w:rsidRPr="00A60C2B">
              <w:t>Testing</w:t>
            </w: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13" w:name="O_159608"/>
      <w:bookmarkEnd w:id="13"/>
      <w:r w:rsidRPr="00A60C2B">
        <w:t>Competency field</w:t>
      </w:r>
    </w:p>
    <w:tbl>
      <w:tblPr>
        <w:tblW w:w="0" w:type="auto"/>
        <w:tblLayout w:type="fixed"/>
        <w:tblCellMar>
          <w:left w:w="62" w:type="dxa"/>
          <w:right w:w="62" w:type="dxa"/>
        </w:tblCellMar>
        <w:tblLook w:val="0000"/>
      </w:tblPr>
      <w:tblGrid>
        <w:gridCol w:w="2784"/>
        <w:gridCol w:w="5738"/>
      </w:tblGrid>
      <w:tr w:rsidTr="005D2B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p>
        </w:tc>
      </w:tr>
    </w:tbl>
    <w:p w:rsidR="00000000" w:rsidRPr="00A60C2B" w:rsidP="00A60C2B">
      <w:pPr>
        <w:pStyle w:val="BodyText"/>
      </w:pPr>
    </w:p>
    <w:p w:rsidR="00000000" w:rsidRPr="00A60C2B" w:rsidP="00A60C2B">
      <w:pPr>
        <w:pStyle w:val="AllowPageBreak"/>
      </w:pPr>
    </w:p>
    <w:p w:rsidR="00000000" w:rsidRPr="00A60C2B" w:rsidP="00A60C2B">
      <w:pPr>
        <w:pStyle w:val="Heading1"/>
      </w:pPr>
      <w:bookmarkStart w:id="14" w:name="O_159607"/>
      <w:bookmarkEnd w:id="14"/>
      <w:r w:rsidRPr="00A60C2B">
        <w:t>Co-requisite units</w:t>
      </w:r>
    </w:p>
    <w:tbl>
      <w:tblPr>
        <w:tblW w:w="0" w:type="auto"/>
        <w:tblLayout w:type="fixed"/>
        <w:tblCellMar>
          <w:left w:w="62" w:type="dxa"/>
          <w:right w:w="62" w:type="dxa"/>
        </w:tblCellMar>
        <w:tblLook w:val="0000"/>
      </w:tblPr>
      <w:tblGrid>
        <w:gridCol w:w="2641"/>
        <w:gridCol w:w="1322"/>
        <w:gridCol w:w="4559"/>
      </w:tblGrid>
      <w:tr w:rsidTr="005D2B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r w:rsidRPr="00A60C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p>
        </w:tc>
      </w:tr>
      <w:tr w:rsidTr="005D2B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C2B">
            <w:pPr>
              <w:pStyle w:val="BodyText"/>
              <w:rPr>
                <w:lang w:val="en-NZ"/>
              </w:rPr>
            </w:pPr>
          </w:p>
        </w:tc>
      </w:tr>
      <w:tr w:rsidTr="005D2B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C2B" w:rsidP="00A60C2B">
            <w:pPr>
              <w:pStyle w:val="BodyText"/>
            </w:pPr>
          </w:p>
        </w:tc>
      </w:tr>
    </w:tbl>
    <w:p w:rsidR="00000000" w:rsidRPr="00A60C2B" w:rsidP="00A60C2B">
      <w:pPr>
        <w:pStyle w:val="BodyText"/>
      </w:pPr>
    </w:p>
    <w:p w:rsidR="00000000" w:rsidRPr="00A60C2B" w:rsidP="00A60C2B"/>
    <w:sectPr w:rsidSect="00A60C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B10" w:rsidP="005D2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10" w:rsidP="00A60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2B10" w:rsidP="00A60C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2B10" w:rsidP="00A60C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B10" w:rsidP="005D2B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B10" w:rsidP="00A60C2B">
    <w:pPr>
      <w:pStyle w:val="Header"/>
      <w:framePr w:wrap="around"/>
    </w:pPr>
    <w:r>
      <w:fldChar w:fldCharType="begin"/>
    </w:r>
    <w:r>
      <w:instrText xml:space="preserve"> TITLE   \* MERGEFORMAT </w:instrText>
    </w:r>
    <w:r>
      <w:fldChar w:fldCharType="separate"/>
    </w:r>
    <w:r>
      <w:t>MSL976001A Classify building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2B10" w:rsidP="00A60C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04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C8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04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C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0C2B"/>
    <w:pPr>
      <w:spacing w:before="360" w:after="60"/>
      <w:outlineLvl w:val="0"/>
    </w:pPr>
    <w:rPr>
      <w:sz w:val="32"/>
    </w:rPr>
  </w:style>
  <w:style w:type="paragraph" w:styleId="Heading2">
    <w:name w:val="heading 2"/>
    <w:basedOn w:val="HeadingBase"/>
    <w:next w:val="BodyText"/>
    <w:link w:val="Heading2Char"/>
    <w:qFormat/>
    <w:rsid w:val="00A60C2B"/>
    <w:pPr>
      <w:keepLines/>
      <w:spacing w:before="240" w:after="120"/>
      <w:outlineLvl w:val="1"/>
    </w:pPr>
    <w:rPr>
      <w:sz w:val="28"/>
      <w:szCs w:val="40"/>
    </w:rPr>
  </w:style>
  <w:style w:type="paragraph" w:styleId="Heading3">
    <w:name w:val="heading 3"/>
    <w:basedOn w:val="HeadingBase"/>
    <w:next w:val="BodyText"/>
    <w:link w:val="Heading3Char"/>
    <w:qFormat/>
    <w:rsid w:val="00A60C2B"/>
    <w:pPr>
      <w:spacing w:before="180" w:after="120"/>
      <w:outlineLvl w:val="2"/>
    </w:pPr>
    <w:rPr>
      <w:spacing w:val="-10"/>
      <w:kern w:val="32"/>
    </w:rPr>
  </w:style>
  <w:style w:type="paragraph" w:styleId="Heading4">
    <w:name w:val="heading 4"/>
    <w:basedOn w:val="HeadingBase"/>
    <w:next w:val="BodyText"/>
    <w:link w:val="Heading4Char"/>
    <w:qFormat/>
    <w:rsid w:val="00A60C2B"/>
    <w:pPr>
      <w:spacing w:before="160" w:after="120"/>
      <w:outlineLvl w:val="3"/>
    </w:pPr>
    <w:rPr>
      <w:sz w:val="22"/>
    </w:rPr>
  </w:style>
  <w:style w:type="paragraph" w:styleId="Heading5">
    <w:name w:val="heading 5"/>
    <w:basedOn w:val="HeadingBase"/>
    <w:next w:val="Normal"/>
    <w:link w:val="Heading5Char"/>
    <w:qFormat/>
    <w:rsid w:val="00A60C2B"/>
    <w:pPr>
      <w:spacing w:before="80"/>
      <w:outlineLvl w:val="4"/>
    </w:pPr>
    <w:rPr>
      <w:color w:val="918585"/>
      <w:sz w:val="20"/>
    </w:rPr>
  </w:style>
  <w:style w:type="paragraph" w:styleId="Heading6">
    <w:name w:val="heading 6"/>
    <w:basedOn w:val="HeadingBase"/>
    <w:next w:val="Normal"/>
    <w:link w:val="Heading6Char"/>
    <w:qFormat/>
    <w:rsid w:val="00A60C2B"/>
    <w:pPr>
      <w:spacing w:before="60"/>
      <w:outlineLvl w:val="5"/>
    </w:pPr>
    <w:rPr>
      <w:color w:val="918585"/>
      <w:sz w:val="20"/>
    </w:rPr>
  </w:style>
  <w:style w:type="paragraph" w:styleId="Heading7">
    <w:name w:val="heading 7"/>
    <w:basedOn w:val="Normal"/>
    <w:next w:val="Normal"/>
    <w:link w:val="Heading7Char"/>
    <w:qFormat/>
    <w:rsid w:val="00A60C2B"/>
    <w:pPr>
      <w:ind w:left="720"/>
      <w:outlineLvl w:val="6"/>
    </w:pPr>
    <w:rPr>
      <w:i/>
    </w:rPr>
  </w:style>
  <w:style w:type="paragraph" w:styleId="Heading8">
    <w:name w:val="heading 8"/>
    <w:basedOn w:val="Normal"/>
    <w:next w:val="Normal"/>
    <w:link w:val="Heading8Char"/>
    <w:qFormat/>
    <w:rsid w:val="00A60C2B"/>
    <w:pPr>
      <w:ind w:left="720"/>
      <w:outlineLvl w:val="7"/>
    </w:pPr>
    <w:rPr>
      <w:i/>
    </w:rPr>
  </w:style>
  <w:style w:type="paragraph" w:styleId="Heading9">
    <w:name w:val="heading 9"/>
    <w:basedOn w:val="Normal"/>
    <w:next w:val="Normal"/>
    <w:link w:val="Heading9Char"/>
    <w:qFormat/>
    <w:rsid w:val="00A60C2B"/>
    <w:pPr>
      <w:ind w:left="720"/>
      <w:outlineLvl w:val="8"/>
    </w:pPr>
    <w:rPr>
      <w:i/>
    </w:rPr>
  </w:style>
  <w:style w:type="character" w:default="1" w:styleId="DefaultParagraphFont">
    <w:name w:val="Default Paragraph Font"/>
    <w:uiPriority w:val="1"/>
    <w:unhideWhenUsed/>
    <w:rsid w:val="00A60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C2B"/>
  </w:style>
  <w:style w:type="character" w:customStyle="1" w:styleId="Heading1Char">
    <w:name w:val="Heading 1 Char"/>
    <w:basedOn w:val="DefaultParagraphFont"/>
    <w:link w:val="Heading1"/>
    <w:rsid w:val="00A60C2B"/>
    <w:rPr>
      <w:rFonts w:ascii="Times New Roman" w:eastAsia="Times New Roman" w:hAnsi="Times New Roman" w:cs="Times New Roman"/>
      <w:b/>
      <w:sz w:val="32"/>
      <w:szCs w:val="20"/>
      <w:lang w:eastAsia="en-US"/>
    </w:rPr>
  </w:style>
  <w:style w:type="paragraph" w:styleId="BodyText">
    <w:name w:val="Body Text"/>
    <w:basedOn w:val="Normal"/>
    <w:link w:val="BodyTextChar"/>
    <w:rsid w:val="00A60C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0C2B"/>
    <w:rPr>
      <w:rFonts w:ascii="Times New Roman" w:eastAsia="Times New Roman" w:hAnsi="Times New Roman" w:cs="Times New Roman"/>
      <w:sz w:val="24"/>
      <w:lang w:val="en-US" w:eastAsia="en-US"/>
    </w:rPr>
  </w:style>
  <w:style w:type="paragraph" w:styleId="Footer">
    <w:name w:val="footer"/>
    <w:basedOn w:val="Normal"/>
    <w:link w:val="FooterChar"/>
    <w:rsid w:val="00A60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C2B"/>
    <w:rPr>
      <w:rFonts w:ascii="Times New Roman" w:eastAsia="Times New Roman" w:hAnsi="Times New Roman" w:cs="Times New Roman"/>
      <w:sz w:val="16"/>
      <w:lang w:val="en-US" w:eastAsia="en-US"/>
    </w:rPr>
  </w:style>
  <w:style w:type="paragraph" w:styleId="List">
    <w:name w:val="List"/>
    <w:basedOn w:val="BodyText"/>
    <w:next w:val="BodyText"/>
    <w:rsid w:val="00A60C2B"/>
    <w:pPr>
      <w:tabs>
        <w:tab w:val="left" w:pos="340"/>
      </w:tabs>
      <w:spacing w:before="60" w:after="60"/>
      <w:ind w:left="340" w:hanging="340"/>
    </w:pPr>
  </w:style>
  <w:style w:type="paragraph" w:styleId="ListBullet">
    <w:name w:val="List Bullet"/>
    <w:basedOn w:val="List"/>
    <w:rsid w:val="00A60C2B"/>
    <w:pPr>
      <w:numPr>
        <w:numId w:val="13"/>
      </w:numPr>
      <w:tabs>
        <w:tab w:val="clear" w:pos="340"/>
      </w:tabs>
      <w:spacing w:before="40" w:after="40"/>
    </w:pPr>
  </w:style>
  <w:style w:type="character" w:customStyle="1" w:styleId="SpecialBold">
    <w:name w:val="Special Bold"/>
    <w:basedOn w:val="DefaultParagraphFont"/>
    <w:rsid w:val="00A60C2B"/>
    <w:rPr>
      <w:b/>
      <w:spacing w:val="0"/>
    </w:rPr>
  </w:style>
  <w:style w:type="paragraph" w:styleId="ListBullet2">
    <w:name w:val="List Bullet 2"/>
    <w:basedOn w:val="List2"/>
    <w:rsid w:val="00A60C2B"/>
    <w:pPr>
      <w:numPr>
        <w:numId w:val="14"/>
      </w:numPr>
      <w:tabs>
        <w:tab w:val="clear" w:pos="680"/>
      </w:tabs>
    </w:pPr>
  </w:style>
  <w:style w:type="paragraph" w:styleId="Header">
    <w:name w:val="header"/>
    <w:basedOn w:val="Normal"/>
    <w:link w:val="HeaderChar"/>
    <w:rsid w:val="00A60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C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0C2B"/>
    <w:rPr>
      <w:i/>
    </w:rPr>
  </w:style>
  <w:style w:type="paragraph" w:customStyle="1" w:styleId="SuperHeading">
    <w:name w:val="SuperHeading"/>
    <w:basedOn w:val="Normal"/>
    <w:rsid w:val="00A60C2B"/>
    <w:pPr>
      <w:spacing w:before="240" w:after="120"/>
      <w:outlineLvl w:val="0"/>
    </w:pPr>
    <w:rPr>
      <w:rFonts w:ascii="Times New Roman" w:hAnsi="Times New Roman"/>
      <w:b/>
      <w:sz w:val="28"/>
    </w:rPr>
  </w:style>
  <w:style w:type="paragraph" w:customStyle="1" w:styleId="AllowPageBreak">
    <w:name w:val="AllowPageBreak"/>
    <w:rsid w:val="00A60C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0C2B"/>
    <w:pPr>
      <w:tabs>
        <w:tab w:val="left" w:pos="680"/>
      </w:tabs>
      <w:spacing w:before="60" w:after="60"/>
      <w:ind w:left="680" w:hanging="340"/>
    </w:pPr>
  </w:style>
  <w:style w:type="character" w:customStyle="1" w:styleId="BoldandItalics">
    <w:name w:val="Bold and Italics"/>
    <w:qFormat/>
    <w:rsid w:val="00A60C2B"/>
    <w:rPr>
      <w:b/>
      <w:i/>
      <w:u w:val="none"/>
    </w:rPr>
  </w:style>
  <w:style w:type="character" w:customStyle="1" w:styleId="Heading2Char">
    <w:name w:val="Heading 2 Char"/>
    <w:basedOn w:val="DefaultParagraphFont"/>
    <w:link w:val="Heading2"/>
    <w:rsid w:val="00A60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C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0C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0C2B"/>
    <w:rPr>
      <w:rFonts w:ascii="Courier New" w:eastAsia="Times New Roman" w:hAnsi="Courier New" w:cs="Times New Roman"/>
      <w:i/>
      <w:szCs w:val="20"/>
      <w:lang w:val="en-US" w:eastAsia="en-US"/>
    </w:rPr>
  </w:style>
  <w:style w:type="paragraph" w:customStyle="1" w:styleId="HeadingBase">
    <w:name w:val="Heading Base"/>
    <w:rsid w:val="00A60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C2B"/>
    <w:pPr>
      <w:tabs>
        <w:tab w:val="right" w:leader="dot" w:pos="9072"/>
      </w:tabs>
      <w:ind w:left="567"/>
    </w:pPr>
    <w:rPr>
      <w:szCs w:val="22"/>
    </w:rPr>
  </w:style>
  <w:style w:type="paragraph" w:customStyle="1" w:styleId="TOCBase">
    <w:name w:val="TOC Base"/>
    <w:rsid w:val="00A60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C2B"/>
    <w:pPr>
      <w:tabs>
        <w:tab w:val="right" w:leader="dot" w:pos="9072"/>
      </w:tabs>
      <w:spacing w:before="40" w:after="40"/>
      <w:ind w:left="284"/>
    </w:pPr>
    <w:rPr>
      <w:rFonts w:ascii="Times New Roman" w:hAnsi="Times New Roman"/>
    </w:rPr>
  </w:style>
  <w:style w:type="paragraph" w:styleId="TOC1">
    <w:name w:val="toc 1"/>
    <w:basedOn w:val="TOCBase"/>
    <w:next w:val="Normal"/>
    <w:rsid w:val="00A60C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0C2B"/>
    <w:pPr>
      <w:spacing w:before="5040"/>
      <w:jc w:val="center"/>
    </w:pPr>
    <w:rPr>
      <w:sz w:val="48"/>
      <w:szCs w:val="72"/>
      <w:lang w:val="en-US"/>
    </w:rPr>
  </w:style>
  <w:style w:type="character" w:customStyle="1" w:styleId="TitleChar">
    <w:name w:val="Title Char"/>
    <w:basedOn w:val="DefaultParagraphFont"/>
    <w:link w:val="Title"/>
    <w:rsid w:val="00A60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C2B"/>
    <w:pPr>
      <w:tabs>
        <w:tab w:val="left" w:pos="3600"/>
        <w:tab w:val="left" w:pos="3958"/>
      </w:tabs>
    </w:pPr>
  </w:style>
  <w:style w:type="paragraph" w:customStyle="1" w:styleId="Note">
    <w:name w:val="Note"/>
    <w:basedOn w:val="BodyText"/>
    <w:rsid w:val="00A60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C2B"/>
    <w:pPr>
      <w:framePr w:wrap="auto" w:hAnchor="text" w:y="6049"/>
    </w:pPr>
    <w:rPr>
      <w:color w:val="000000"/>
      <w:sz w:val="40"/>
    </w:rPr>
  </w:style>
  <w:style w:type="paragraph" w:customStyle="1" w:styleId="TOCTitle">
    <w:name w:val="TOCTitle"/>
    <w:basedOn w:val="Heading1"/>
    <w:rsid w:val="00A60C2B"/>
    <w:pPr>
      <w:spacing w:after="240"/>
      <w:jc w:val="center"/>
      <w:outlineLvl w:val="9"/>
    </w:pPr>
    <w:rPr>
      <w:caps/>
    </w:rPr>
  </w:style>
  <w:style w:type="paragraph" w:customStyle="1" w:styleId="Version">
    <w:name w:val="Version"/>
    <w:rsid w:val="00A60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C2B"/>
    <w:pPr>
      <w:keepNext w:val="0"/>
      <w:tabs>
        <w:tab w:val="right" w:pos="4176"/>
      </w:tabs>
      <w:ind w:left="198" w:hanging="198"/>
    </w:pPr>
    <w:rPr>
      <w:rFonts w:ascii="Garamond" w:hAnsi="Garamond"/>
    </w:rPr>
  </w:style>
  <w:style w:type="paragraph" w:styleId="IndexHeading">
    <w:name w:val="index heading"/>
    <w:basedOn w:val="Normal"/>
    <w:next w:val="Index1"/>
    <w:semiHidden/>
    <w:rsid w:val="00A60C2B"/>
    <w:pPr>
      <w:spacing w:before="120" w:after="120"/>
    </w:pPr>
    <w:rPr>
      <w:rFonts w:ascii="Arial" w:hAnsi="Arial"/>
      <w:b/>
      <w:color w:val="918585"/>
      <w:sz w:val="24"/>
    </w:rPr>
  </w:style>
  <w:style w:type="paragraph" w:customStyle="1" w:styleId="Chapter">
    <w:name w:val="Chapter"/>
    <w:basedOn w:val="Normal"/>
    <w:rsid w:val="00A60C2B"/>
    <w:pPr>
      <w:spacing w:before="240"/>
    </w:pPr>
    <w:rPr>
      <w:rFonts w:ascii="Times New Roman" w:hAnsi="Times New Roman"/>
      <w:smallCaps/>
      <w:spacing w:val="80"/>
      <w:sz w:val="28"/>
    </w:rPr>
  </w:style>
  <w:style w:type="paragraph" w:customStyle="1" w:styleId="InChapter">
    <w:name w:val="InChapter"/>
    <w:basedOn w:val="Heading3"/>
    <w:rsid w:val="00A60C2B"/>
    <w:pPr>
      <w:spacing w:after="240"/>
      <w:outlineLvl w:val="9"/>
    </w:pPr>
    <w:rPr>
      <w:noProof/>
    </w:rPr>
  </w:style>
  <w:style w:type="paragraph" w:styleId="Index2">
    <w:name w:val="index 2"/>
    <w:basedOn w:val="Normal"/>
    <w:next w:val="Normal"/>
    <w:semiHidden/>
    <w:rsid w:val="00A60C2B"/>
    <w:pPr>
      <w:tabs>
        <w:tab w:val="right" w:pos="4176"/>
      </w:tabs>
      <w:ind w:left="568" w:hanging="284"/>
    </w:pPr>
    <w:rPr>
      <w:rFonts w:ascii="Garamond" w:hAnsi="Garamond"/>
    </w:rPr>
  </w:style>
  <w:style w:type="paragraph" w:customStyle="1" w:styleId="Byline">
    <w:name w:val="Byline"/>
    <w:rsid w:val="00A60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C2B"/>
    <w:pPr>
      <w:tabs>
        <w:tab w:val="clear" w:pos="3600"/>
        <w:tab w:val="clear" w:pos="3958"/>
      </w:tabs>
      <w:jc w:val="right"/>
    </w:pPr>
  </w:style>
  <w:style w:type="paragraph" w:styleId="Caption">
    <w:name w:val="caption"/>
    <w:basedOn w:val="BodyText"/>
    <w:next w:val="Normal"/>
    <w:qFormat/>
    <w:rsid w:val="00A60C2B"/>
    <w:pPr>
      <w:framePr w:w="2268" w:hSpace="181" w:vSpace="181" w:wrap="around" w:vAnchor="text" w:hAnchor="page" w:x="1135" w:y="285" w:anchorLock="1"/>
    </w:pPr>
    <w:rPr>
      <w:i/>
    </w:rPr>
  </w:style>
  <w:style w:type="paragraph" w:customStyle="1" w:styleId="MiniTOCTitle">
    <w:name w:val="MiniTOCTitle"/>
    <w:basedOn w:val="Heading4"/>
    <w:rsid w:val="00A60C2B"/>
    <w:pPr>
      <w:spacing w:before="240"/>
      <w:outlineLvl w:val="9"/>
    </w:pPr>
    <w:rPr>
      <w:noProof/>
      <w:sz w:val="24"/>
    </w:rPr>
  </w:style>
  <w:style w:type="paragraph" w:customStyle="1" w:styleId="MiniTOCItem">
    <w:name w:val="MiniTOCItem"/>
    <w:basedOn w:val="ListBullet"/>
    <w:rsid w:val="00A60C2B"/>
    <w:pPr>
      <w:numPr>
        <w:numId w:val="0"/>
      </w:numPr>
      <w:tabs>
        <w:tab w:val="right" w:leader="dot" w:pos="6521"/>
      </w:tabs>
      <w:spacing w:before="0" w:after="0"/>
    </w:pPr>
  </w:style>
  <w:style w:type="paragraph" w:customStyle="1" w:styleId="TOFTitle">
    <w:name w:val="TOFTitle"/>
    <w:basedOn w:val="TOCTitle"/>
    <w:rsid w:val="00A60C2B"/>
  </w:style>
  <w:style w:type="paragraph" w:styleId="TableofFigures">
    <w:name w:val="table of figures"/>
    <w:basedOn w:val="Normal"/>
    <w:next w:val="Normal"/>
    <w:semiHidden/>
    <w:rsid w:val="00A60C2B"/>
    <w:pPr>
      <w:tabs>
        <w:tab w:val="right" w:leader="dot" w:pos="9072"/>
      </w:tabs>
      <w:ind w:left="970" w:hanging="403"/>
    </w:pPr>
    <w:rPr>
      <w:rFonts w:ascii="Times New Roman" w:hAnsi="Times New Roman"/>
      <w:b/>
    </w:rPr>
  </w:style>
  <w:style w:type="paragraph" w:styleId="ListNumber">
    <w:name w:val="List Number"/>
    <w:basedOn w:val="List"/>
    <w:rsid w:val="00A60C2B"/>
    <w:pPr>
      <w:numPr>
        <w:numId w:val="11"/>
      </w:numPr>
    </w:pPr>
  </w:style>
  <w:style w:type="character" w:customStyle="1" w:styleId="WingdingSymbols">
    <w:name w:val="Wingding Symbols"/>
    <w:rsid w:val="00A60C2B"/>
    <w:rPr>
      <w:rFonts w:ascii="Wingdings" w:hAnsi="Wingdings"/>
    </w:rPr>
  </w:style>
  <w:style w:type="paragraph" w:customStyle="1" w:styleId="TableHeading">
    <w:name w:val="Table Heading"/>
    <w:basedOn w:val="HeadingBase"/>
    <w:rsid w:val="00A60C2B"/>
    <w:pPr>
      <w:keepLines/>
      <w:pBdr>
        <w:bottom w:val="single" w:sz="6" w:space="1" w:color="918585"/>
      </w:pBdr>
      <w:spacing w:before="240"/>
    </w:pPr>
  </w:style>
  <w:style w:type="character" w:customStyle="1" w:styleId="HotSpot">
    <w:name w:val="HotSpot"/>
    <w:rsid w:val="00A60C2B"/>
    <w:rPr>
      <w:color w:val="0033CC"/>
      <w:u w:val="none"/>
    </w:rPr>
  </w:style>
  <w:style w:type="paragraph" w:customStyle="1" w:styleId="BodyTextRight">
    <w:name w:val="Body Text Right"/>
    <w:basedOn w:val="BodyText"/>
    <w:rsid w:val="00A60C2B"/>
    <w:pPr>
      <w:spacing w:before="0" w:after="0"/>
      <w:jc w:val="right"/>
    </w:pPr>
  </w:style>
  <w:style w:type="paragraph" w:styleId="Index3">
    <w:name w:val="index 3"/>
    <w:basedOn w:val="ListNumber2"/>
    <w:next w:val="Normal"/>
    <w:semiHidden/>
    <w:rsid w:val="00A60C2B"/>
    <w:pPr>
      <w:numPr>
        <w:numId w:val="0"/>
      </w:numPr>
      <w:tabs>
        <w:tab w:val="right" w:leader="dot" w:pos="4176"/>
      </w:tabs>
    </w:pPr>
  </w:style>
  <w:style w:type="paragraph" w:styleId="ListNumber2">
    <w:name w:val="List Number 2"/>
    <w:basedOn w:val="List2"/>
    <w:rsid w:val="00A60C2B"/>
    <w:pPr>
      <w:numPr>
        <w:numId w:val="10"/>
      </w:numPr>
      <w:tabs>
        <w:tab w:val="clear" w:pos="1060"/>
      </w:tabs>
    </w:pPr>
  </w:style>
  <w:style w:type="paragraph" w:customStyle="1" w:styleId="MarginNote">
    <w:name w:val="Margin Note"/>
    <w:basedOn w:val="BodyText"/>
    <w:rsid w:val="00A60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C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0C2B"/>
    <w:rPr>
      <w:sz w:val="32"/>
    </w:rPr>
  </w:style>
  <w:style w:type="paragraph" w:customStyle="1" w:styleId="HeadingProcedure">
    <w:name w:val="Heading Procedure"/>
    <w:basedOn w:val="HeadingBase"/>
    <w:next w:val="Normal"/>
    <w:rsid w:val="00A60C2B"/>
    <w:pPr>
      <w:tabs>
        <w:tab w:val="left" w:pos="0"/>
      </w:tabs>
      <w:spacing w:before="120" w:after="60"/>
    </w:pPr>
    <w:rPr>
      <w:i/>
      <w:color w:val="918585"/>
      <w:sz w:val="22"/>
    </w:rPr>
  </w:style>
  <w:style w:type="paragraph" w:customStyle="1" w:styleId="TableBodyText">
    <w:name w:val="Table Body Text"/>
    <w:basedOn w:val="BodyText"/>
    <w:rsid w:val="00A60C2B"/>
    <w:pPr>
      <w:spacing w:before="60" w:after="60"/>
    </w:pPr>
  </w:style>
  <w:style w:type="paragraph" w:styleId="ListContinue">
    <w:name w:val="List Continue"/>
    <w:basedOn w:val="List"/>
    <w:rsid w:val="00A60C2B"/>
    <w:pPr>
      <w:ind w:firstLine="0"/>
    </w:pPr>
  </w:style>
  <w:style w:type="paragraph" w:customStyle="1" w:styleId="ListNote">
    <w:name w:val="List Note"/>
    <w:basedOn w:val="List"/>
    <w:rsid w:val="00A60C2B"/>
    <w:pPr>
      <w:pBdr>
        <w:top w:val="single" w:sz="6" w:space="2" w:color="918585"/>
        <w:bottom w:val="single" w:sz="6" w:space="2" w:color="918585"/>
      </w:pBdr>
      <w:tabs>
        <w:tab w:val="left" w:pos="1021"/>
      </w:tabs>
      <w:ind w:firstLine="0"/>
    </w:pPr>
  </w:style>
  <w:style w:type="paragraph" w:customStyle="1" w:styleId="Warning">
    <w:name w:val="Warning"/>
    <w:basedOn w:val="BodyText"/>
    <w:rsid w:val="00A60C2B"/>
    <w:pPr>
      <w:shd w:val="clear" w:color="auto" w:fill="D9D9D9"/>
      <w:tabs>
        <w:tab w:val="left" w:pos="992"/>
      </w:tabs>
      <w:ind w:left="119" w:right="119"/>
    </w:pPr>
    <w:rPr>
      <w:sz w:val="20"/>
    </w:rPr>
  </w:style>
  <w:style w:type="paragraph" w:customStyle="1" w:styleId="MarginIcons">
    <w:name w:val="Margin Icons"/>
    <w:basedOn w:val="BodyText"/>
    <w:rsid w:val="00A60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C2B"/>
    <w:rPr>
      <w:rFonts w:ascii="Courier New" w:hAnsi="Courier New"/>
    </w:rPr>
  </w:style>
  <w:style w:type="paragraph" w:customStyle="1" w:styleId="NoteBullet">
    <w:name w:val="Note Bullet"/>
    <w:basedOn w:val="Note"/>
    <w:rsid w:val="00A60C2B"/>
    <w:pPr>
      <w:tabs>
        <w:tab w:val="clear" w:pos="680"/>
      </w:tabs>
      <w:spacing w:before="60" w:after="60"/>
    </w:pPr>
  </w:style>
  <w:style w:type="paragraph" w:customStyle="1" w:styleId="SubHeading2">
    <w:name w:val="SubHeading2"/>
    <w:basedOn w:val="HeadingBase"/>
    <w:rsid w:val="00A60C2B"/>
    <w:pPr>
      <w:spacing w:before="240" w:after="60"/>
    </w:pPr>
    <w:rPr>
      <w:sz w:val="20"/>
    </w:rPr>
  </w:style>
  <w:style w:type="paragraph" w:customStyle="1" w:styleId="SubHeading1">
    <w:name w:val="SubHeading1"/>
    <w:basedOn w:val="HeadingBase"/>
    <w:rsid w:val="00A60C2B"/>
    <w:pPr>
      <w:spacing w:before="240" w:after="60"/>
    </w:pPr>
    <w:rPr>
      <w:color w:val="918585"/>
      <w:sz w:val="22"/>
    </w:rPr>
  </w:style>
  <w:style w:type="paragraph" w:customStyle="1" w:styleId="SideHeading">
    <w:name w:val="Side Heading"/>
    <w:basedOn w:val="HeadingBase"/>
    <w:rsid w:val="00A60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C2B"/>
    <w:pPr>
      <w:numPr>
        <w:numId w:val="12"/>
      </w:numPr>
    </w:pPr>
  </w:style>
  <w:style w:type="paragraph" w:styleId="PlainText">
    <w:name w:val="Plain Text"/>
    <w:basedOn w:val="Normal"/>
    <w:link w:val="PlainTextChar"/>
    <w:rsid w:val="00A60C2B"/>
    <w:rPr>
      <w:sz w:val="20"/>
    </w:rPr>
  </w:style>
  <w:style w:type="character" w:customStyle="1" w:styleId="PlainTextChar">
    <w:name w:val="Plain Text Char"/>
    <w:basedOn w:val="DefaultParagraphFont"/>
    <w:link w:val="PlainText"/>
    <w:rsid w:val="00A60C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0C2B"/>
    <w:rPr>
      <w:b/>
      <w:smallCaps/>
    </w:rPr>
  </w:style>
  <w:style w:type="paragraph" w:customStyle="1" w:styleId="TableListNumber">
    <w:name w:val="Table List Number"/>
    <w:basedOn w:val="ListNumber"/>
    <w:rsid w:val="00A60C2B"/>
    <w:pPr>
      <w:numPr>
        <w:numId w:val="0"/>
      </w:numPr>
    </w:pPr>
  </w:style>
  <w:style w:type="paragraph" w:styleId="TOC4">
    <w:name w:val="toc 4"/>
    <w:basedOn w:val="TOCBase"/>
    <w:next w:val="Normal"/>
    <w:semiHidden/>
    <w:rsid w:val="00A60C2B"/>
    <w:pPr>
      <w:tabs>
        <w:tab w:val="right" w:leader="dot" w:pos="9071"/>
      </w:tabs>
      <w:ind w:left="1701"/>
    </w:pPr>
  </w:style>
  <w:style w:type="paragraph" w:customStyle="1" w:styleId="ListAlpha">
    <w:name w:val="List Alpha"/>
    <w:basedOn w:val="List"/>
    <w:rsid w:val="00A60C2B"/>
    <w:pPr>
      <w:numPr>
        <w:numId w:val="9"/>
      </w:numPr>
    </w:pPr>
  </w:style>
  <w:style w:type="paragraph" w:customStyle="1" w:styleId="ListAlpha2">
    <w:name w:val="List Alpha 2"/>
    <w:basedOn w:val="List2"/>
    <w:rsid w:val="00A60C2B"/>
    <w:pPr>
      <w:numPr>
        <w:numId w:val="8"/>
      </w:numPr>
    </w:pPr>
  </w:style>
  <w:style w:type="paragraph" w:styleId="List3">
    <w:name w:val="List 3"/>
    <w:basedOn w:val="BodyText"/>
    <w:rsid w:val="00A60C2B"/>
    <w:pPr>
      <w:tabs>
        <w:tab w:val="left" w:pos="1021"/>
      </w:tabs>
      <w:spacing w:before="60" w:after="60"/>
      <w:ind w:left="1020" w:hanging="340"/>
    </w:pPr>
  </w:style>
  <w:style w:type="paragraph" w:styleId="List4">
    <w:name w:val="List 4"/>
    <w:basedOn w:val="BodyText"/>
    <w:rsid w:val="00A60C2B"/>
    <w:pPr>
      <w:tabs>
        <w:tab w:val="left" w:pos="1361"/>
      </w:tabs>
      <w:spacing w:before="60" w:after="60"/>
      <w:ind w:left="1361" w:hanging="340"/>
    </w:pPr>
  </w:style>
  <w:style w:type="paragraph" w:styleId="List5">
    <w:name w:val="List 5"/>
    <w:basedOn w:val="BodyText"/>
    <w:rsid w:val="00A60C2B"/>
    <w:pPr>
      <w:tabs>
        <w:tab w:val="left" w:pos="1701"/>
      </w:tabs>
      <w:spacing w:before="60" w:after="60"/>
      <w:ind w:left="1701" w:hanging="340"/>
    </w:pPr>
  </w:style>
  <w:style w:type="paragraph" w:styleId="ListBullet3">
    <w:name w:val="List Bullet 3"/>
    <w:basedOn w:val="List3"/>
    <w:rsid w:val="00A60C2B"/>
    <w:pPr>
      <w:numPr>
        <w:numId w:val="15"/>
      </w:numPr>
      <w:tabs>
        <w:tab w:val="clear" w:pos="1021"/>
      </w:tabs>
      <w:ind w:left="1037" w:hanging="357"/>
    </w:pPr>
  </w:style>
  <w:style w:type="paragraph" w:styleId="ListBullet4">
    <w:name w:val="List Bullet 4"/>
    <w:basedOn w:val="List4"/>
    <w:rsid w:val="00A60C2B"/>
    <w:pPr>
      <w:numPr>
        <w:numId w:val="3"/>
      </w:numPr>
    </w:pPr>
  </w:style>
  <w:style w:type="paragraph" w:styleId="ListBullet5">
    <w:name w:val="List Bullet 5"/>
    <w:basedOn w:val="List5"/>
    <w:rsid w:val="00A60C2B"/>
    <w:pPr>
      <w:numPr>
        <w:numId w:val="4"/>
      </w:numPr>
    </w:pPr>
  </w:style>
  <w:style w:type="paragraph" w:styleId="ListContinue2">
    <w:name w:val="List Continue 2"/>
    <w:basedOn w:val="List2"/>
    <w:rsid w:val="00A60C2B"/>
    <w:pPr>
      <w:ind w:firstLine="0"/>
    </w:pPr>
  </w:style>
  <w:style w:type="paragraph" w:styleId="ListContinue3">
    <w:name w:val="List Continue 3"/>
    <w:basedOn w:val="List3"/>
    <w:rsid w:val="00A60C2B"/>
    <w:pPr>
      <w:ind w:left="1021" w:firstLine="0"/>
    </w:pPr>
  </w:style>
  <w:style w:type="paragraph" w:styleId="ListContinue4">
    <w:name w:val="List Continue 4"/>
    <w:basedOn w:val="List4"/>
    <w:rsid w:val="00A60C2B"/>
    <w:pPr>
      <w:ind w:firstLine="0"/>
    </w:pPr>
  </w:style>
  <w:style w:type="paragraph" w:styleId="ListContinue5">
    <w:name w:val="List Continue 5"/>
    <w:basedOn w:val="List5"/>
    <w:rsid w:val="00A60C2B"/>
    <w:pPr>
      <w:ind w:firstLine="0"/>
    </w:pPr>
  </w:style>
  <w:style w:type="paragraph" w:styleId="ListNumber3">
    <w:name w:val="List Number 3"/>
    <w:basedOn w:val="List3"/>
    <w:rsid w:val="00A60C2B"/>
    <w:pPr>
      <w:numPr>
        <w:numId w:val="5"/>
      </w:numPr>
    </w:pPr>
  </w:style>
  <w:style w:type="paragraph" w:styleId="ListNumber4">
    <w:name w:val="List Number 4"/>
    <w:basedOn w:val="List4"/>
    <w:rsid w:val="00A60C2B"/>
    <w:pPr>
      <w:numPr>
        <w:numId w:val="6"/>
      </w:numPr>
    </w:pPr>
  </w:style>
  <w:style w:type="paragraph" w:styleId="ListNumber5">
    <w:name w:val="List Number 5"/>
    <w:basedOn w:val="List5"/>
    <w:rsid w:val="00A60C2B"/>
    <w:pPr>
      <w:numPr>
        <w:numId w:val="7"/>
      </w:numPr>
    </w:pPr>
  </w:style>
  <w:style w:type="paragraph" w:styleId="BlockText">
    <w:name w:val="Block Text"/>
    <w:basedOn w:val="Normal"/>
    <w:rsid w:val="00A60C2B"/>
    <w:pPr>
      <w:spacing w:after="120"/>
      <w:ind w:left="1440" w:right="1440"/>
    </w:pPr>
  </w:style>
  <w:style w:type="character" w:customStyle="1" w:styleId="Subscript">
    <w:name w:val="Subscript"/>
    <w:basedOn w:val="DefaultParagraphFont"/>
    <w:rsid w:val="00A60C2B"/>
    <w:rPr>
      <w:sz w:val="16"/>
      <w:vertAlign w:val="subscript"/>
    </w:rPr>
  </w:style>
  <w:style w:type="character" w:customStyle="1" w:styleId="Superscript">
    <w:name w:val="Superscript"/>
    <w:basedOn w:val="DefaultParagraphFont"/>
    <w:rsid w:val="00A60C2B"/>
    <w:rPr>
      <w:sz w:val="16"/>
      <w:vertAlign w:val="superscript"/>
    </w:rPr>
  </w:style>
  <w:style w:type="character" w:customStyle="1" w:styleId="Symbols">
    <w:name w:val="Symbols"/>
    <w:basedOn w:val="DefaultParagraphFont"/>
    <w:rsid w:val="00A60C2B"/>
    <w:rPr>
      <w:rFonts w:ascii="Symbol" w:hAnsi="Symbol"/>
    </w:rPr>
  </w:style>
  <w:style w:type="character" w:customStyle="1" w:styleId="MenuOptions">
    <w:name w:val="Menu Options"/>
    <w:basedOn w:val="DefaultParagraphFont"/>
    <w:rsid w:val="00A60C2B"/>
    <w:rPr>
      <w:rFonts w:ascii="Arial Narrow" w:hAnsi="Arial Narrow"/>
      <w:smallCaps/>
    </w:rPr>
  </w:style>
  <w:style w:type="character" w:customStyle="1" w:styleId="Buttons">
    <w:name w:val="Buttons"/>
    <w:basedOn w:val="DefaultParagraphFont"/>
    <w:rsid w:val="00A60C2B"/>
    <w:rPr>
      <w:b/>
    </w:rPr>
  </w:style>
  <w:style w:type="character" w:customStyle="1" w:styleId="Underlined">
    <w:name w:val="Underlined"/>
    <w:basedOn w:val="DefaultParagraphFont"/>
    <w:rsid w:val="00A60C2B"/>
    <w:rPr>
      <w:u w:val="single"/>
    </w:rPr>
  </w:style>
  <w:style w:type="paragraph" w:customStyle="1" w:styleId="TableBodyTextRight">
    <w:name w:val="Table Body Text Right"/>
    <w:basedOn w:val="TableBodyText"/>
    <w:rsid w:val="00A60C2B"/>
    <w:pPr>
      <w:widowControl w:val="0"/>
      <w:autoSpaceDE w:val="0"/>
      <w:autoSpaceDN w:val="0"/>
      <w:adjustRightInd w:val="0"/>
      <w:jc w:val="right"/>
    </w:pPr>
    <w:rPr>
      <w:rFonts w:cs="Arial"/>
      <w:szCs w:val="18"/>
    </w:rPr>
  </w:style>
  <w:style w:type="paragraph" w:customStyle="1" w:styleId="CopyrightText">
    <w:name w:val="Copyright Text"/>
    <w:basedOn w:val="BodyText"/>
    <w:rsid w:val="00A60C2B"/>
    <w:rPr>
      <w:sz w:val="18"/>
    </w:rPr>
  </w:style>
  <w:style w:type="paragraph" w:customStyle="1" w:styleId="BodySmallRight">
    <w:name w:val="Body Small Right"/>
    <w:basedOn w:val="BodyTextRight"/>
    <w:rsid w:val="00A60C2B"/>
    <w:rPr>
      <w:sz w:val="18"/>
      <w:szCs w:val="18"/>
    </w:rPr>
  </w:style>
  <w:style w:type="paragraph" w:customStyle="1" w:styleId="MarginEdition">
    <w:name w:val="Margin Edition"/>
    <w:basedOn w:val="MarginNote"/>
    <w:rsid w:val="00A60C2B"/>
    <w:pPr>
      <w:spacing w:before="0" w:after="0"/>
    </w:pPr>
    <w:rPr>
      <w:rFonts w:ascii="Times New Roman" w:hAnsi="Times New Roman"/>
      <w:color w:val="999999"/>
    </w:rPr>
  </w:style>
  <w:style w:type="paragraph" w:customStyle="1" w:styleId="Spacer">
    <w:name w:val="Spacer"/>
    <w:basedOn w:val="Normal"/>
    <w:rsid w:val="00A60C2B"/>
    <w:rPr>
      <w:sz w:val="2"/>
      <w:szCs w:val="2"/>
    </w:rPr>
  </w:style>
  <w:style w:type="character" w:customStyle="1" w:styleId="Small">
    <w:name w:val="Small"/>
    <w:basedOn w:val="DefaultParagraphFont"/>
    <w:rsid w:val="00A60C2B"/>
    <w:rPr>
      <w:sz w:val="16"/>
    </w:rPr>
  </w:style>
  <w:style w:type="paragraph" w:customStyle="1" w:styleId="WideTable">
    <w:name w:val="Wide Table"/>
    <w:basedOn w:val="Normal"/>
    <w:rsid w:val="00A60C2B"/>
    <w:pPr>
      <w:ind w:left="-1418"/>
    </w:pPr>
    <w:rPr>
      <w:sz w:val="2"/>
      <w:szCs w:val="2"/>
    </w:rPr>
  </w:style>
  <w:style w:type="character" w:styleId="PageNumber">
    <w:name w:val="page number"/>
    <w:basedOn w:val="DefaultParagraphFont"/>
    <w:rsid w:val="00A60C2B"/>
  </w:style>
  <w:style w:type="paragraph" w:styleId="Quote">
    <w:name w:val="Quote"/>
    <w:basedOn w:val="Heading1"/>
    <w:link w:val="QuoteChar"/>
    <w:qFormat/>
    <w:rsid w:val="00A60C2B"/>
    <w:rPr>
      <w:b w:val="0"/>
      <w:sz w:val="72"/>
      <w:szCs w:val="72"/>
      <w:lang w:val="en-NZ"/>
    </w:rPr>
  </w:style>
  <w:style w:type="character" w:customStyle="1" w:styleId="QuoteChar">
    <w:name w:val="Quote Char"/>
    <w:basedOn w:val="DefaultParagraphFont"/>
    <w:link w:val="Quote"/>
    <w:rsid w:val="00A60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C2B"/>
    <w:pPr>
      <w:pageBreakBefore/>
    </w:pPr>
  </w:style>
  <w:style w:type="paragraph" w:customStyle="1" w:styleId="Border">
    <w:name w:val="Border"/>
    <w:basedOn w:val="Normal"/>
    <w:qFormat/>
    <w:rsid w:val="00A60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C2B"/>
    <w:rPr>
      <w:b/>
      <w:bCs/>
      <w:i/>
      <w:iCs/>
      <w:color w:val="auto"/>
    </w:rPr>
  </w:style>
  <w:style w:type="paragraph" w:styleId="IntenseQuote">
    <w:name w:val="Intense Quote"/>
    <w:basedOn w:val="Normal"/>
    <w:next w:val="Normal"/>
    <w:link w:val="IntenseQuoteChar"/>
    <w:uiPriority w:val="30"/>
    <w:qFormat/>
    <w:rsid w:val="00A60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C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0C2B"/>
    <w:rPr>
      <w:smallCaps/>
      <w:color w:val="auto"/>
      <w:u w:val="single"/>
    </w:rPr>
  </w:style>
  <w:style w:type="character" w:styleId="IntenseReference">
    <w:name w:val="Intense Reference"/>
    <w:basedOn w:val="DefaultParagraphFont"/>
    <w:uiPriority w:val="32"/>
    <w:qFormat/>
    <w:rsid w:val="00A60C2B"/>
    <w:rPr>
      <w:b/>
      <w:bCs/>
      <w:smallCaps/>
      <w:color w:val="auto"/>
      <w:spacing w:val="5"/>
      <w:u w:val="single"/>
    </w:rPr>
  </w:style>
  <w:style w:type="paragraph" w:customStyle="1" w:styleId="2ColumnHeading">
    <w:name w:val="2Column Heading"/>
    <w:basedOn w:val="BodyText"/>
    <w:qFormat/>
    <w:rsid w:val="00A60C2B"/>
    <w:pPr>
      <w:spacing w:after="60"/>
      <w:ind w:left="-2268"/>
    </w:pPr>
    <w:rPr>
      <w:b/>
    </w:rPr>
  </w:style>
  <w:style w:type="paragraph" w:customStyle="1" w:styleId="Heading1TOC">
    <w:name w:val="Heading1 TOC"/>
    <w:basedOn w:val="Normal"/>
    <w:qFormat/>
    <w:rsid w:val="00A60C2B"/>
    <w:pPr>
      <w:spacing w:before="240" w:after="120"/>
    </w:pPr>
    <w:rPr>
      <w:rFonts w:ascii="Times New Roman" w:hAnsi="Times New Roman"/>
      <w:b/>
      <w:sz w:val="32"/>
    </w:rPr>
  </w:style>
  <w:style w:type="paragraph" w:customStyle="1" w:styleId="Heading2TOC">
    <w:name w:val="Heading2 TOC"/>
    <w:basedOn w:val="Normal"/>
    <w:qFormat/>
    <w:rsid w:val="00A60C2B"/>
    <w:pPr>
      <w:spacing w:before="240" w:after="60"/>
    </w:pPr>
    <w:rPr>
      <w:rFonts w:ascii="Times New Roman" w:hAnsi="Times New Roman"/>
      <w:b/>
      <w:sz w:val="28"/>
    </w:rPr>
  </w:style>
  <w:style w:type="character" w:customStyle="1" w:styleId="Underline">
    <w:name w:val="Underline"/>
    <w:basedOn w:val="DefaultParagraphFont"/>
    <w:qFormat/>
    <w:rsid w:val="00A60C2B"/>
    <w:rPr>
      <w:u w:val="single"/>
    </w:rPr>
  </w:style>
  <w:style w:type="paragraph" w:styleId="BalloonText">
    <w:name w:val="Balloon Text"/>
    <w:basedOn w:val="Normal"/>
    <w:link w:val="BalloonTextChar"/>
    <w:rsid w:val="00A60C2B"/>
    <w:rPr>
      <w:rFonts w:ascii="Tahoma" w:hAnsi="Tahoma" w:cs="Tahoma"/>
      <w:sz w:val="16"/>
      <w:szCs w:val="16"/>
    </w:rPr>
  </w:style>
  <w:style w:type="character" w:customStyle="1" w:styleId="BalloonTextChar">
    <w:name w:val="Balloon Text Char"/>
    <w:basedOn w:val="DefaultParagraphFont"/>
    <w:link w:val="BalloonText"/>
    <w:rsid w:val="00A60C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0C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0C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1980</Words>
  <Characters>12512</Characters>
  <Application>Microsoft Office Word</Application>
  <DocSecurity>0</DocSecurity>
  <Lines>409</Lines>
  <Paragraphs>177</Paragraphs>
  <ScaleCrop>false</ScaleCrop>
  <Company>Author-it Software Corporation Ltd.</Company>
  <LinksUpToDate>false</LinksUpToDate>
  <CharactersWithSpaces>14392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MSL976001A Classify building sites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2012-05-26T18:39:00Z</dcterms:created>
  <dcterms:modified xsi:type="dcterms:W3CDTF">2012-05-26T18:39:00Z</dcterms:modified>
</cp:coreProperties>
</file>