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DF7" w:rsidP="00AB1DF7">
      <w:pPr>
        <w:pStyle w:val="Title"/>
      </w:pPr>
      <w:r>
        <w:fldChar w:fldCharType="begin"/>
      </w:r>
      <w:r>
        <w:instrText xml:space="preserve"> TITLE   \* MERGEFORMAT </w:instrText>
      </w:r>
      <w:r>
        <w:fldChar w:fldCharType="separate"/>
      </w:r>
      <w:r>
        <w:t>MSL975023A Supervise geotechnical site investigations</w:t>
      </w:r>
      <w:r>
        <w:fldChar w:fldCharType="end"/>
      </w:r>
    </w:p>
    <w:p w:rsidR="00AB1DF7" w:rsidP="00AB1DF7">
      <w:pPr>
        <w:pStyle w:val="Version"/>
        <w:sectPr w:rsidSect="00AE6C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6CBC" w:rsidP="00AE6CBC">
      <w:pPr>
        <w:pStyle w:val="SuperHeading"/>
      </w:pPr>
      <w:r w:rsidRPr="00AE6CBC">
        <w:t>MSL975023A Supervise geotechnical site investigations</w:t>
      </w:r>
    </w:p>
    <w:p w:rsidR="00000000" w:rsidRPr="00AE6CBC" w:rsidP="00AE6CBC">
      <w:pPr>
        <w:pStyle w:val="SuperHeading"/>
      </w:pPr>
    </w:p>
    <w:p w:rsidR="00000000" w:rsidRPr="00AE6CBC" w:rsidP="00AE6CBC">
      <w:pPr>
        <w:pStyle w:val="Heading1"/>
      </w:pPr>
      <w:bookmarkStart w:id="1" w:name="O_103743"/>
      <w:bookmarkEnd w:id="1"/>
      <w:r w:rsidRPr="00AE6CBC">
        <w:t>Modification History</w:t>
      </w:r>
    </w:p>
    <w:p w:rsidR="00000000" w:rsidRPr="00AE6CBC" w:rsidP="00AE6CBC">
      <w:pPr>
        <w:pStyle w:val="BodyText"/>
      </w:pPr>
      <w:r w:rsidRPr="00AE6CBC">
        <w:t>Not applicable.</w:t>
      </w:r>
    </w:p>
    <w:p w:rsidR="00000000" w:rsidRPr="00AE6CBC" w:rsidP="00AE6CBC">
      <w:pPr>
        <w:pStyle w:val="AllowPageBreak"/>
      </w:pPr>
    </w:p>
    <w:p w:rsidR="00000000" w:rsidRPr="00AE6CBC" w:rsidP="00AE6CBC">
      <w:pPr>
        <w:pStyle w:val="Heading1"/>
      </w:pPr>
      <w:bookmarkStart w:id="2" w:name="O_103744"/>
      <w:bookmarkEnd w:id="2"/>
      <w:r w:rsidRPr="00AE6CBC">
        <w:t>Unit Descriptor</w:t>
      </w:r>
    </w:p>
    <w:tbl>
      <w:tblPr>
        <w:tblW w:w="0" w:type="auto"/>
        <w:tblLayout w:type="fixed"/>
        <w:tblCellMar>
          <w:left w:w="62" w:type="dxa"/>
          <w:right w:w="62" w:type="dxa"/>
        </w:tblCellMar>
        <w:tblLook w:val="0000"/>
      </w:tblPr>
      <w:tblGrid>
        <w:gridCol w:w="2693"/>
        <w:gridCol w:w="5863"/>
      </w:tblGrid>
      <w:tr w:rsidTr="00AB1DF7">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This unit of competency covers the ability to supervise and direct geotechnical sit</w:t>
            </w:r>
            <w:r w:rsidRPr="00AE6CBC">
              <w:t>e investigations based on observation and testing. The unit involves confirming the scope of the investigation, liaising with site personnel and coordinating geotechnical sampling and testing activities, collecting reliable data and reporting results. Pers</w:t>
            </w:r>
            <w:r w:rsidRPr="00AE6CBC">
              <w:t>onnel are also expected to interpret results in the field, provide reliable advice to clients, recognise and rectify obvious errors or unexpected results and troubleshoot common problems.</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3" w:name="O_103745"/>
      <w:bookmarkEnd w:id="3"/>
      <w:r w:rsidRPr="00AE6CBC">
        <w:t>Application of the Unit</w:t>
      </w:r>
    </w:p>
    <w:tbl>
      <w:tblPr>
        <w:tblW w:w="0" w:type="auto"/>
        <w:tblLayout w:type="fixed"/>
        <w:tblCellMar>
          <w:left w:w="62" w:type="dxa"/>
          <w:right w:w="62" w:type="dxa"/>
        </w:tblCellMar>
        <w:tblLook w:val="0000"/>
      </w:tblPr>
      <w:tblGrid>
        <w:gridCol w:w="2754"/>
        <w:gridCol w:w="5802"/>
      </w:tblGrid>
      <w:tr w:rsidTr="00AB1DF7">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This unit of competency is applicable to technical officers working in the construction materials testing sector. This unit of competency is typically performed by experienced technicians or engineering paraprofessionals, who often supervise or direct less</w:t>
            </w:r>
            <w:r w:rsidRPr="00AE6CBC">
              <w:t xml:space="preserve"> experienced technical personnel.</w:t>
            </w:r>
          </w:p>
          <w:p w:rsidR="00000000" w:rsidRPr="00AE6CBC" w:rsidP="00AE6CBC">
            <w:pPr>
              <w:pStyle w:val="BodyText"/>
            </w:pPr>
            <w:r w:rsidRPr="00AE6CBC">
              <w:t>Industry representatives have provided case studies to illustrate the practical application of this unit of competency and to show its relevance in a workplace setting. These can be found at the end of this unit of compete</w:t>
            </w:r>
            <w:r w:rsidRPr="00AE6CBC">
              <w:t>ncy under the section 'This competency in practice'.</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4" w:name="O_103746"/>
      <w:bookmarkEnd w:id="4"/>
      <w:r w:rsidRPr="00AE6CBC">
        <w:t>Licensing/Regulatory Information</w:t>
      </w:r>
    </w:p>
    <w:p w:rsidR="00000000" w:rsidRPr="00AE6CBC" w:rsidP="00AE6CBC">
      <w:pPr>
        <w:pStyle w:val="BodyText"/>
      </w:pPr>
      <w:r w:rsidRPr="00AE6CBC">
        <w:t>Not applicable.</w:t>
      </w:r>
    </w:p>
    <w:p w:rsidR="00000000" w:rsidRPr="00AE6CBC" w:rsidP="00AE6CBC">
      <w:pPr>
        <w:pStyle w:val="AllowPageBreak"/>
      </w:pPr>
    </w:p>
    <w:p w:rsidR="00000000" w:rsidRPr="00AE6CBC" w:rsidP="00AE6CBC">
      <w:pPr>
        <w:pStyle w:val="Heading1"/>
      </w:pPr>
      <w:bookmarkStart w:id="5" w:name="O_103748"/>
      <w:bookmarkEnd w:id="5"/>
      <w:r w:rsidRPr="00AE6CBC">
        <w:t>Pre-Requisites</w:t>
      </w:r>
    </w:p>
    <w:tbl>
      <w:tblPr>
        <w:tblW w:w="0" w:type="auto"/>
        <w:tblLayout w:type="fixed"/>
        <w:tblCellMar>
          <w:left w:w="62" w:type="dxa"/>
          <w:right w:w="62" w:type="dxa"/>
        </w:tblCellMar>
        <w:tblLook w:val="0000"/>
      </w:tblPr>
      <w:tblGrid>
        <w:gridCol w:w="2672"/>
        <w:gridCol w:w="2785"/>
        <w:gridCol w:w="3099"/>
      </w:tblGrid>
      <w:tr w:rsidTr="00AB1DF7">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Prerequisite units</w:t>
            </w:r>
          </w:p>
        </w:tc>
        <w:tc>
          <w:tcPr>
            <w:tcW w:w="58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p>
        </w:tc>
      </w:tr>
      <w:tr w:rsidTr="00AB1DF7">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rPr>
                <w:rStyle w:val="Emphasis"/>
              </w:rPr>
              <w:t>MSL974002A</w:t>
            </w:r>
          </w:p>
        </w:tc>
        <w:tc>
          <w:tcPr>
            <w:tcW w:w="3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Emphasis"/>
              </w:rPr>
              <w:t>Conduct geotechnical site investigations</w:t>
            </w:r>
          </w:p>
        </w:tc>
      </w:tr>
      <w:tr w:rsidTr="00AB1DF7">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rPr>
                <w:rStyle w:val="Emphasis"/>
              </w:rPr>
              <w:t>MSL973012A</w:t>
            </w:r>
          </w:p>
        </w:tc>
        <w:tc>
          <w:tcPr>
            <w:tcW w:w="3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rPr>
                <w:rStyle w:val="Emphasis"/>
              </w:rPr>
              <w:t>Assist with geotechnical site investigations</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6" w:name="O_103747"/>
      <w:bookmarkEnd w:id="6"/>
      <w:r w:rsidRPr="00AE6CBC">
        <w:t>Employability Skills Information</w:t>
      </w:r>
    </w:p>
    <w:tbl>
      <w:tblPr>
        <w:tblW w:w="0" w:type="auto"/>
        <w:tblLayout w:type="fixed"/>
        <w:tblCellMar>
          <w:left w:w="62" w:type="dxa"/>
          <w:right w:w="62" w:type="dxa"/>
        </w:tblCellMar>
        <w:tblLook w:val="0000"/>
      </w:tblPr>
      <w:tblGrid>
        <w:gridCol w:w="2795"/>
        <w:gridCol w:w="5761"/>
      </w:tblGrid>
      <w:tr w:rsidTr="00AB1DF7">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Employability skills</w:t>
            </w:r>
          </w:p>
        </w:tc>
        <w:tc>
          <w:tcPr>
            <w:tcW w:w="5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This unit contains employability skills.</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7" w:name="O_103749"/>
      <w:bookmarkEnd w:id="7"/>
      <w:r w:rsidRPr="00AE6CBC">
        <w:t>Elements and Performance Criteria Pre-Content</w:t>
      </w:r>
    </w:p>
    <w:tbl>
      <w:tblPr>
        <w:tblW w:w="0" w:type="auto"/>
        <w:tblLayout w:type="fixed"/>
        <w:tblCellMar>
          <w:left w:w="62" w:type="dxa"/>
          <w:right w:w="62" w:type="dxa"/>
        </w:tblCellMar>
        <w:tblLook w:val="0000"/>
      </w:tblPr>
      <w:tblGrid>
        <w:gridCol w:w="2594"/>
        <w:gridCol w:w="5928"/>
      </w:tblGrid>
      <w:tr w:rsidTr="00AB1DF7">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Performance criteria describe the performance needed to demonstrate achievement of the element. Where bold italicised text is used, further information is detailed in the required skills and</w:t>
            </w:r>
            <w:r w:rsidRPr="00AE6CBC">
              <w:t xml:space="preserve"> knowledge section and the range statement. Assessment of performance is to be consistent with the evidence guide.</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8" w:name="O_103750"/>
      <w:bookmarkEnd w:id="8"/>
      <w:r w:rsidRPr="00AE6CBC">
        <w:t>Elements and Performance Criteria</w:t>
      </w:r>
    </w:p>
    <w:tbl>
      <w:tblPr>
        <w:tblW w:w="0" w:type="auto"/>
        <w:tblLayout w:type="fixed"/>
        <w:tblCellMar>
          <w:left w:w="62" w:type="dxa"/>
          <w:right w:w="62" w:type="dxa"/>
        </w:tblCellMar>
        <w:tblLook w:val="0000"/>
      </w:tblPr>
      <w:tblGrid>
        <w:gridCol w:w="2594"/>
        <w:gridCol w:w="5928"/>
      </w:tblGrid>
      <w:tr w:rsidTr="00AB1DF7">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PERFORMANCE CRITERIA</w:t>
            </w:r>
          </w:p>
        </w:tc>
      </w:tr>
      <w:tr w:rsidTr="00AB1DF7">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List"/>
              <w:rPr>
                <w:lang w:val="en-NZ"/>
              </w:rPr>
            </w:pPr>
            <w:r w:rsidRPr="00AE6CBC">
              <w:t>1.</w:t>
            </w:r>
            <w:r w:rsidRPr="00AE6CBC">
              <w:tab/>
              <w:t>Plan geotechnical investigation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List2"/>
            </w:pPr>
            <w:r w:rsidRPr="00AE6CBC">
              <w:t>1.1.</w:t>
            </w:r>
            <w:r w:rsidRPr="00AE6CBC">
              <w:tab/>
            </w:r>
            <w:r w:rsidRPr="00AE6CBC">
              <w:t>Identify the job, consult with stakeholders and obtain relevant information, including the purpose and scope of the investigation</w:t>
            </w:r>
          </w:p>
          <w:p w:rsidR="00000000" w:rsidRPr="00AE6CBC" w:rsidP="00AE6CBC">
            <w:pPr>
              <w:pStyle w:val="List2"/>
            </w:pPr>
            <w:r w:rsidRPr="00AE6CBC">
              <w:t>1.2.</w:t>
            </w:r>
            <w:r w:rsidRPr="00AE6CBC">
              <w:tab/>
              <w:t>Conduct desktop study of existing site information</w:t>
            </w:r>
          </w:p>
          <w:p w:rsidR="00000000" w:rsidRPr="00AE6CBC" w:rsidP="00AE6CBC">
            <w:pPr>
              <w:pStyle w:val="List2"/>
            </w:pPr>
            <w:r w:rsidRPr="00AE6CBC">
              <w:t>1.3.</w:t>
            </w:r>
            <w:r w:rsidRPr="00AE6CBC">
              <w:tab/>
              <w:t>Inspect the site to determine the characteristics of the project</w:t>
            </w:r>
          </w:p>
          <w:p w:rsidR="00000000" w:rsidRPr="00AE6CBC" w:rsidP="00AE6CBC">
            <w:pPr>
              <w:pStyle w:val="List2"/>
            </w:pPr>
            <w:r w:rsidRPr="00AE6CBC">
              <w:t>1.4.</w:t>
            </w:r>
            <w:r w:rsidRPr="00AE6CBC">
              <w:tab/>
              <w:t>Design inspection, sampling and testing program in accordance with specifications</w:t>
            </w:r>
          </w:p>
          <w:p w:rsidR="00000000" w:rsidRPr="00AE6CBC" w:rsidP="00AE6CBC">
            <w:pPr>
              <w:pStyle w:val="List2"/>
            </w:pPr>
            <w:r w:rsidRPr="00AE6CBC">
              <w:t>1.5.</w:t>
            </w:r>
            <w:r w:rsidRPr="00AE6CBC">
              <w:tab/>
              <w:t xml:space="preserve">Select human and physical resources required for the job </w:t>
            </w:r>
          </w:p>
          <w:p w:rsidR="00000000" w:rsidRPr="00AE6CBC" w:rsidP="00AE6CBC">
            <w:pPr>
              <w:pStyle w:val="List2"/>
            </w:pPr>
            <w:r w:rsidRPr="00AE6CBC">
              <w:t>1.6.</w:t>
            </w:r>
            <w:r w:rsidRPr="00AE6CBC">
              <w:tab/>
              <w:t>Identify site hazards and conduct risk assessment</w:t>
            </w:r>
          </w:p>
          <w:p w:rsidR="00000000" w:rsidRPr="00AE6CBC" w:rsidP="00AE6CBC">
            <w:pPr>
              <w:pStyle w:val="List2"/>
            </w:pPr>
            <w:r w:rsidRPr="00AE6CBC">
              <w:t>1.7.</w:t>
            </w:r>
            <w:r w:rsidRPr="00AE6CBC">
              <w:tab/>
              <w:t>Organise site induction for support personnel,</w:t>
            </w:r>
            <w:r w:rsidRPr="00AE6CBC">
              <w:t xml:space="preserve"> as required</w:t>
            </w:r>
          </w:p>
          <w:p w:rsidR="00000000" w:rsidRPr="00AE6CBC" w:rsidP="00AE6CBC">
            <w:pPr>
              <w:pStyle w:val="List2"/>
            </w:pPr>
            <w:r w:rsidRPr="00AE6CBC">
              <w:t>1.8.</w:t>
            </w:r>
            <w:r w:rsidRPr="00AE6CBC">
              <w:tab/>
              <w:t>Brief support personnel on job-specific requirements</w:t>
            </w:r>
          </w:p>
          <w:p w:rsidR="00000000" w:rsidP="00AE6CBC">
            <w:pPr>
              <w:pStyle w:val="List2"/>
              <w:rPr>
                <w:lang w:val="en-NZ"/>
              </w:rPr>
            </w:pPr>
            <w:r w:rsidRPr="00AE6CBC">
              <w:t>1.9.</w:t>
            </w:r>
            <w:r w:rsidRPr="00AE6CBC">
              <w:tab/>
              <w:t>Ensuring ongoing liaison with stakeholders during project</w:t>
            </w:r>
          </w:p>
        </w:tc>
      </w:tr>
      <w:tr w:rsidTr="00AB1DF7">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List"/>
              <w:rPr>
                <w:lang w:val="en-NZ"/>
              </w:rPr>
            </w:pPr>
            <w:r w:rsidRPr="00AE6CBC">
              <w:t>2.</w:t>
            </w:r>
            <w:r w:rsidRPr="00AE6CBC">
              <w:tab/>
              <w:t>Establish on-site operations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List2"/>
            </w:pPr>
            <w:r w:rsidRPr="00AE6CBC">
              <w:t>2.1.</w:t>
            </w:r>
            <w:r w:rsidRPr="00AE6CBC">
              <w:tab/>
              <w:t>Consult with project personnel to determine methods of communication, roles, respons</w:t>
            </w:r>
            <w:r w:rsidRPr="00AE6CBC">
              <w:t>ibilities and expectations of each party, including identification of potential problems and conflicts</w:t>
            </w:r>
          </w:p>
          <w:p w:rsidR="00000000" w:rsidRPr="00AE6CBC" w:rsidP="00AE6CBC">
            <w:pPr>
              <w:pStyle w:val="List2"/>
            </w:pPr>
            <w:r w:rsidRPr="00AE6CBC">
              <w:t>2.2.</w:t>
            </w:r>
            <w:r w:rsidRPr="00AE6CBC">
              <w:tab/>
              <w:t>Arrange deployment of personnel and resources to site</w:t>
            </w:r>
          </w:p>
          <w:p w:rsidR="00000000" w:rsidP="00AE6CBC">
            <w:pPr>
              <w:pStyle w:val="List2"/>
              <w:rPr>
                <w:lang w:val="en-NZ"/>
              </w:rPr>
            </w:pPr>
            <w:r w:rsidRPr="00AE6CBC">
              <w:t>2.3.</w:t>
            </w:r>
            <w:r w:rsidRPr="00AE6CBC">
              <w:tab/>
              <w:t>Arrange for the physical location of services, as required, and reconcile test locations</w:t>
            </w:r>
          </w:p>
        </w:tc>
      </w:tr>
      <w:tr w:rsidTr="00AB1DF7">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List"/>
              <w:rPr>
                <w:lang w:val="en-NZ"/>
              </w:rPr>
            </w:pPr>
            <w:r w:rsidRPr="00AE6CBC">
              <w:t>3.</w:t>
            </w:r>
            <w:r w:rsidRPr="00AE6CBC">
              <w:tab/>
              <w:t>Coordinate geotechnical sampling and testing</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List2"/>
            </w:pPr>
            <w:r w:rsidRPr="00AE6CBC">
              <w:t>3.1.</w:t>
            </w:r>
            <w:r w:rsidRPr="00AE6CBC">
              <w:tab/>
              <w:t>Ensure sampling and testing is conducted in accordance with project requirements</w:t>
            </w:r>
          </w:p>
          <w:p w:rsidR="00000000" w:rsidRPr="00AE6CBC" w:rsidP="00AE6CBC">
            <w:pPr>
              <w:pStyle w:val="List2"/>
            </w:pPr>
            <w:r w:rsidRPr="00AE6CBC">
              <w:t>3.2.</w:t>
            </w:r>
            <w:r w:rsidRPr="00AE6CBC">
              <w:tab/>
              <w:t>Ensure test data and observations are recorded in accordance with enterprise practices</w:t>
            </w:r>
          </w:p>
          <w:p w:rsidR="00000000" w:rsidRPr="00AE6CBC" w:rsidP="00AE6CBC">
            <w:pPr>
              <w:pStyle w:val="List2"/>
            </w:pPr>
            <w:r w:rsidRPr="00AE6CBC">
              <w:t>3.3.</w:t>
            </w:r>
            <w:r w:rsidRPr="00AE6CBC">
              <w:tab/>
              <w:t>Review the progress of s</w:t>
            </w:r>
            <w:r w:rsidRPr="00AE6CBC">
              <w:t>ampling and testing against the project schedule and provide any feedback to client as required</w:t>
            </w:r>
          </w:p>
          <w:p w:rsidR="00000000" w:rsidRPr="00AE6CBC" w:rsidP="00AE6CBC">
            <w:pPr>
              <w:pStyle w:val="List2"/>
            </w:pPr>
            <w:r w:rsidRPr="00AE6CBC">
              <w:t>3.4.</w:t>
            </w:r>
            <w:r w:rsidRPr="00AE6CBC">
              <w:tab/>
              <w:t>Review samples and field data and schedule testing as required</w:t>
            </w:r>
          </w:p>
          <w:p w:rsidR="00000000" w:rsidP="00AE6CBC">
            <w:pPr>
              <w:pStyle w:val="List2"/>
              <w:rPr>
                <w:lang w:val="en-NZ"/>
              </w:rPr>
            </w:pPr>
            <w:r w:rsidRPr="00AE6CBC">
              <w:t>3.5.</w:t>
            </w:r>
            <w:r w:rsidRPr="00AE6CBC">
              <w:tab/>
              <w:t>Ensure the finalisation of site operations according to project brief or relevant stand</w:t>
            </w:r>
            <w:r w:rsidRPr="00AE6CBC">
              <w:t>ard</w:t>
            </w:r>
          </w:p>
        </w:tc>
      </w:tr>
      <w:tr w:rsidTr="00AB1DF7">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List"/>
              <w:rPr>
                <w:lang w:val="en-NZ"/>
              </w:rPr>
            </w:pPr>
            <w:r w:rsidRPr="00AE6CBC">
              <w:t>4.</w:t>
            </w:r>
            <w:r w:rsidRPr="00AE6CBC">
              <w:tab/>
              <w:t>Analyse project data and report to client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List2"/>
            </w:pPr>
            <w:r w:rsidRPr="00AE6CBC">
              <w:t>4.1.</w:t>
            </w:r>
            <w:r w:rsidRPr="00AE6CBC">
              <w:tab/>
              <w:t>Report test results to site superintendent at specified intervals</w:t>
            </w:r>
          </w:p>
          <w:p w:rsidR="00000000" w:rsidP="00AE6CBC">
            <w:pPr>
              <w:pStyle w:val="List2"/>
              <w:rPr>
                <w:lang w:val="en-NZ"/>
              </w:rPr>
            </w:pPr>
            <w:r w:rsidRPr="00AE6CBC">
              <w:t>4.2.</w:t>
            </w:r>
            <w:r w:rsidRPr="00AE6CBC">
              <w:tab/>
              <w:t>Analyse project data and provide regular reports to the client using the agreed format</w:t>
            </w:r>
          </w:p>
        </w:tc>
      </w:tr>
      <w:tr w:rsidTr="00AB1DF7">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List"/>
              <w:rPr>
                <w:lang w:val="en-NZ"/>
              </w:rPr>
            </w:pPr>
            <w:r w:rsidRPr="00AE6CBC">
              <w:t>5.</w:t>
            </w:r>
            <w:r w:rsidRPr="00AE6CBC">
              <w:tab/>
              <w:t>Maintain enterprise records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List2"/>
            </w:pPr>
            <w:r w:rsidRPr="00AE6CBC">
              <w:t>5.1.</w:t>
            </w:r>
            <w:r w:rsidRPr="00AE6CBC">
              <w:tab/>
              <w:t>Ensure</w:t>
            </w:r>
            <w:r w:rsidRPr="00AE6CBC">
              <w:t xml:space="preserve"> site results are documented in accordance with enterprise practices</w:t>
            </w:r>
          </w:p>
          <w:p w:rsidR="00000000" w:rsidRPr="00AE6CBC" w:rsidP="00AE6CBC">
            <w:pPr>
              <w:pStyle w:val="List2"/>
            </w:pPr>
            <w:r w:rsidRPr="00AE6CBC">
              <w:t>5.2.</w:t>
            </w:r>
            <w:r w:rsidRPr="00AE6CBC">
              <w:tab/>
              <w:t>Maintain security and confidentiality of enterprise information</w:t>
            </w:r>
          </w:p>
          <w:p w:rsidR="00000000" w:rsidP="00AE6CBC">
            <w:pPr>
              <w:pStyle w:val="List2"/>
              <w:rPr>
                <w:lang w:val="en-NZ"/>
              </w:rPr>
            </w:pPr>
            <w:r w:rsidRPr="00AE6CBC">
              <w:t>5.3.</w:t>
            </w:r>
            <w:r w:rsidRPr="00AE6CBC">
              <w:tab/>
              <w:t>Prepare and issue a final project report in accordance with client requirements</w:t>
            </w:r>
          </w:p>
        </w:tc>
      </w:tr>
      <w:tr w:rsidTr="00AB1DF7">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List"/>
              <w:rPr>
                <w:lang w:val="en-NZ"/>
              </w:rPr>
            </w:pPr>
            <w:r w:rsidRPr="00AE6CBC">
              <w:t>6.</w:t>
            </w:r>
            <w:r w:rsidRPr="00AE6CBC">
              <w:tab/>
              <w:t>Promote a safe work environme</w:t>
            </w:r>
            <w:r w:rsidRPr="00AE6CBC">
              <w:t>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List2"/>
            </w:pPr>
            <w:r w:rsidRPr="00AE6CBC">
              <w:t>6.1.</w:t>
            </w:r>
            <w:r w:rsidRPr="00AE6CBC">
              <w:tab/>
              <w:t>Promote the use of safe work procedures and protective equipment</w:t>
            </w:r>
          </w:p>
          <w:p w:rsidR="00000000" w:rsidRPr="00AE6CBC" w:rsidP="00AE6CBC">
            <w:pPr>
              <w:pStyle w:val="List2"/>
            </w:pPr>
            <w:r w:rsidRPr="00AE6CBC">
              <w:t>6.2.</w:t>
            </w:r>
            <w:r w:rsidRPr="00AE6CBC">
              <w:tab/>
              <w:t>Minimise environmental impacts of testing/sampling and generation of waste</w:t>
            </w:r>
          </w:p>
          <w:p w:rsidR="00000000" w:rsidRPr="00AE6CBC" w:rsidP="00AE6CBC">
            <w:pPr>
              <w:pStyle w:val="List2"/>
            </w:pPr>
            <w:r w:rsidRPr="00AE6CBC">
              <w:t>6.3.</w:t>
            </w:r>
            <w:r w:rsidRPr="00AE6CBC">
              <w:tab/>
              <w:t>Promote the collection and disposal of all waste in accordance with enterprise procedures</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9" w:name="O_103751"/>
      <w:bookmarkEnd w:id="9"/>
      <w:r w:rsidRPr="00AE6CBC">
        <w:t>Required Skills and Knowledge</w:t>
      </w:r>
    </w:p>
    <w:tbl>
      <w:tblPr>
        <w:tblW w:w="0" w:type="auto"/>
        <w:tblLayout w:type="fixed"/>
        <w:tblCellMar>
          <w:left w:w="62" w:type="dxa"/>
          <w:right w:w="62" w:type="dxa"/>
        </w:tblCellMar>
        <w:tblLook w:val="0000"/>
      </w:tblPr>
      <w:tblGrid>
        <w:gridCol w:w="8522"/>
      </w:tblGrid>
      <w:tr w:rsidTr="00AB1D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REQUIRED SKILLS AND KNOWLEDGE</w:t>
            </w:r>
          </w:p>
        </w:tc>
      </w:tr>
      <w:tr w:rsidTr="00AB1D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t>This section describes the skills and knowledge required for this unit.</w:t>
            </w:r>
          </w:p>
        </w:tc>
      </w:tr>
      <w:tr w:rsidTr="00AB1D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Required skills</w:t>
            </w:r>
          </w:p>
        </w:tc>
      </w:tr>
      <w:tr w:rsidTr="00AB1D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Required skills include:</w:t>
            </w:r>
          </w:p>
          <w:p w:rsidR="00000000" w:rsidRPr="00AE6CBC" w:rsidP="00AE6CBC">
            <w:pPr>
              <w:pStyle w:val="ListBullet"/>
            </w:pPr>
            <w:r w:rsidRPr="00AE6CBC">
              <w:t>interpreting maps, site plans and drawings</w:t>
            </w:r>
          </w:p>
          <w:p w:rsidR="00000000" w:rsidRPr="00AE6CBC" w:rsidP="00AE6CBC">
            <w:pPr>
              <w:pStyle w:val="ListBullet"/>
            </w:pPr>
            <w:r w:rsidRPr="00AE6CBC">
              <w:t>planning and managing projects</w:t>
            </w:r>
          </w:p>
          <w:p w:rsidR="00000000" w:rsidRPr="00AE6CBC" w:rsidP="00AE6CBC">
            <w:pPr>
              <w:pStyle w:val="ListBullet"/>
            </w:pPr>
            <w:r w:rsidRPr="00AE6CBC">
              <w:t>identifying and locating site services, sampling and testing sites (e.g. using global positioning system (GPS))</w:t>
            </w:r>
          </w:p>
          <w:p w:rsidR="00000000" w:rsidRPr="00AE6CBC" w:rsidP="00AE6CBC">
            <w:pPr>
              <w:pStyle w:val="ListBullet"/>
            </w:pPr>
            <w:r w:rsidRPr="00AE6CBC">
              <w:t>identifying soil, rock and fill materials</w:t>
            </w:r>
          </w:p>
          <w:p w:rsidR="00000000" w:rsidRPr="00AE6CBC" w:rsidP="00AE6CBC">
            <w:pPr>
              <w:pStyle w:val="ListBullet"/>
            </w:pPr>
            <w:r w:rsidRPr="00AE6CBC">
              <w:t>observing, interpreting and reportingsite features and geotechnical con</w:t>
            </w:r>
            <w:r w:rsidRPr="00AE6CBC">
              <w:t>ditions</w:t>
            </w:r>
          </w:p>
          <w:p w:rsidR="00000000" w:rsidRPr="00AE6CBC" w:rsidP="00AE6CBC">
            <w:pPr>
              <w:pStyle w:val="ListBullet"/>
            </w:pPr>
            <w:r w:rsidRPr="00AE6CBC">
              <w:t>maintaining accurate and complete records</w:t>
            </w:r>
          </w:p>
          <w:p w:rsidR="00000000" w:rsidRPr="00AE6CBC" w:rsidP="00AE6CBC">
            <w:pPr>
              <w:pStyle w:val="ListBullet"/>
            </w:pPr>
            <w:r w:rsidRPr="00AE6CBC">
              <w:t>interpreting test data</w:t>
            </w:r>
          </w:p>
          <w:p w:rsidR="00000000" w:rsidRPr="00AE6CBC" w:rsidP="00AE6CBC">
            <w:pPr>
              <w:pStyle w:val="ListBullet"/>
            </w:pPr>
            <w:r w:rsidRPr="00AE6CBC">
              <w:t>resolving problems appropriately</w:t>
            </w:r>
          </w:p>
          <w:p w:rsidR="00000000" w:rsidRPr="00AE6CBC" w:rsidP="00AE6CBC">
            <w:pPr>
              <w:pStyle w:val="ListBullet"/>
            </w:pPr>
            <w:r w:rsidRPr="00AE6CBC">
              <w:t>seeking advice about problems beyond technical competence from appropriate personnel</w:t>
            </w:r>
          </w:p>
          <w:p w:rsidR="00000000" w:rsidRPr="00AE6CBC" w:rsidP="00AE6CBC">
            <w:pPr>
              <w:pStyle w:val="ListBullet"/>
            </w:pPr>
            <w:r w:rsidRPr="00AE6CBC">
              <w:t>driving safely on- and off-road</w:t>
            </w:r>
          </w:p>
          <w:p w:rsidR="00000000" w:rsidRPr="00AE6CBC" w:rsidP="00AE6CBC">
            <w:pPr>
              <w:pStyle w:val="ListBullet"/>
            </w:pPr>
            <w:r w:rsidRPr="00AE6CBC">
              <w:t>working safely on construction sites aroundheavy equipment and earthmoving plant</w:t>
            </w:r>
          </w:p>
          <w:p w:rsidR="00000000" w:rsidRPr="00AE6CBC" w:rsidP="00AE6CBC">
            <w:pPr>
              <w:pStyle w:val="ListBullet"/>
            </w:pPr>
            <w:r w:rsidRPr="00AE6CBC">
              <w:t>report writing</w:t>
            </w:r>
          </w:p>
          <w:p w:rsidR="00000000" w:rsidP="00AE6CBC">
            <w:pPr>
              <w:pStyle w:val="ListBullet"/>
              <w:rPr>
                <w:lang w:val="en-NZ"/>
              </w:rPr>
            </w:pPr>
            <w:r w:rsidRPr="00AE6CBC">
              <w:t>using computer software to create/maintain databases and produce detailed reports</w:t>
            </w:r>
          </w:p>
        </w:tc>
      </w:tr>
      <w:tr w:rsidTr="00AB1D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Required knowledge</w:t>
            </w:r>
          </w:p>
        </w:tc>
      </w:tr>
      <w:tr w:rsidTr="00AB1D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Required knowledge includes:</w:t>
            </w:r>
          </w:p>
          <w:p w:rsidR="00000000" w:rsidRPr="00AE6CBC" w:rsidP="00AE6CBC">
            <w:pPr>
              <w:pStyle w:val="ListBullet"/>
            </w:pPr>
            <w:r w:rsidRPr="00AE6CBC">
              <w:t>the purposes and principles</w:t>
            </w:r>
            <w:r w:rsidRPr="00AE6CBC">
              <w:t xml:space="preserve"> of geotechnical site investigation</w:t>
            </w:r>
          </w:p>
          <w:p w:rsidR="00000000" w:rsidRPr="00AE6CBC" w:rsidP="00AE6CBC">
            <w:pPr>
              <w:pStyle w:val="ListBullet"/>
            </w:pPr>
            <w:r w:rsidRPr="00AE6CBC">
              <w:t>identification and classification of materials</w:t>
            </w:r>
          </w:p>
          <w:p w:rsidR="00000000" w:rsidRPr="00AE6CBC" w:rsidP="00AE6CBC">
            <w:pPr>
              <w:pStyle w:val="ListBullet"/>
            </w:pPr>
            <w:r w:rsidRPr="00AE6CBC">
              <w:t>principles of planning and project management</w:t>
            </w:r>
          </w:p>
          <w:p w:rsidR="00000000" w:rsidRPr="00AE6CBC" w:rsidP="00AE6CBC">
            <w:pPr>
              <w:pStyle w:val="ListBullet"/>
            </w:pPr>
            <w:r w:rsidRPr="00AE6CBC">
              <w:t>engineering properties of soil and rock materials</w:t>
            </w:r>
          </w:p>
          <w:p w:rsidR="00000000" w:rsidRPr="00AE6CBC" w:rsidP="00AE6CBC">
            <w:pPr>
              <w:pStyle w:val="ListBullet"/>
            </w:pPr>
            <w:r w:rsidRPr="00AE6CBC">
              <w:t>representative sampling and testing (both in situ and laboratory)</w:t>
            </w:r>
          </w:p>
          <w:p w:rsidR="00000000" w:rsidRPr="00AE6CBC" w:rsidP="00AE6CBC">
            <w:pPr>
              <w:pStyle w:val="ListBullet"/>
            </w:pPr>
            <w:r w:rsidRPr="00AE6CBC">
              <w:t>uses of engineering materials in civil construction</w:t>
            </w:r>
          </w:p>
          <w:p w:rsidR="00000000" w:rsidRPr="00AE6CBC" w:rsidP="00AE6CBC">
            <w:pPr>
              <w:pStyle w:val="ListBullet"/>
            </w:pPr>
            <w:r w:rsidRPr="00AE6CBC">
              <w:t>civil construction techniques</w:t>
            </w:r>
          </w:p>
          <w:p w:rsidR="00000000" w:rsidRPr="00AE6CBC" w:rsidP="00AE6CBC">
            <w:pPr>
              <w:pStyle w:val="ListBullet"/>
            </w:pPr>
            <w:r w:rsidRPr="00AE6CBC">
              <w:t>relevant health, safety and environment requirements</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10" w:name="O_103752"/>
      <w:bookmarkEnd w:id="10"/>
      <w:r w:rsidRPr="00AE6CBC">
        <w:t>Evidence Guide</w:t>
      </w:r>
    </w:p>
    <w:tbl>
      <w:tblPr>
        <w:tblW w:w="9286" w:type="dxa"/>
        <w:tblLayout w:type="fixed"/>
        <w:tblCellMar>
          <w:left w:w="62" w:type="dxa"/>
          <w:right w:w="62" w:type="dxa"/>
        </w:tblCellMar>
        <w:tblLook w:val="0000"/>
      </w:tblPr>
      <w:tblGrid>
        <w:gridCol w:w="3652"/>
        <w:gridCol w:w="5634"/>
      </w:tblGrid>
      <w:tr w:rsidTr="00AB1DF7">
        <w:tblPrEx>
          <w:tblW w:w="9286" w:type="dxa"/>
          <w:tblLayout w:type="fixed"/>
          <w:tblCellMar>
            <w:left w:w="62" w:type="dxa"/>
            <w:right w:w="62" w:type="dxa"/>
          </w:tblCellMar>
          <w:tblLook w:val="0000"/>
        </w:tblPrEx>
        <w:trPr>
          <w:tblHeader/>
        </w:trPr>
        <w:tc>
          <w:tcPr>
            <w:tcW w:w="928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EVIDENCE GUIDE</w:t>
            </w:r>
          </w:p>
        </w:tc>
      </w:tr>
      <w:tr w:rsidTr="00AB1DF7">
        <w:tblPrEx>
          <w:tblW w:w="9286" w:type="dxa"/>
          <w:tblLayout w:type="fixed"/>
          <w:tblCellMar>
            <w:left w:w="62" w:type="dxa"/>
            <w:right w:w="62" w:type="dxa"/>
          </w:tblCellMar>
          <w:tblLook w:val="0000"/>
        </w:tblPrEx>
        <w:tc>
          <w:tcPr>
            <w:tcW w:w="928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t>The Evidence Guide provides advice on assessment and must be read in conjunction with the performance criteria, required skills and knowledge, range statement and the Assessment Guidelines for the Training Package.</w:t>
            </w:r>
          </w:p>
        </w:tc>
      </w:tr>
      <w:tr w:rsidTr="00AB1DF7">
        <w:tblPrEx>
          <w:tblW w:w="9286"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Overview of assessment</w:t>
            </w:r>
          </w:p>
        </w:tc>
        <w:tc>
          <w:tcPr>
            <w:tcW w:w="5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p>
        </w:tc>
      </w:tr>
      <w:tr w:rsidTr="00AB1DF7">
        <w:tblPrEx>
          <w:tblW w:w="9286"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Critical aspec</w:t>
            </w:r>
            <w:r w:rsidRPr="00AE6CBC">
              <w:rPr>
                <w:rStyle w:val="SpecialBold"/>
              </w:rPr>
              <w:t>ts for assessment and evidence required to demonstrate competency in this unit</w:t>
            </w:r>
          </w:p>
        </w:tc>
        <w:tc>
          <w:tcPr>
            <w:tcW w:w="5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Assessors should ensure that candidates can:</w:t>
            </w:r>
          </w:p>
          <w:p w:rsidR="00000000" w:rsidRPr="00AE6CBC" w:rsidP="00AE6CBC">
            <w:pPr>
              <w:pStyle w:val="ListBullet"/>
            </w:pPr>
            <w:r w:rsidRPr="00AE6CBC">
              <w:t>liaise with stakeholders at various levels of complexity</w:t>
            </w:r>
          </w:p>
          <w:p w:rsidR="00000000" w:rsidRPr="00AE6CBC" w:rsidP="00AE6CBC">
            <w:pPr>
              <w:pStyle w:val="ListBullet"/>
            </w:pPr>
            <w:r w:rsidRPr="00AE6CBC">
              <w:t>plan, coordinate and monitor a diverse range of geotechnical activities</w:t>
            </w:r>
          </w:p>
          <w:p w:rsidR="00000000" w:rsidP="00AE6CBC">
            <w:pPr>
              <w:pStyle w:val="ListBullet"/>
              <w:rPr>
                <w:lang w:val="en-NZ"/>
              </w:rPr>
            </w:pPr>
            <w:r w:rsidRPr="00AE6CBC">
              <w:t>analyse, collate and report geotechnical investigation findings.</w:t>
            </w:r>
          </w:p>
        </w:tc>
      </w:tr>
      <w:tr w:rsidTr="00AB1DF7">
        <w:tblPrEx>
          <w:tblW w:w="9286"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Context of and specific resources for assessment</w:t>
            </w:r>
          </w:p>
        </w:tc>
        <w:tc>
          <w:tcPr>
            <w:tcW w:w="5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This unit of competency is to be assessed in the workplace or simulated workplace environment through observation over time. The timeframe mu</w:t>
            </w:r>
            <w:r w:rsidRPr="00AE6CBC">
              <w:t>st allow for adequate assessment of operation under all normal and a range of abnormal conditions. Where this is not practical, additional assessment techniques must be used.</w:t>
            </w:r>
          </w:p>
          <w:p w:rsidR="00000000" w:rsidRPr="00AE6CBC" w:rsidP="00AE6CBC">
            <w:pPr>
              <w:pStyle w:val="BodyText"/>
            </w:pPr>
            <w:r w:rsidRPr="00AE6CBC">
              <w:t>This unit of competency may be assessed with:</w:t>
            </w:r>
          </w:p>
          <w:p w:rsidR="00000000" w:rsidRPr="00AE6CBC" w:rsidP="00AE6CBC">
            <w:pPr>
              <w:pStyle w:val="ListBullet"/>
            </w:pPr>
            <w:r w:rsidRPr="00AE6CBC">
              <w:rPr>
                <w:rStyle w:val="Emphasis"/>
              </w:rPr>
              <w:t xml:space="preserve">MSL915001A Provide information to </w:t>
            </w:r>
            <w:r w:rsidRPr="00AE6CBC">
              <w:rPr>
                <w:rStyle w:val="Emphasis"/>
              </w:rPr>
              <w:t>customers</w:t>
            </w:r>
          </w:p>
          <w:p w:rsidR="00000000" w:rsidRPr="00AE6CBC" w:rsidP="00AE6CBC">
            <w:pPr>
              <w:pStyle w:val="ListBullet"/>
            </w:pPr>
            <w:r w:rsidRPr="00AE6CBC">
              <w:rPr>
                <w:rStyle w:val="Emphasis"/>
              </w:rPr>
              <w:t>MSL915002ASchedule laboratory work for a small team</w:t>
            </w:r>
          </w:p>
          <w:p w:rsidR="00000000" w:rsidRPr="00AE6CBC" w:rsidP="00AE6CBC">
            <w:pPr>
              <w:pStyle w:val="ListBullet"/>
            </w:pPr>
            <w:r w:rsidRPr="00AE6CBC">
              <w:rPr>
                <w:rStyle w:val="Emphasis"/>
              </w:rPr>
              <w:t>MSL935001A Monitor the quality of test results and data</w:t>
            </w:r>
            <w:r w:rsidRPr="00AE6CBC">
              <w:t>.</w:t>
            </w:r>
          </w:p>
          <w:p w:rsidR="00000000" w:rsidRPr="00AE6CBC" w:rsidP="00AE6CBC">
            <w:pPr>
              <w:pStyle w:val="BodyText"/>
            </w:pPr>
            <w:r w:rsidRPr="00AE6CBC">
              <w:t>Resources may include:</w:t>
            </w:r>
          </w:p>
          <w:p w:rsidR="00000000" w:rsidRPr="00AE6CBC" w:rsidP="00AE6CBC">
            <w:pPr>
              <w:pStyle w:val="ListBullet"/>
            </w:pPr>
            <w:r w:rsidRPr="00AE6CBC">
              <w:t>access to sites, tools and equipment</w:t>
            </w:r>
          </w:p>
          <w:p w:rsidR="00000000" w:rsidP="00AE6CBC">
            <w:pPr>
              <w:pStyle w:val="ListBullet"/>
              <w:rPr>
                <w:lang w:val="en-NZ"/>
              </w:rPr>
            </w:pPr>
            <w:r w:rsidRPr="00AE6CBC">
              <w:t>enterprise procedures, sampling plans, test methods and equipment manuals.</w:t>
            </w:r>
          </w:p>
        </w:tc>
      </w:tr>
      <w:tr w:rsidTr="00AB1DF7">
        <w:tblPrEx>
          <w:tblW w:w="9286"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Method of assessment</w:t>
            </w:r>
          </w:p>
        </w:tc>
        <w:tc>
          <w:tcPr>
            <w:tcW w:w="5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The following assessment methods are suggested:</w:t>
            </w:r>
          </w:p>
          <w:p w:rsidR="00000000" w:rsidRPr="00AE6CBC" w:rsidP="00AE6CBC">
            <w:pPr>
              <w:pStyle w:val="ListBullet"/>
            </w:pPr>
            <w:r w:rsidRPr="00AE6CBC">
              <w:t>review of work outputs over a period of time to ensure accurate and consistent work is obtained within required timelines</w:t>
            </w:r>
          </w:p>
          <w:p w:rsidR="00000000" w:rsidRPr="00AE6CBC" w:rsidP="00AE6CBC">
            <w:pPr>
              <w:pStyle w:val="ListBullet"/>
            </w:pPr>
            <w:r w:rsidRPr="00AE6CBC">
              <w:t xml:space="preserve">examples of completed workplace documentation </w:t>
            </w:r>
          </w:p>
          <w:p w:rsidR="00000000" w:rsidRPr="00AE6CBC" w:rsidP="00AE6CBC">
            <w:pPr>
              <w:pStyle w:val="ListBullet"/>
            </w:pPr>
            <w:r w:rsidRPr="00AE6CBC">
              <w:t>feedback from peers and supervisors</w:t>
            </w:r>
          </w:p>
          <w:p w:rsidR="00000000" w:rsidRPr="00AE6CBC" w:rsidP="00AE6CBC">
            <w:pPr>
              <w:pStyle w:val="ListBullet"/>
            </w:pPr>
            <w:r w:rsidRPr="00AE6CBC">
              <w:t>oral or written questioning.</w:t>
            </w:r>
          </w:p>
          <w:p w:rsidR="00000000" w:rsidRPr="00AE6CBC" w:rsidP="00AE6CBC">
            <w:pPr>
              <w:pStyle w:val="BodyText"/>
            </w:pPr>
            <w:r w:rsidRPr="00AE6CBC">
              <w:t xml:space="preserve">In all cases, practical assessment should be supported by questions to assess underpinning knowledge and those aspects of competency which are difficult to assess directly. </w:t>
            </w:r>
          </w:p>
          <w:p w:rsidR="00000000" w:rsidRPr="00AE6CBC" w:rsidP="00AE6CBC">
            <w:pPr>
              <w:pStyle w:val="BodyText"/>
            </w:pPr>
            <w:r w:rsidRPr="00AE6CBC">
              <w:t>Where applicable,</w:t>
            </w:r>
            <w:r w:rsidRPr="00AE6CBC">
              <w:t xml:space="preserve"> reasonable adjustment must be made to work environments and training situations to accommodate ethnicity, age, gender, demographics and disability. </w:t>
            </w:r>
          </w:p>
          <w:p w:rsidR="00000000" w:rsidRPr="00AE6CBC" w:rsidP="00AE6CBC">
            <w:pPr>
              <w:pStyle w:val="BodyText"/>
            </w:pPr>
            <w:r w:rsidRPr="00AE6CBC">
              <w:t xml:space="preserve">Access must be provided to appropriate learning and/or assessment support when required. </w:t>
            </w:r>
          </w:p>
          <w:p w:rsidR="00000000" w:rsidP="00AE6CBC">
            <w:pPr>
              <w:pStyle w:val="BodyText"/>
              <w:rPr>
                <w:lang w:val="en-NZ"/>
              </w:rPr>
            </w:pPr>
            <w:r w:rsidRPr="00AE6CBC">
              <w:t>The language, li</w:t>
            </w:r>
            <w:r w:rsidRPr="00AE6CBC">
              <w:t>teracy and numeracy demands of assessment should not be greater than those required to undertake the unit of competency in a work like environment.</w:t>
            </w:r>
          </w:p>
        </w:tc>
      </w:tr>
      <w:tr w:rsidTr="00AB1DF7">
        <w:tblPrEx>
          <w:tblW w:w="9286"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This competency in practice</w:t>
            </w:r>
          </w:p>
        </w:tc>
        <w:tc>
          <w:tcPr>
            <w:tcW w:w="5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Industry representatives have provided the case study below to illustrate the p</w:t>
            </w:r>
            <w:r w:rsidRPr="00AE6CBC">
              <w:t>ractical application of this unit of competency and to show its relevance in a workplace setting.</w:t>
            </w:r>
          </w:p>
          <w:p w:rsidR="00000000" w:rsidRPr="00AE6CBC" w:rsidP="00AE6CBC">
            <w:pPr>
              <w:pStyle w:val="BodyText"/>
            </w:pPr>
            <w:r w:rsidRPr="00AE6CBC">
              <w:rPr>
                <w:rStyle w:val="SpecialBold"/>
              </w:rPr>
              <w:t>Construction materials testing</w:t>
            </w:r>
          </w:p>
          <w:p w:rsidR="00000000" w:rsidRPr="00AE6CBC" w:rsidP="00AE6CBC">
            <w:pPr>
              <w:pStyle w:val="BodyText"/>
            </w:pPr>
            <w:r w:rsidRPr="00AE6CBC">
              <w:t xml:space="preserve">The materials laboratory of a large local authority has been requested to investigate a 10 km section of road pavement that shows varying degrees of distress. </w:t>
            </w:r>
          </w:p>
          <w:p w:rsidR="00000000" w:rsidRPr="00AE6CBC" w:rsidP="00AE6CBC">
            <w:pPr>
              <w:pStyle w:val="BodyText"/>
            </w:pPr>
            <w:r w:rsidRPr="00AE6CBC">
              <w:t>As the road is to be rebuilt and upgraded, the supervising engineer requires information to iden</w:t>
            </w:r>
            <w:r w:rsidRPr="00AE6CBC">
              <w:t>tify the reasons for the distress and to inform the design of the new pavement. The investigation will require test pits at 500 m intervals to allow examination of the underlying strata, in situ testing and sampling of existing pavement and sub-grade mater</w:t>
            </w:r>
            <w:r w:rsidRPr="00AE6CBC">
              <w:t>ials. The work will be performed by an experienced technician and a testing assistant, with supervision by a senior technician. The Council's Works Department will provide a backhoe with an operator and traffic management team. The engineer briefs the seni</w:t>
            </w:r>
            <w:r w:rsidRPr="00AE6CBC">
              <w:t>or technician on the scope, purpose and requirements of the investigation and provides himher/ with the available documentation including maps, drawings and previous reports on the project. They refer to relevant ARMIS data, Falling Weight Deflection testi</w:t>
            </w:r>
            <w:r w:rsidRPr="00AE6CBC">
              <w:t>ng and surface defect mapping data. They carry out an on-site reconnaissance to confirm the available data and initial assumptions.</w:t>
            </w:r>
          </w:p>
          <w:p w:rsidR="00000000" w:rsidRPr="00AE6CBC" w:rsidP="00AE6CBC">
            <w:pPr>
              <w:pStyle w:val="BodyText"/>
            </w:pPr>
            <w:r w:rsidRPr="00AE6CBC">
              <w:t>The senior technician conducts a desk study to ensure that he/she understands the full requirements of the project. He/she p</w:t>
            </w:r>
            <w:r w:rsidRPr="00AE6CBC">
              <w:t>lans the on- and off-site activities including locating the relevant services and utilities, arranging for the necessary permits and preparing a health and safety management plan. He/she also plans the excavations, sampling and in situ testing and the labo</w:t>
            </w:r>
            <w:r w:rsidRPr="00AE6CBC">
              <w:t>ratory testing regime. Finally, he/she prepares a GANTT chart showing all activities and the critical control points. The project is expected to take one week to complete.</w:t>
            </w:r>
          </w:p>
          <w:p w:rsidR="00000000" w:rsidRPr="00AE6CBC" w:rsidP="00AE6CBC">
            <w:pPr>
              <w:pStyle w:val="BodyText"/>
            </w:pPr>
            <w:r w:rsidRPr="00AE6CBC">
              <w:t>He/she conducts a briefing session with the relevant stakeholders to nominate job roles and explain the required timelines. The scope of testing requires coring of UCS samples, cutting of asphalt slabs for MATTA testing, Material Quality testing (i.e. grad</w:t>
            </w:r>
            <w:r w:rsidRPr="00AE6CBC">
              <w:t>ings, atterbergs and CBR's) as well as in situ DCP and moisture content testing. PAVSET data is also to be collected onsite.</w:t>
            </w:r>
          </w:p>
          <w:p w:rsidR="00000000" w:rsidRPr="00AE6CBC" w:rsidP="00AE6CBC">
            <w:pPr>
              <w:pStyle w:val="BodyText"/>
            </w:pPr>
            <w:r w:rsidRPr="00AE6CBC">
              <w:t>On completion of the field activities, the senior technician checks the samples and then, if required, adjusts the testing schedule</w:t>
            </w:r>
            <w:r w:rsidRPr="00AE6CBC">
              <w:t xml:space="preserve"> so as to capture enough relevant test data. Once all required testing has been completed and checked, the senior technician collates the test data and summarises it into a report for the project engineer. He/she then meets with the engineer who, after rev</w:t>
            </w:r>
            <w:r w:rsidRPr="00AE6CBC">
              <w:t>iewing the report, finds that a 1 km section of the road needs further sampling and testing because this section is in a known flood plain. The engineer issues a new test request specifying that this section of road requires a sample and test pit every 100</w:t>
            </w:r>
            <w:r w:rsidRPr="00AE6CBC">
              <w:t xml:space="preserve"> m. Previously collected data is to be collated with these new samples.</w:t>
            </w:r>
          </w:p>
          <w:p w:rsidR="00000000" w:rsidRPr="00AE6CBC" w:rsidP="00AE6CBC">
            <w:pPr>
              <w:pStyle w:val="BodyText"/>
            </w:pPr>
            <w:r w:rsidRPr="00AE6CBC">
              <w:t>The senior technician then organises for the added sampling and testing to be included into the laboratory's work schedule, mindful of any new time constraints. After completing the ad</w:t>
            </w:r>
            <w:r w:rsidRPr="00AE6CBC">
              <w:t>ditional testing, he/she collates all the data into a final report for the engineer.</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11" w:name="O_103753"/>
      <w:bookmarkEnd w:id="11"/>
      <w:r w:rsidRPr="00AE6CBC">
        <w:t>Range Statement</w:t>
      </w:r>
    </w:p>
    <w:tbl>
      <w:tblPr>
        <w:tblW w:w="0" w:type="auto"/>
        <w:tblLayout w:type="fixed"/>
        <w:tblCellMar>
          <w:left w:w="62" w:type="dxa"/>
          <w:right w:w="62" w:type="dxa"/>
        </w:tblCellMar>
        <w:tblLook w:val="0000"/>
      </w:tblPr>
      <w:tblGrid>
        <w:gridCol w:w="3363"/>
        <w:gridCol w:w="5159"/>
      </w:tblGrid>
      <w:tr w:rsidTr="00AB1D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RANGE STATEMENT</w:t>
            </w:r>
          </w:p>
        </w:tc>
      </w:tr>
      <w:tr w:rsidTr="00AB1D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t>The range statement relates to the unit of competency as a whole. It allows for different work environments and situat</w:t>
            </w:r>
            <w:r w:rsidRPr="00AE6CBC">
              <w:t>ions that may affect performance. Bold italicised wording, if used in the performance criteria, is detailed below. Essential operating conditions that may be present with training and assessment (depending on the work situation, needs of the candidate, acc</w:t>
            </w:r>
            <w:r w:rsidRPr="00AE6CBC">
              <w:t>essibility of the item, and local industry and regional contexts) may also be included.</w:t>
            </w:r>
          </w:p>
        </w:tc>
      </w:tr>
      <w:tr w:rsidTr="00AB1DF7">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Codes of practice</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t>Where reference is made to industry codes of practice, and/or Australian/international standards, it is expected the latest version will be used</w:t>
            </w:r>
          </w:p>
        </w:tc>
      </w:tr>
      <w:tr w:rsidTr="00AB1DF7">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Standards</w:t>
            </w:r>
            <w:r w:rsidRPr="00AE6CBC">
              <w:t xml:space="preserve">, </w:t>
            </w:r>
            <w:r w:rsidRPr="00AE6CBC">
              <w:rPr>
                <w:rStyle w:val="SpecialBold"/>
              </w:rPr>
              <w:t>codes</w:t>
            </w:r>
            <w:r w:rsidRPr="00AE6CBC">
              <w:t xml:space="preserve">, </w:t>
            </w:r>
            <w:r w:rsidRPr="00AE6CBC">
              <w:rPr>
                <w:rStyle w:val="SpecialBold"/>
              </w:rPr>
              <w:t>procedures and</w:t>
            </w:r>
            <w:r w:rsidRPr="00AE6CBC">
              <w:t>/</w:t>
            </w:r>
            <w:r w:rsidRPr="00AE6CBC">
              <w:rPr>
                <w:rStyle w:val="SpecialBold"/>
              </w:rPr>
              <w:t>or enterprise requirements</w:t>
            </w:r>
            <w:r w:rsidRPr="00AE6CBC">
              <w:t xml:space="preserve"> </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Standards, codes, procedures and/or enterprise requirements may include:</w:t>
            </w:r>
          </w:p>
          <w:p w:rsidR="00000000" w:rsidRPr="00AE6CBC" w:rsidP="00AE6CBC">
            <w:pPr>
              <w:pStyle w:val="ListBullet"/>
            </w:pPr>
            <w:r w:rsidRPr="00AE6CBC">
              <w:t>Australian and international standards, such as:</w:t>
            </w:r>
          </w:p>
          <w:p w:rsidR="00000000" w:rsidRPr="00AE6CBC" w:rsidP="00AE6CBC">
            <w:pPr>
              <w:pStyle w:val="ListBullet2"/>
            </w:pPr>
            <w:r w:rsidRPr="00AE6CBC">
              <w:t>AS ISO 1000-1998 The international system of units (SI) and its applica</w:t>
            </w:r>
            <w:r w:rsidRPr="00AE6CBC">
              <w:t>tion</w:t>
            </w:r>
          </w:p>
          <w:p w:rsidR="00000000" w:rsidRPr="00AE6CBC" w:rsidP="00AE6CBC">
            <w:pPr>
              <w:pStyle w:val="ListBullet2"/>
            </w:pPr>
            <w:r w:rsidRPr="00AE6CBC">
              <w:t>AS ISO 17025-2005 General requirements for the competence of testing and calibration laboratories</w:t>
            </w:r>
          </w:p>
          <w:p w:rsidR="00000000" w:rsidRPr="00AE6CBC" w:rsidP="00AE6CBC">
            <w:pPr>
              <w:pStyle w:val="ListBullet2"/>
            </w:pPr>
            <w:r w:rsidRPr="00AE6CBC">
              <w:t>AS/NZS ISO 14000 Set:2005 Environmental management standards set</w:t>
            </w:r>
          </w:p>
          <w:p w:rsidR="00000000" w:rsidRPr="00AE6CBC" w:rsidP="00AE6CBC">
            <w:pPr>
              <w:pStyle w:val="ListBullet2"/>
            </w:pPr>
            <w:r w:rsidRPr="00AE6CBC">
              <w:t>AS/NZS ISO 9000 Set:2008 Quality management systems set</w:t>
            </w:r>
          </w:p>
          <w:p w:rsidR="00000000" w:rsidRPr="00AE6CBC" w:rsidP="00AE6CBC">
            <w:pPr>
              <w:pStyle w:val="ListBullet"/>
            </w:pPr>
            <w:r w:rsidRPr="00AE6CBC">
              <w:t>calibration and maintenance schedules</w:t>
            </w:r>
          </w:p>
          <w:p w:rsidR="00000000" w:rsidRPr="00AE6CBC" w:rsidP="00AE6CBC">
            <w:pPr>
              <w:pStyle w:val="ListBullet"/>
            </w:pPr>
            <w:r w:rsidRPr="00AE6CBC">
              <w:t>enterprise recording and reporting procedures</w:t>
            </w:r>
          </w:p>
          <w:p w:rsidR="00000000" w:rsidRPr="00AE6CBC" w:rsidP="00AE6CBC">
            <w:pPr>
              <w:pStyle w:val="ListBullet"/>
            </w:pPr>
            <w:r w:rsidRPr="00AE6CBC">
              <w:t>environmental legislation and regulations</w:t>
            </w:r>
          </w:p>
          <w:p w:rsidR="00000000" w:rsidRPr="00AE6CBC" w:rsidP="00AE6CBC">
            <w:pPr>
              <w:pStyle w:val="ListBullet"/>
            </w:pPr>
            <w:r w:rsidRPr="00AE6CBC">
              <w:t>equipment manuals</w:t>
            </w:r>
          </w:p>
          <w:p w:rsidR="00000000" w:rsidRPr="00AE6CBC" w:rsidP="00AE6CBC">
            <w:pPr>
              <w:pStyle w:val="ListBullet"/>
            </w:pPr>
            <w:r w:rsidRPr="00AE6CBC">
              <w:t>equipment startup, operation and shutdown procedures</w:t>
            </w:r>
          </w:p>
          <w:p w:rsidR="00000000" w:rsidRPr="00AE6CBC" w:rsidP="00AE6CBC">
            <w:pPr>
              <w:pStyle w:val="ListBullet"/>
            </w:pPr>
            <w:r w:rsidRPr="00AE6CBC">
              <w:t>industry codes of practice</w:t>
            </w:r>
          </w:p>
          <w:p w:rsidR="00000000" w:rsidRPr="00AE6CBC" w:rsidP="00AE6CBC">
            <w:pPr>
              <w:pStyle w:val="ListBullet"/>
            </w:pPr>
            <w:r w:rsidRPr="00AE6CBC">
              <w:t>laboratory schedules</w:t>
            </w:r>
          </w:p>
          <w:p w:rsidR="00000000" w:rsidRPr="00AE6CBC" w:rsidP="00AE6CBC">
            <w:pPr>
              <w:pStyle w:val="ListBullet"/>
            </w:pPr>
            <w:r w:rsidRPr="00AE6CBC">
              <w:t>material, p</w:t>
            </w:r>
            <w:r w:rsidRPr="00AE6CBC">
              <w:t>roduction and product specifications</w:t>
            </w:r>
          </w:p>
          <w:p w:rsidR="00000000" w:rsidRPr="00AE6CBC" w:rsidP="00AE6CBC">
            <w:pPr>
              <w:pStyle w:val="ListBullet"/>
            </w:pPr>
            <w:r w:rsidRPr="00AE6CBC">
              <w:t>National Association of Testing Authorities (NATA) documents regarding construction materials testing</w:t>
            </w:r>
          </w:p>
          <w:p w:rsidR="00000000" w:rsidRPr="00AE6CBC" w:rsidP="00AE6CBC">
            <w:pPr>
              <w:pStyle w:val="ListBullet"/>
            </w:pPr>
            <w:r w:rsidRPr="00AE6CBC">
              <w:t>occupational health and safety (OHS) national standards and codes of practice</w:t>
            </w:r>
          </w:p>
          <w:p w:rsidR="00000000" w:rsidRPr="00AE6CBC" w:rsidP="00AE6CBC">
            <w:pPr>
              <w:pStyle w:val="ListBullet"/>
            </w:pPr>
            <w:r w:rsidRPr="00AE6CBC">
              <w:t>production and laboratory schedules</w:t>
            </w:r>
          </w:p>
          <w:p w:rsidR="00000000" w:rsidRPr="00AE6CBC" w:rsidP="00AE6CBC">
            <w:pPr>
              <w:pStyle w:val="ListBullet"/>
            </w:pPr>
            <w:r w:rsidRPr="00AE6CBC">
              <w:t>project management methodology</w:t>
            </w:r>
          </w:p>
          <w:p w:rsidR="00000000" w:rsidRPr="00AE6CBC" w:rsidP="00AE6CBC">
            <w:pPr>
              <w:pStyle w:val="ListBullet"/>
            </w:pPr>
            <w:r w:rsidRPr="00AE6CBC">
              <w:t>quality manuals</w:t>
            </w:r>
          </w:p>
          <w:p w:rsidR="00000000" w:rsidP="00AE6CBC">
            <w:pPr>
              <w:pStyle w:val="ListBullet"/>
              <w:rPr>
                <w:lang w:val="en-NZ"/>
              </w:rPr>
            </w:pPr>
            <w:r w:rsidRPr="00AE6CBC">
              <w:t>standard operating procedures (SOPs)</w:t>
            </w:r>
          </w:p>
        </w:tc>
      </w:tr>
      <w:tr w:rsidTr="00AB1DF7">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Site hazards may include</w:t>
            </w:r>
            <w:r w:rsidRPr="00AE6CBC">
              <w:t>:</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Site hazards may include:</w:t>
            </w:r>
          </w:p>
          <w:p w:rsidR="00000000" w:rsidRPr="00AE6CBC" w:rsidP="00AE6CBC">
            <w:pPr>
              <w:pStyle w:val="ListBullet"/>
            </w:pPr>
            <w:r w:rsidRPr="00AE6CBC">
              <w:t>solar radiation, dust and noise</w:t>
            </w:r>
          </w:p>
          <w:p w:rsidR="00000000" w:rsidRPr="00AE6CBC" w:rsidP="00AE6CBC">
            <w:pPr>
              <w:pStyle w:val="ListBullet"/>
            </w:pPr>
            <w:r w:rsidRPr="00AE6CBC">
              <w:t>manual handling of heavy materials and equipment</w:t>
            </w:r>
          </w:p>
          <w:p w:rsidR="00000000" w:rsidRPr="00AE6CBC" w:rsidP="00AE6CBC">
            <w:pPr>
              <w:pStyle w:val="ListBullet"/>
            </w:pPr>
            <w:r w:rsidRPr="00AE6CBC">
              <w:t>working in/on trenches, confined spac</w:t>
            </w:r>
            <w:r w:rsidRPr="00AE6CBC">
              <w:t>es, wet and uneven surfaces, heights and slopes</w:t>
            </w:r>
          </w:p>
          <w:p w:rsidR="00000000" w:rsidP="00AE6CBC">
            <w:pPr>
              <w:pStyle w:val="ListBullet"/>
              <w:rPr>
                <w:lang w:val="en-NZ"/>
              </w:rPr>
            </w:pPr>
            <w:r w:rsidRPr="00AE6CBC">
              <w:t>vehicular and pedestrian traffic</w:t>
            </w:r>
          </w:p>
        </w:tc>
      </w:tr>
      <w:tr w:rsidTr="00AB1DF7">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Safety procedures</w:t>
            </w:r>
            <w:r w:rsidRPr="00AE6CBC">
              <w:t xml:space="preserve"> </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Safety procedures may include:</w:t>
            </w:r>
          </w:p>
          <w:p w:rsidR="00000000" w:rsidRPr="00AE6CBC" w:rsidP="00AE6CBC">
            <w:pPr>
              <w:pStyle w:val="ListBullet"/>
            </w:pPr>
            <w:r w:rsidRPr="00AE6CBC">
              <w:t>location of site services before investigations commence</w:t>
            </w:r>
          </w:p>
          <w:p w:rsidR="00000000" w:rsidRPr="00AE6CBC" w:rsidP="00AE6CBC">
            <w:pPr>
              <w:pStyle w:val="ListBullet"/>
            </w:pPr>
            <w:r w:rsidRPr="00AE6CBC">
              <w:t>use of material safety data sheets (MSDS)</w:t>
            </w:r>
          </w:p>
          <w:p w:rsidR="00000000" w:rsidRPr="00AE6CBC" w:rsidP="00AE6CBC">
            <w:pPr>
              <w:pStyle w:val="ListBullet"/>
            </w:pPr>
            <w:r w:rsidRPr="00AE6CBC">
              <w:t>use of personal protective equipment, such as hard hats, hearing protection, sunscreen, gloves, masks, goggles, coveralls, safety boots and high visibility clothing</w:t>
            </w:r>
          </w:p>
          <w:p w:rsidR="00000000" w:rsidRPr="00AE6CBC" w:rsidP="00AE6CBC">
            <w:pPr>
              <w:pStyle w:val="ListBullet"/>
            </w:pPr>
            <w:r w:rsidRPr="00AE6CBC">
              <w:t>handling, and storage of hazardous materials and equipment in accordance with labels, MSDS,</w:t>
            </w:r>
            <w:r w:rsidRPr="00AE6CBC">
              <w:t xml:space="preserve"> manufacturer's instructions, enterprise procedures and regulations</w:t>
            </w:r>
          </w:p>
          <w:p w:rsidR="00000000" w:rsidRPr="00AE6CBC" w:rsidP="00AE6CBC">
            <w:pPr>
              <w:pStyle w:val="ListBullet"/>
            </w:pPr>
            <w:r w:rsidRPr="00AE6CBC">
              <w:t>regular cleaning of equipment and vehicles</w:t>
            </w:r>
          </w:p>
          <w:p w:rsidR="00000000" w:rsidRPr="00AE6CBC" w:rsidP="00AE6CBC">
            <w:pPr>
              <w:pStyle w:val="ListBullet"/>
            </w:pPr>
            <w:r w:rsidRPr="00AE6CBC">
              <w:t>machinery guards</w:t>
            </w:r>
          </w:p>
          <w:p w:rsidR="00000000" w:rsidP="00AE6CBC">
            <w:pPr>
              <w:pStyle w:val="ListBullet"/>
              <w:rPr>
                <w:lang w:val="en-NZ"/>
              </w:rPr>
            </w:pPr>
            <w:r w:rsidRPr="00AE6CBC">
              <w:t>signage, barriers, flashing lights and traffic control</w:t>
            </w:r>
          </w:p>
        </w:tc>
      </w:tr>
      <w:tr w:rsidTr="00AB1DF7">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Tools and equipment</w:t>
            </w:r>
            <w:r w:rsidRPr="00AE6CBC">
              <w:t xml:space="preserve"> </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Tools and equipment may include:</w:t>
            </w:r>
          </w:p>
          <w:p w:rsidR="00000000" w:rsidRPr="00AE6CBC" w:rsidP="00AE6CBC">
            <w:pPr>
              <w:pStyle w:val="ListBullet"/>
            </w:pPr>
            <w:r w:rsidRPr="00AE6CBC">
              <w:t>excavation equipm</w:t>
            </w:r>
            <w:r w:rsidRPr="00AE6CBC">
              <w:t>ent, hand and power augers</w:t>
            </w:r>
          </w:p>
          <w:p w:rsidR="00000000" w:rsidRPr="00AE6CBC" w:rsidP="00AE6CBC">
            <w:pPr>
              <w:pStyle w:val="ListBullet"/>
            </w:pPr>
            <w:r w:rsidRPr="00AE6CBC">
              <w:t>consumables, including sample bags and labels</w:t>
            </w:r>
          </w:p>
          <w:p w:rsidR="00000000" w:rsidRPr="00AE6CBC" w:rsidP="00AE6CBC">
            <w:pPr>
              <w:pStyle w:val="ListBullet"/>
            </w:pPr>
            <w:r w:rsidRPr="00AE6CBC">
              <w:t>documentation, including maps, plans, contract documents and worksheets</w:t>
            </w:r>
          </w:p>
          <w:p w:rsidR="00000000" w:rsidRPr="00AE6CBC" w:rsidP="00AE6CBC">
            <w:pPr>
              <w:pStyle w:val="ListBullet"/>
            </w:pPr>
            <w:r w:rsidRPr="00AE6CBC">
              <w:t>field test equipment, including sand replacement apparatus and dynamic cone penetrometer</w:t>
            </w:r>
          </w:p>
          <w:p w:rsidR="00000000" w:rsidRPr="00AE6CBC" w:rsidP="00AE6CBC">
            <w:pPr>
              <w:pStyle w:val="ListBullet"/>
            </w:pPr>
            <w:r w:rsidRPr="00AE6CBC">
              <w:t>still/video camera</w:t>
            </w:r>
          </w:p>
          <w:p w:rsidR="00000000" w:rsidRPr="00AE6CBC" w:rsidP="00AE6CBC">
            <w:pPr>
              <w:pStyle w:val="ListBullet"/>
            </w:pPr>
            <w:r w:rsidRPr="00AE6CBC">
              <w:t>com</w:t>
            </w:r>
            <w:r w:rsidRPr="00AE6CBC">
              <w:t>munication equipment, such as two-way radio and mobile telephone</w:t>
            </w:r>
          </w:p>
          <w:p w:rsidR="00000000" w:rsidP="00AE6CBC">
            <w:pPr>
              <w:pStyle w:val="ListBullet"/>
              <w:rPr>
                <w:lang w:val="en-NZ"/>
              </w:rPr>
            </w:pPr>
            <w:r w:rsidRPr="00AE6CBC">
              <w:t>levelling equipment (dumpy and automatic levels)</w:t>
            </w:r>
          </w:p>
        </w:tc>
      </w:tr>
      <w:tr w:rsidTr="00AB1DF7">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Common site problems</w:t>
            </w:r>
            <w:r w:rsidRPr="00AE6CBC">
              <w:t xml:space="preserve"> </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Common site problems may include:</w:t>
            </w:r>
          </w:p>
          <w:p w:rsidR="00000000" w:rsidRPr="00AE6CBC" w:rsidP="00AE6CBC">
            <w:pPr>
              <w:pStyle w:val="ListBullet"/>
            </w:pPr>
            <w:r w:rsidRPr="00AE6CBC">
              <w:t>caving of the excavation</w:t>
            </w:r>
          </w:p>
          <w:p w:rsidR="00000000" w:rsidRPr="00AE6CBC" w:rsidP="00AE6CBC">
            <w:pPr>
              <w:pStyle w:val="ListBullet"/>
            </w:pPr>
            <w:r w:rsidRPr="00AE6CBC">
              <w:t>drilling difficulties</w:t>
            </w:r>
          </w:p>
          <w:p w:rsidR="00000000" w:rsidRPr="00AE6CBC" w:rsidP="00AE6CBC">
            <w:pPr>
              <w:pStyle w:val="ListBullet"/>
            </w:pPr>
            <w:r w:rsidRPr="00AE6CBC">
              <w:t xml:space="preserve">not knowing the requirements of the design engineer </w:t>
            </w:r>
          </w:p>
          <w:p w:rsidR="00000000" w:rsidRPr="00AE6CBC" w:rsidP="00AE6CBC">
            <w:pPr>
              <w:pStyle w:val="ListBullet"/>
            </w:pPr>
            <w:r w:rsidRPr="00AE6CBC">
              <w:t>not understanding the nature of the item being designed (e.g. retaining wall, piled structure and earthworks)</w:t>
            </w:r>
          </w:p>
          <w:p w:rsidR="00000000" w:rsidRPr="00AE6CBC" w:rsidP="00AE6CBC">
            <w:pPr>
              <w:pStyle w:val="ListBullet"/>
            </w:pPr>
            <w:r w:rsidRPr="00AE6CBC">
              <w:t>sample loss during retrieval</w:t>
            </w:r>
          </w:p>
          <w:p w:rsidR="00000000" w:rsidRPr="00AE6CBC" w:rsidP="00AE6CBC">
            <w:pPr>
              <w:pStyle w:val="ListBullet"/>
            </w:pPr>
            <w:r w:rsidRPr="00AE6CBC">
              <w:t>knowing when to stop a hole, or what and when to test and sample</w:t>
            </w:r>
          </w:p>
          <w:p w:rsidR="00000000" w:rsidRPr="00AE6CBC" w:rsidP="00AE6CBC">
            <w:pPr>
              <w:pStyle w:val="ListBullet"/>
            </w:pPr>
            <w:r w:rsidRPr="00AE6CBC">
              <w:t>misidentification of samples and sampling locations</w:t>
            </w:r>
          </w:p>
          <w:p w:rsidR="00000000" w:rsidRPr="00AE6CBC" w:rsidP="00AE6CBC">
            <w:pPr>
              <w:pStyle w:val="ListBullet"/>
            </w:pPr>
            <w:r w:rsidRPr="00AE6CBC">
              <w:t>equipment breakdown and breakage</w:t>
            </w:r>
          </w:p>
          <w:p w:rsidR="00000000" w:rsidP="00AE6CBC">
            <w:pPr>
              <w:pStyle w:val="ListBullet"/>
              <w:rPr>
                <w:lang w:val="en-NZ"/>
              </w:rPr>
            </w:pPr>
            <w:r w:rsidRPr="00AE6CBC">
              <w:t>environmental problems and issues, including site access, inclement weather, traffic, wildlife, vegetation and construction activities</w:t>
            </w:r>
          </w:p>
        </w:tc>
      </w:tr>
      <w:tr w:rsidTr="00AB1DF7">
        <w:tblPrEx>
          <w:tblW w:w="0" w:type="auto"/>
          <w:tblLayout w:type="fixed"/>
          <w:tblCellMar>
            <w:left w:w="62" w:type="dxa"/>
            <w:right w:w="62" w:type="dxa"/>
          </w:tblCellMar>
          <w:tblLook w:val="0000"/>
        </w:tblPrEx>
        <w:tc>
          <w:tcPr>
            <w:tcW w:w="3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Occupational health and safety</w:t>
            </w:r>
            <w:r w:rsidRPr="00AE6CBC">
              <w:t xml:space="preserve"> (</w:t>
            </w:r>
            <w:r w:rsidRPr="00AE6CBC">
              <w:rPr>
                <w:rStyle w:val="SpecialBold"/>
              </w:rPr>
              <w:t>OH</w:t>
            </w:r>
            <w:r w:rsidRPr="00AE6CBC">
              <w:rPr>
                <w:rStyle w:val="SpecialBold"/>
              </w:rPr>
              <w:t>S</w:t>
            </w:r>
            <w:r w:rsidRPr="00AE6CBC">
              <w:t xml:space="preserve">) </w:t>
            </w:r>
            <w:r w:rsidRPr="00AE6CBC">
              <w:rPr>
                <w:rStyle w:val="SpecialBold"/>
              </w:rPr>
              <w:t>and environmental management requirements</w:t>
            </w:r>
            <w:r w:rsidRPr="00AE6CBC">
              <w:t xml:space="preserve"> </w:t>
            </w:r>
          </w:p>
        </w:tc>
        <w:tc>
          <w:tcPr>
            <w:tcW w:w="5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OHS and environmental management requirements:</w:t>
            </w:r>
          </w:p>
          <w:p w:rsidR="00000000" w:rsidRPr="00AE6CBC" w:rsidP="00AE6CBC">
            <w:pPr>
              <w:pStyle w:val="ListBullet"/>
            </w:pPr>
            <w:r w:rsidRPr="00AE6CBC">
              <w:t xml:space="preserve">all operations must comply with enterprise OHS and environmental management requirements, </w:t>
            </w:r>
            <w:r w:rsidRPr="00AE6CBC">
              <w:t>which may be imposed through state/territory or federal legislation - these requirements must not be compromised at any time</w:t>
            </w:r>
          </w:p>
          <w:p w:rsidR="00000000" w:rsidRPr="00AE6CBC" w:rsidP="00AE6CBC">
            <w:pPr>
              <w:pStyle w:val="ListBullet"/>
            </w:pPr>
            <w:r w:rsidRPr="00AE6CBC">
              <w:t>all operations assume the potentially hazardous nature of samples and require standard precautions to be applied</w:t>
            </w:r>
          </w:p>
          <w:p w:rsidR="00000000" w:rsidRPr="00AE6CBC" w:rsidP="00AE6CBC">
            <w:pPr>
              <w:pStyle w:val="ListBullet"/>
            </w:pPr>
            <w:r w:rsidRPr="00AE6CBC">
              <w:t>where relevant, us</w:t>
            </w:r>
            <w:r w:rsidRPr="00AE6CBC">
              <w:t>ers should access and apply current industry understanding of infection control issued by the National Health and Medical Research Council (NHMRC) and State and Territory Departments of Health</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12" w:name="O_103754"/>
      <w:bookmarkEnd w:id="12"/>
      <w:r w:rsidRPr="00AE6CBC">
        <w:t>Unit Sector(s)</w:t>
      </w:r>
    </w:p>
    <w:tbl>
      <w:tblPr>
        <w:tblW w:w="0" w:type="auto"/>
        <w:tblLayout w:type="fixed"/>
        <w:tblCellMar>
          <w:left w:w="62" w:type="dxa"/>
          <w:right w:w="62" w:type="dxa"/>
        </w:tblCellMar>
        <w:tblLook w:val="0000"/>
      </w:tblPr>
      <w:tblGrid>
        <w:gridCol w:w="2656"/>
        <w:gridCol w:w="5900"/>
      </w:tblGrid>
      <w:tr w:rsidTr="00AB1DF7">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r w:rsidRPr="00AE6CBC">
              <w:t>Testing</w:t>
            </w: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13" w:name="O_159606"/>
      <w:bookmarkEnd w:id="13"/>
      <w:r w:rsidRPr="00AE6CBC">
        <w:t>Competency field</w:t>
      </w:r>
    </w:p>
    <w:tbl>
      <w:tblPr>
        <w:tblW w:w="0" w:type="auto"/>
        <w:tblLayout w:type="fixed"/>
        <w:tblCellMar>
          <w:left w:w="62" w:type="dxa"/>
          <w:right w:w="62" w:type="dxa"/>
        </w:tblCellMar>
        <w:tblLook w:val="0000"/>
      </w:tblPr>
      <w:tblGrid>
        <w:gridCol w:w="2781"/>
        <w:gridCol w:w="5775"/>
      </w:tblGrid>
      <w:tr w:rsidTr="00AB1DF7">
        <w:tblPrEx>
          <w:tblW w:w="0" w:type="auto"/>
          <w:tblLayout w:type="fixed"/>
          <w:tblCellMar>
            <w:left w:w="62" w:type="dxa"/>
            <w:right w:w="62" w:type="dxa"/>
          </w:tblCellMar>
          <w:tblLook w:val="0000"/>
        </w:tblPrEx>
        <w:trPr>
          <w:tblHeader/>
        </w:trPr>
        <w:tc>
          <w:tcPr>
            <w:tcW w:w="2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Competency field</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p>
        </w:tc>
      </w:tr>
    </w:tbl>
    <w:p w:rsidR="00000000" w:rsidRPr="00AE6CBC" w:rsidP="00AE6CBC">
      <w:pPr>
        <w:pStyle w:val="BodyText"/>
      </w:pPr>
    </w:p>
    <w:p w:rsidR="00000000" w:rsidRPr="00AE6CBC" w:rsidP="00AE6CBC">
      <w:pPr>
        <w:pStyle w:val="AllowPageBreak"/>
      </w:pPr>
    </w:p>
    <w:p w:rsidR="00000000" w:rsidRPr="00AE6CBC" w:rsidP="00AE6CBC">
      <w:pPr>
        <w:pStyle w:val="Heading1"/>
      </w:pPr>
      <w:bookmarkStart w:id="14" w:name="O_159605"/>
      <w:bookmarkEnd w:id="14"/>
      <w:r w:rsidRPr="00AE6CBC">
        <w:t>Co-requisite units</w:t>
      </w:r>
    </w:p>
    <w:tbl>
      <w:tblPr>
        <w:tblW w:w="0" w:type="auto"/>
        <w:tblLayout w:type="fixed"/>
        <w:tblCellMar>
          <w:left w:w="62" w:type="dxa"/>
          <w:right w:w="62" w:type="dxa"/>
        </w:tblCellMar>
        <w:tblLook w:val="0000"/>
      </w:tblPr>
      <w:tblGrid>
        <w:gridCol w:w="2674"/>
        <w:gridCol w:w="1410"/>
        <w:gridCol w:w="4472"/>
      </w:tblGrid>
      <w:tr w:rsidTr="00AB1DF7">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r w:rsidRPr="00AE6CBC">
              <w:rPr>
                <w:rStyle w:val="SpecialBold"/>
              </w:rPr>
              <w:t>Co-requisite units</w:t>
            </w:r>
          </w:p>
        </w:tc>
        <w:tc>
          <w:tcPr>
            <w:tcW w:w="588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p>
        </w:tc>
      </w:tr>
      <w:tr w:rsidTr="00AB1DF7">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CBC">
            <w:pPr>
              <w:pStyle w:val="BodyText"/>
              <w:rPr>
                <w:lang w:val="en-NZ"/>
              </w:rPr>
            </w:pPr>
          </w:p>
        </w:tc>
      </w:tr>
      <w:tr w:rsidTr="00AB1DF7">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CBC" w:rsidP="00AE6CBC">
            <w:pPr>
              <w:pStyle w:val="BodyText"/>
            </w:pPr>
          </w:p>
        </w:tc>
      </w:tr>
    </w:tbl>
    <w:p w:rsidR="00000000" w:rsidRPr="00AE6CBC" w:rsidP="00AE6CBC">
      <w:pPr>
        <w:pStyle w:val="BodyText"/>
      </w:pPr>
    </w:p>
    <w:p w:rsidR="00000000" w:rsidRPr="00AE6CBC" w:rsidP="00AE6CBC"/>
    <w:sectPr w:rsidSect="00AE6C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DF7" w:rsidP="00AB1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F7" w:rsidP="00AE6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B1DF7" w:rsidP="00AE6C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1DF7" w:rsidP="00AE6C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DF7" w:rsidP="00AB1D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F7" w:rsidP="00AE6CBC">
    <w:pPr>
      <w:pStyle w:val="Header"/>
      <w:framePr w:wrap="around"/>
    </w:pPr>
    <w:r>
      <w:fldChar w:fldCharType="begin"/>
    </w:r>
    <w:r>
      <w:instrText xml:space="preserve"> TITLE   \* MERGEFORMAT </w:instrText>
    </w:r>
    <w:r>
      <w:fldChar w:fldCharType="separate"/>
    </w:r>
    <w:r>
      <w:t>MSL975023A Supervise geotechnical site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1DF7" w:rsidP="00AE6C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62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4E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CA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C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6CBC"/>
    <w:pPr>
      <w:spacing w:before="360" w:after="60"/>
      <w:outlineLvl w:val="0"/>
    </w:pPr>
    <w:rPr>
      <w:sz w:val="32"/>
    </w:rPr>
  </w:style>
  <w:style w:type="paragraph" w:styleId="Heading2">
    <w:name w:val="heading 2"/>
    <w:basedOn w:val="HeadingBase"/>
    <w:next w:val="BodyText"/>
    <w:link w:val="Heading2Char"/>
    <w:qFormat/>
    <w:rsid w:val="00AE6CBC"/>
    <w:pPr>
      <w:keepLines/>
      <w:spacing w:before="240" w:after="120"/>
      <w:outlineLvl w:val="1"/>
    </w:pPr>
    <w:rPr>
      <w:sz w:val="28"/>
      <w:szCs w:val="40"/>
    </w:rPr>
  </w:style>
  <w:style w:type="paragraph" w:styleId="Heading3">
    <w:name w:val="heading 3"/>
    <w:basedOn w:val="HeadingBase"/>
    <w:next w:val="BodyText"/>
    <w:link w:val="Heading3Char"/>
    <w:qFormat/>
    <w:rsid w:val="00AE6CBC"/>
    <w:pPr>
      <w:spacing w:before="180" w:after="120"/>
      <w:outlineLvl w:val="2"/>
    </w:pPr>
    <w:rPr>
      <w:spacing w:val="-10"/>
      <w:kern w:val="32"/>
    </w:rPr>
  </w:style>
  <w:style w:type="paragraph" w:styleId="Heading4">
    <w:name w:val="heading 4"/>
    <w:basedOn w:val="HeadingBase"/>
    <w:next w:val="BodyText"/>
    <w:link w:val="Heading4Char"/>
    <w:qFormat/>
    <w:rsid w:val="00AE6CBC"/>
    <w:pPr>
      <w:spacing w:before="160" w:after="120"/>
      <w:outlineLvl w:val="3"/>
    </w:pPr>
    <w:rPr>
      <w:sz w:val="22"/>
    </w:rPr>
  </w:style>
  <w:style w:type="paragraph" w:styleId="Heading5">
    <w:name w:val="heading 5"/>
    <w:basedOn w:val="HeadingBase"/>
    <w:next w:val="Normal"/>
    <w:link w:val="Heading5Char"/>
    <w:qFormat/>
    <w:rsid w:val="00AE6CBC"/>
    <w:pPr>
      <w:spacing w:before="80"/>
      <w:outlineLvl w:val="4"/>
    </w:pPr>
    <w:rPr>
      <w:color w:val="918585"/>
      <w:sz w:val="20"/>
    </w:rPr>
  </w:style>
  <w:style w:type="paragraph" w:styleId="Heading6">
    <w:name w:val="heading 6"/>
    <w:basedOn w:val="HeadingBase"/>
    <w:next w:val="Normal"/>
    <w:link w:val="Heading6Char"/>
    <w:qFormat/>
    <w:rsid w:val="00AE6CBC"/>
    <w:pPr>
      <w:spacing w:before="60"/>
      <w:outlineLvl w:val="5"/>
    </w:pPr>
    <w:rPr>
      <w:color w:val="918585"/>
      <w:sz w:val="20"/>
    </w:rPr>
  </w:style>
  <w:style w:type="paragraph" w:styleId="Heading7">
    <w:name w:val="heading 7"/>
    <w:basedOn w:val="Normal"/>
    <w:next w:val="Normal"/>
    <w:link w:val="Heading7Char"/>
    <w:qFormat/>
    <w:rsid w:val="00AE6CBC"/>
    <w:pPr>
      <w:ind w:left="720"/>
      <w:outlineLvl w:val="6"/>
    </w:pPr>
    <w:rPr>
      <w:i/>
    </w:rPr>
  </w:style>
  <w:style w:type="paragraph" w:styleId="Heading8">
    <w:name w:val="heading 8"/>
    <w:basedOn w:val="Normal"/>
    <w:next w:val="Normal"/>
    <w:link w:val="Heading8Char"/>
    <w:qFormat/>
    <w:rsid w:val="00AE6CBC"/>
    <w:pPr>
      <w:ind w:left="720"/>
      <w:outlineLvl w:val="7"/>
    </w:pPr>
    <w:rPr>
      <w:i/>
    </w:rPr>
  </w:style>
  <w:style w:type="paragraph" w:styleId="Heading9">
    <w:name w:val="heading 9"/>
    <w:basedOn w:val="Normal"/>
    <w:next w:val="Normal"/>
    <w:link w:val="Heading9Char"/>
    <w:qFormat/>
    <w:rsid w:val="00AE6CBC"/>
    <w:pPr>
      <w:ind w:left="720"/>
      <w:outlineLvl w:val="8"/>
    </w:pPr>
    <w:rPr>
      <w:i/>
    </w:rPr>
  </w:style>
  <w:style w:type="character" w:default="1" w:styleId="DefaultParagraphFont">
    <w:name w:val="Default Paragraph Font"/>
    <w:uiPriority w:val="1"/>
    <w:unhideWhenUsed/>
    <w:rsid w:val="00AE6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CBC"/>
  </w:style>
  <w:style w:type="character" w:customStyle="1" w:styleId="Heading1Char">
    <w:name w:val="Heading 1 Char"/>
    <w:link w:val="Heading1"/>
    <w:rsid w:val="00AE6CBC"/>
    <w:rPr>
      <w:rFonts w:ascii="Times New Roman" w:eastAsia="Times New Roman" w:hAnsi="Times New Roman" w:cs="Times New Roman"/>
      <w:b/>
      <w:sz w:val="32"/>
      <w:szCs w:val="20"/>
      <w:lang w:eastAsia="en-US"/>
    </w:rPr>
  </w:style>
  <w:style w:type="paragraph" w:styleId="BodyText">
    <w:name w:val="Body Text"/>
    <w:basedOn w:val="Normal"/>
    <w:link w:val="BodyTextChar"/>
    <w:rsid w:val="00AE6CBC"/>
    <w:pPr>
      <w:spacing w:before="120" w:after="120"/>
      <w:contextualSpacing/>
    </w:pPr>
    <w:rPr>
      <w:rFonts w:ascii="Times New Roman" w:hAnsi="Times New Roman"/>
      <w:sz w:val="24"/>
      <w:szCs w:val="22"/>
    </w:rPr>
  </w:style>
  <w:style w:type="character" w:customStyle="1" w:styleId="BodyTextChar">
    <w:name w:val="Body Text Char"/>
    <w:link w:val="BodyText"/>
    <w:rsid w:val="00AE6CBC"/>
    <w:rPr>
      <w:rFonts w:ascii="Times New Roman" w:eastAsia="Times New Roman" w:hAnsi="Times New Roman" w:cs="Times New Roman"/>
      <w:sz w:val="24"/>
      <w:lang w:val="en-US" w:eastAsia="en-US"/>
    </w:rPr>
  </w:style>
  <w:style w:type="paragraph" w:styleId="Footer">
    <w:name w:val="footer"/>
    <w:basedOn w:val="Normal"/>
    <w:link w:val="FooterChar"/>
    <w:rsid w:val="00AE6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6CBC"/>
    <w:rPr>
      <w:rFonts w:ascii="Times New Roman" w:eastAsia="Times New Roman" w:hAnsi="Times New Roman" w:cs="Times New Roman"/>
      <w:sz w:val="16"/>
      <w:lang w:val="en-US" w:eastAsia="en-US"/>
    </w:rPr>
  </w:style>
  <w:style w:type="paragraph" w:styleId="List">
    <w:name w:val="List"/>
    <w:basedOn w:val="BodyText"/>
    <w:next w:val="BodyText"/>
    <w:rsid w:val="00AE6CBC"/>
    <w:pPr>
      <w:tabs>
        <w:tab w:val="left" w:pos="340"/>
      </w:tabs>
      <w:spacing w:before="60" w:after="60"/>
      <w:ind w:left="340" w:hanging="340"/>
    </w:pPr>
  </w:style>
  <w:style w:type="paragraph" w:styleId="ListBullet">
    <w:name w:val="List Bullet"/>
    <w:basedOn w:val="List"/>
    <w:rsid w:val="00AE6CBC"/>
    <w:pPr>
      <w:numPr>
        <w:numId w:val="13"/>
      </w:numPr>
      <w:tabs>
        <w:tab w:val="clear" w:pos="340"/>
      </w:tabs>
      <w:spacing w:before="40" w:after="40"/>
    </w:pPr>
  </w:style>
  <w:style w:type="character" w:customStyle="1" w:styleId="SpecialBold">
    <w:name w:val="Special Bold"/>
    <w:rsid w:val="00AE6CBC"/>
    <w:rPr>
      <w:b/>
      <w:spacing w:val="0"/>
    </w:rPr>
  </w:style>
  <w:style w:type="paragraph" w:styleId="ListBullet2">
    <w:name w:val="List Bullet 2"/>
    <w:basedOn w:val="List2"/>
    <w:rsid w:val="00AE6CBC"/>
    <w:pPr>
      <w:numPr>
        <w:numId w:val="14"/>
      </w:numPr>
      <w:tabs>
        <w:tab w:val="clear" w:pos="680"/>
      </w:tabs>
    </w:pPr>
  </w:style>
  <w:style w:type="paragraph" w:styleId="Header">
    <w:name w:val="header"/>
    <w:basedOn w:val="Normal"/>
    <w:link w:val="HeaderChar"/>
    <w:rsid w:val="00AE6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6CBC"/>
    <w:rPr>
      <w:rFonts w:ascii="Times New Roman" w:eastAsia="Times New Roman" w:hAnsi="Times New Roman" w:cs="Times New Roman"/>
      <w:sz w:val="16"/>
      <w:szCs w:val="20"/>
      <w:lang w:val="en-GB" w:eastAsia="en-US"/>
    </w:rPr>
  </w:style>
  <w:style w:type="character" w:styleId="Emphasis">
    <w:name w:val="Emphasis"/>
    <w:qFormat/>
    <w:rsid w:val="00AE6CBC"/>
    <w:rPr>
      <w:i/>
    </w:rPr>
  </w:style>
  <w:style w:type="paragraph" w:customStyle="1" w:styleId="SuperHeading">
    <w:name w:val="SuperHeading"/>
    <w:basedOn w:val="Normal"/>
    <w:rsid w:val="00AE6CBC"/>
    <w:pPr>
      <w:spacing w:before="240" w:after="120"/>
      <w:outlineLvl w:val="0"/>
    </w:pPr>
    <w:rPr>
      <w:rFonts w:ascii="Times New Roman" w:hAnsi="Times New Roman"/>
      <w:b/>
      <w:sz w:val="28"/>
    </w:rPr>
  </w:style>
  <w:style w:type="paragraph" w:customStyle="1" w:styleId="AllowPageBreak">
    <w:name w:val="AllowPageBreak"/>
    <w:rsid w:val="00AE6C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6CBC"/>
    <w:pPr>
      <w:tabs>
        <w:tab w:val="left" w:pos="680"/>
      </w:tabs>
      <w:spacing w:before="60" w:after="60"/>
      <w:ind w:left="680" w:hanging="340"/>
    </w:pPr>
  </w:style>
  <w:style w:type="character" w:customStyle="1" w:styleId="Heading2Char">
    <w:name w:val="Heading 2 Char"/>
    <w:link w:val="Heading2"/>
    <w:rsid w:val="00AE6CBC"/>
    <w:rPr>
      <w:rFonts w:ascii="Times New Roman" w:eastAsia="Times New Roman" w:hAnsi="Times New Roman" w:cs="Times New Roman"/>
      <w:b/>
      <w:sz w:val="28"/>
      <w:szCs w:val="40"/>
      <w:lang w:eastAsia="en-US"/>
    </w:rPr>
  </w:style>
  <w:style w:type="character" w:customStyle="1" w:styleId="Heading3Char">
    <w:name w:val="Heading 3 Char"/>
    <w:link w:val="Heading3"/>
    <w:rsid w:val="00AE6CB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E6CBC"/>
    <w:rPr>
      <w:rFonts w:ascii="Times New Roman" w:eastAsia="Times New Roman" w:hAnsi="Times New Roman" w:cs="Times New Roman"/>
      <w:b/>
      <w:szCs w:val="20"/>
      <w:lang w:eastAsia="en-US"/>
    </w:rPr>
  </w:style>
  <w:style w:type="character" w:customStyle="1" w:styleId="Heading5Char">
    <w:name w:val="Heading 5 Char"/>
    <w:link w:val="Heading5"/>
    <w:rsid w:val="00AE6CB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6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C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6C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6CBC"/>
    <w:rPr>
      <w:rFonts w:ascii="Courier New" w:eastAsia="Times New Roman" w:hAnsi="Courier New" w:cs="Times New Roman"/>
      <w:i/>
      <w:szCs w:val="20"/>
      <w:lang w:val="en-US" w:eastAsia="en-US"/>
    </w:rPr>
  </w:style>
  <w:style w:type="paragraph" w:customStyle="1" w:styleId="HeadingBase">
    <w:name w:val="Heading Base"/>
    <w:rsid w:val="00AE6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CBC"/>
    <w:pPr>
      <w:tabs>
        <w:tab w:val="right" w:leader="dot" w:pos="9072"/>
      </w:tabs>
      <w:ind w:left="567"/>
    </w:pPr>
    <w:rPr>
      <w:szCs w:val="22"/>
    </w:rPr>
  </w:style>
  <w:style w:type="paragraph" w:customStyle="1" w:styleId="TOCBase">
    <w:name w:val="TOC Base"/>
    <w:rsid w:val="00AE6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CBC"/>
    <w:pPr>
      <w:tabs>
        <w:tab w:val="right" w:leader="dot" w:pos="9072"/>
      </w:tabs>
      <w:spacing w:before="40" w:after="40"/>
      <w:ind w:left="284"/>
    </w:pPr>
    <w:rPr>
      <w:rFonts w:ascii="Times New Roman" w:hAnsi="Times New Roman"/>
    </w:rPr>
  </w:style>
  <w:style w:type="paragraph" w:styleId="TOC1">
    <w:name w:val="toc 1"/>
    <w:basedOn w:val="TOCBase"/>
    <w:next w:val="Normal"/>
    <w:rsid w:val="00AE6C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6CBC"/>
    <w:pPr>
      <w:spacing w:before="5040"/>
      <w:jc w:val="center"/>
    </w:pPr>
    <w:rPr>
      <w:sz w:val="48"/>
      <w:szCs w:val="72"/>
      <w:lang w:val="en-US"/>
    </w:rPr>
  </w:style>
  <w:style w:type="character" w:customStyle="1" w:styleId="TitleChar">
    <w:name w:val="Title Char"/>
    <w:link w:val="Title"/>
    <w:rsid w:val="00AE6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CBC"/>
    <w:pPr>
      <w:tabs>
        <w:tab w:val="left" w:pos="3600"/>
        <w:tab w:val="left" w:pos="3958"/>
      </w:tabs>
    </w:pPr>
  </w:style>
  <w:style w:type="paragraph" w:customStyle="1" w:styleId="Note">
    <w:name w:val="Note"/>
    <w:basedOn w:val="BodyText"/>
    <w:rsid w:val="00AE6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CBC"/>
    <w:pPr>
      <w:framePr w:wrap="auto" w:hAnchor="text" w:y="6049"/>
    </w:pPr>
    <w:rPr>
      <w:color w:val="000000"/>
      <w:sz w:val="40"/>
    </w:rPr>
  </w:style>
  <w:style w:type="paragraph" w:customStyle="1" w:styleId="TOCTitle">
    <w:name w:val="TOCTitle"/>
    <w:basedOn w:val="Heading1"/>
    <w:rsid w:val="00AE6CBC"/>
    <w:pPr>
      <w:spacing w:after="240"/>
      <w:jc w:val="center"/>
      <w:outlineLvl w:val="9"/>
    </w:pPr>
    <w:rPr>
      <w:caps/>
    </w:rPr>
  </w:style>
  <w:style w:type="paragraph" w:customStyle="1" w:styleId="Version">
    <w:name w:val="Version"/>
    <w:rsid w:val="00AE6C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CBC"/>
    <w:pPr>
      <w:keepNext w:val="0"/>
      <w:tabs>
        <w:tab w:val="right" w:pos="4176"/>
      </w:tabs>
      <w:ind w:left="198" w:hanging="198"/>
    </w:pPr>
    <w:rPr>
      <w:rFonts w:ascii="Garamond" w:hAnsi="Garamond"/>
    </w:rPr>
  </w:style>
  <w:style w:type="paragraph" w:styleId="IndexHeading">
    <w:name w:val="index heading"/>
    <w:basedOn w:val="Normal"/>
    <w:next w:val="Index1"/>
    <w:semiHidden/>
    <w:rsid w:val="00AE6CBC"/>
    <w:pPr>
      <w:spacing w:before="120" w:after="120"/>
    </w:pPr>
    <w:rPr>
      <w:rFonts w:ascii="Arial" w:hAnsi="Arial"/>
      <w:b/>
      <w:color w:val="918585"/>
      <w:sz w:val="24"/>
    </w:rPr>
  </w:style>
  <w:style w:type="paragraph" w:customStyle="1" w:styleId="Chapter">
    <w:name w:val="Chapter"/>
    <w:basedOn w:val="Normal"/>
    <w:rsid w:val="00AE6CBC"/>
    <w:pPr>
      <w:spacing w:before="240"/>
    </w:pPr>
    <w:rPr>
      <w:rFonts w:ascii="Times New Roman" w:hAnsi="Times New Roman"/>
      <w:smallCaps/>
      <w:spacing w:val="80"/>
      <w:sz w:val="28"/>
    </w:rPr>
  </w:style>
  <w:style w:type="paragraph" w:customStyle="1" w:styleId="InChapter">
    <w:name w:val="InChapter"/>
    <w:basedOn w:val="Heading3"/>
    <w:rsid w:val="00AE6CBC"/>
    <w:pPr>
      <w:spacing w:after="240"/>
      <w:outlineLvl w:val="9"/>
    </w:pPr>
    <w:rPr>
      <w:noProof/>
    </w:rPr>
  </w:style>
  <w:style w:type="paragraph" w:styleId="Index2">
    <w:name w:val="index 2"/>
    <w:basedOn w:val="Normal"/>
    <w:next w:val="Normal"/>
    <w:semiHidden/>
    <w:rsid w:val="00AE6CBC"/>
    <w:pPr>
      <w:tabs>
        <w:tab w:val="right" w:pos="4176"/>
      </w:tabs>
      <w:ind w:left="568" w:hanging="284"/>
    </w:pPr>
    <w:rPr>
      <w:rFonts w:ascii="Garamond" w:hAnsi="Garamond"/>
    </w:rPr>
  </w:style>
  <w:style w:type="paragraph" w:customStyle="1" w:styleId="Byline">
    <w:name w:val="Byline"/>
    <w:rsid w:val="00AE6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CBC"/>
    <w:pPr>
      <w:tabs>
        <w:tab w:val="clear" w:pos="3600"/>
        <w:tab w:val="clear" w:pos="3958"/>
      </w:tabs>
      <w:jc w:val="right"/>
    </w:pPr>
  </w:style>
  <w:style w:type="paragraph" w:styleId="Caption">
    <w:name w:val="caption"/>
    <w:basedOn w:val="BodyText"/>
    <w:next w:val="Normal"/>
    <w:qFormat/>
    <w:rsid w:val="00AE6CBC"/>
    <w:pPr>
      <w:framePr w:w="2268" w:hSpace="181" w:vSpace="181" w:wrap="around" w:vAnchor="text" w:hAnchor="page" w:x="1135" w:y="285" w:anchorLock="1"/>
    </w:pPr>
    <w:rPr>
      <w:i/>
    </w:rPr>
  </w:style>
  <w:style w:type="paragraph" w:customStyle="1" w:styleId="MiniTOCTitle">
    <w:name w:val="MiniTOCTitle"/>
    <w:basedOn w:val="Heading4"/>
    <w:rsid w:val="00AE6CBC"/>
    <w:pPr>
      <w:spacing w:before="240"/>
      <w:outlineLvl w:val="9"/>
    </w:pPr>
    <w:rPr>
      <w:noProof/>
      <w:sz w:val="24"/>
    </w:rPr>
  </w:style>
  <w:style w:type="paragraph" w:customStyle="1" w:styleId="MiniTOCItem">
    <w:name w:val="MiniTOCItem"/>
    <w:basedOn w:val="ListBullet"/>
    <w:rsid w:val="00AE6CBC"/>
    <w:pPr>
      <w:numPr>
        <w:numId w:val="0"/>
      </w:numPr>
      <w:tabs>
        <w:tab w:val="right" w:leader="dot" w:pos="6521"/>
      </w:tabs>
      <w:spacing w:before="0" w:after="0"/>
    </w:pPr>
  </w:style>
  <w:style w:type="paragraph" w:customStyle="1" w:styleId="TOFTitle">
    <w:name w:val="TOFTitle"/>
    <w:basedOn w:val="TOCTitle"/>
    <w:rsid w:val="00AE6CBC"/>
  </w:style>
  <w:style w:type="paragraph" w:styleId="TableofFigures">
    <w:name w:val="table of figures"/>
    <w:basedOn w:val="Normal"/>
    <w:next w:val="Normal"/>
    <w:semiHidden/>
    <w:rsid w:val="00AE6CBC"/>
    <w:pPr>
      <w:tabs>
        <w:tab w:val="right" w:leader="dot" w:pos="9072"/>
      </w:tabs>
      <w:ind w:left="970" w:hanging="403"/>
    </w:pPr>
    <w:rPr>
      <w:rFonts w:ascii="Times New Roman" w:hAnsi="Times New Roman"/>
      <w:b/>
    </w:rPr>
  </w:style>
  <w:style w:type="paragraph" w:styleId="ListNumber">
    <w:name w:val="List Number"/>
    <w:basedOn w:val="List"/>
    <w:rsid w:val="00AE6CBC"/>
    <w:pPr>
      <w:numPr>
        <w:numId w:val="11"/>
      </w:numPr>
    </w:pPr>
  </w:style>
  <w:style w:type="character" w:customStyle="1" w:styleId="WingdingSymbols">
    <w:name w:val="Wingding Symbols"/>
    <w:rsid w:val="00AE6CBC"/>
    <w:rPr>
      <w:rFonts w:ascii="Wingdings" w:hAnsi="Wingdings"/>
    </w:rPr>
  </w:style>
  <w:style w:type="paragraph" w:customStyle="1" w:styleId="TableHeading">
    <w:name w:val="Table Heading"/>
    <w:basedOn w:val="HeadingBase"/>
    <w:rsid w:val="00AE6CBC"/>
    <w:pPr>
      <w:keepLines/>
      <w:pBdr>
        <w:bottom w:val="single" w:sz="6" w:space="1" w:color="918585"/>
      </w:pBdr>
      <w:spacing w:before="240"/>
    </w:pPr>
  </w:style>
  <w:style w:type="character" w:customStyle="1" w:styleId="HotSpot">
    <w:name w:val="HotSpot"/>
    <w:rsid w:val="00AE6CBC"/>
    <w:rPr>
      <w:color w:val="0033CC"/>
      <w:u w:val="none"/>
    </w:rPr>
  </w:style>
  <w:style w:type="paragraph" w:customStyle="1" w:styleId="BodyTextRight">
    <w:name w:val="Body Text Right"/>
    <w:basedOn w:val="BodyText"/>
    <w:rsid w:val="00AE6CBC"/>
    <w:pPr>
      <w:spacing w:before="0" w:after="0"/>
      <w:jc w:val="right"/>
    </w:pPr>
  </w:style>
  <w:style w:type="paragraph" w:styleId="Index3">
    <w:name w:val="index 3"/>
    <w:basedOn w:val="ListNumber2"/>
    <w:next w:val="Normal"/>
    <w:semiHidden/>
    <w:rsid w:val="00AE6CBC"/>
    <w:pPr>
      <w:numPr>
        <w:numId w:val="0"/>
      </w:numPr>
      <w:tabs>
        <w:tab w:val="right" w:leader="dot" w:pos="4176"/>
      </w:tabs>
    </w:pPr>
  </w:style>
  <w:style w:type="paragraph" w:styleId="ListNumber2">
    <w:name w:val="List Number 2"/>
    <w:basedOn w:val="List2"/>
    <w:rsid w:val="00AE6CBC"/>
    <w:pPr>
      <w:numPr>
        <w:numId w:val="10"/>
      </w:numPr>
      <w:tabs>
        <w:tab w:val="clear" w:pos="1060"/>
      </w:tabs>
    </w:pPr>
  </w:style>
  <w:style w:type="paragraph" w:customStyle="1" w:styleId="MarginNote">
    <w:name w:val="Margin Note"/>
    <w:basedOn w:val="BodyText"/>
    <w:rsid w:val="00AE6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6C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6CBC"/>
    <w:rPr>
      <w:sz w:val="32"/>
    </w:rPr>
  </w:style>
  <w:style w:type="paragraph" w:customStyle="1" w:styleId="HeadingProcedure">
    <w:name w:val="Heading Procedure"/>
    <w:basedOn w:val="HeadingBase"/>
    <w:next w:val="Normal"/>
    <w:rsid w:val="00AE6CBC"/>
    <w:pPr>
      <w:tabs>
        <w:tab w:val="left" w:pos="0"/>
      </w:tabs>
      <w:spacing w:before="120" w:after="60"/>
    </w:pPr>
    <w:rPr>
      <w:i/>
      <w:color w:val="918585"/>
      <w:sz w:val="22"/>
    </w:rPr>
  </w:style>
  <w:style w:type="paragraph" w:customStyle="1" w:styleId="TableBodyText">
    <w:name w:val="Table Body Text"/>
    <w:basedOn w:val="BodyText"/>
    <w:rsid w:val="00AE6CBC"/>
    <w:pPr>
      <w:spacing w:before="60" w:after="60"/>
    </w:pPr>
  </w:style>
  <w:style w:type="paragraph" w:styleId="ListContinue">
    <w:name w:val="List Continue"/>
    <w:basedOn w:val="List"/>
    <w:rsid w:val="00AE6CBC"/>
    <w:pPr>
      <w:ind w:firstLine="0"/>
    </w:pPr>
  </w:style>
  <w:style w:type="paragraph" w:customStyle="1" w:styleId="ListNote">
    <w:name w:val="List Note"/>
    <w:basedOn w:val="List"/>
    <w:rsid w:val="00AE6CBC"/>
    <w:pPr>
      <w:pBdr>
        <w:top w:val="single" w:sz="6" w:space="2" w:color="918585"/>
        <w:bottom w:val="single" w:sz="6" w:space="2" w:color="918585"/>
      </w:pBdr>
      <w:tabs>
        <w:tab w:val="left" w:pos="1021"/>
      </w:tabs>
      <w:ind w:firstLine="0"/>
    </w:pPr>
  </w:style>
  <w:style w:type="paragraph" w:customStyle="1" w:styleId="Warning">
    <w:name w:val="Warning"/>
    <w:basedOn w:val="BodyText"/>
    <w:rsid w:val="00AE6CBC"/>
    <w:pPr>
      <w:shd w:val="clear" w:color="auto" w:fill="D9D9D9"/>
      <w:tabs>
        <w:tab w:val="left" w:pos="992"/>
      </w:tabs>
      <w:ind w:left="119" w:right="119"/>
    </w:pPr>
    <w:rPr>
      <w:sz w:val="20"/>
    </w:rPr>
  </w:style>
  <w:style w:type="paragraph" w:customStyle="1" w:styleId="MarginIcons">
    <w:name w:val="Margin Icons"/>
    <w:basedOn w:val="BodyText"/>
    <w:rsid w:val="00AE6CB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6CBC"/>
    <w:rPr>
      <w:rFonts w:ascii="Courier New" w:hAnsi="Courier New"/>
    </w:rPr>
  </w:style>
  <w:style w:type="paragraph" w:customStyle="1" w:styleId="NoteBullet">
    <w:name w:val="Note Bullet"/>
    <w:basedOn w:val="Note"/>
    <w:rsid w:val="00AE6CBC"/>
    <w:pPr>
      <w:tabs>
        <w:tab w:val="clear" w:pos="680"/>
      </w:tabs>
      <w:spacing w:before="60" w:after="60"/>
    </w:pPr>
  </w:style>
  <w:style w:type="paragraph" w:customStyle="1" w:styleId="SubHeading2">
    <w:name w:val="SubHeading2"/>
    <w:basedOn w:val="HeadingBase"/>
    <w:rsid w:val="00AE6CBC"/>
    <w:pPr>
      <w:spacing w:before="240" w:after="60"/>
    </w:pPr>
    <w:rPr>
      <w:sz w:val="20"/>
    </w:rPr>
  </w:style>
  <w:style w:type="paragraph" w:customStyle="1" w:styleId="SubHeading1">
    <w:name w:val="SubHeading1"/>
    <w:basedOn w:val="HeadingBase"/>
    <w:rsid w:val="00AE6CBC"/>
    <w:pPr>
      <w:spacing w:before="240" w:after="60"/>
    </w:pPr>
    <w:rPr>
      <w:color w:val="918585"/>
      <w:sz w:val="22"/>
    </w:rPr>
  </w:style>
  <w:style w:type="paragraph" w:customStyle="1" w:styleId="SideHeading">
    <w:name w:val="Side Heading"/>
    <w:basedOn w:val="HeadingBase"/>
    <w:rsid w:val="00AE6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CBC"/>
    <w:pPr>
      <w:numPr>
        <w:numId w:val="12"/>
      </w:numPr>
    </w:pPr>
  </w:style>
  <w:style w:type="paragraph" w:styleId="PlainText">
    <w:name w:val="Plain Text"/>
    <w:basedOn w:val="Normal"/>
    <w:link w:val="PlainTextChar"/>
    <w:rsid w:val="00AE6CBC"/>
    <w:rPr>
      <w:sz w:val="20"/>
    </w:rPr>
  </w:style>
  <w:style w:type="character" w:customStyle="1" w:styleId="PlainTextChar">
    <w:name w:val="Plain Text Char"/>
    <w:basedOn w:val="DefaultParagraphFont"/>
    <w:link w:val="PlainText"/>
    <w:rsid w:val="00AE6CBC"/>
    <w:rPr>
      <w:rFonts w:ascii="Courier New" w:eastAsia="Times New Roman" w:hAnsi="Courier New" w:cs="Times New Roman"/>
      <w:sz w:val="20"/>
      <w:szCs w:val="20"/>
      <w:lang w:val="en-US" w:eastAsia="en-US"/>
    </w:rPr>
  </w:style>
  <w:style w:type="character" w:customStyle="1" w:styleId="MenuOption">
    <w:name w:val="Menu Option"/>
    <w:rsid w:val="00AE6CBC"/>
    <w:rPr>
      <w:b/>
      <w:smallCaps/>
    </w:rPr>
  </w:style>
  <w:style w:type="paragraph" w:customStyle="1" w:styleId="TableListNumber">
    <w:name w:val="Table List Number"/>
    <w:basedOn w:val="ListNumber"/>
    <w:rsid w:val="00AE6CBC"/>
    <w:pPr>
      <w:numPr>
        <w:numId w:val="0"/>
      </w:numPr>
    </w:pPr>
  </w:style>
  <w:style w:type="paragraph" w:styleId="TOC4">
    <w:name w:val="toc 4"/>
    <w:basedOn w:val="TOCBase"/>
    <w:next w:val="Normal"/>
    <w:semiHidden/>
    <w:rsid w:val="00AE6CBC"/>
    <w:pPr>
      <w:tabs>
        <w:tab w:val="right" w:leader="dot" w:pos="9071"/>
      </w:tabs>
      <w:ind w:left="1701"/>
    </w:pPr>
  </w:style>
  <w:style w:type="paragraph" w:customStyle="1" w:styleId="ListAlpha">
    <w:name w:val="List Alpha"/>
    <w:basedOn w:val="List"/>
    <w:rsid w:val="00AE6CBC"/>
    <w:pPr>
      <w:numPr>
        <w:numId w:val="9"/>
      </w:numPr>
    </w:pPr>
  </w:style>
  <w:style w:type="paragraph" w:customStyle="1" w:styleId="ListAlpha2">
    <w:name w:val="List Alpha 2"/>
    <w:basedOn w:val="List2"/>
    <w:rsid w:val="00AE6CBC"/>
    <w:pPr>
      <w:numPr>
        <w:numId w:val="8"/>
      </w:numPr>
    </w:pPr>
  </w:style>
  <w:style w:type="paragraph" w:styleId="List3">
    <w:name w:val="List 3"/>
    <w:basedOn w:val="BodyText"/>
    <w:rsid w:val="00AE6CBC"/>
    <w:pPr>
      <w:tabs>
        <w:tab w:val="left" w:pos="1021"/>
      </w:tabs>
      <w:spacing w:before="60" w:after="60"/>
      <w:ind w:left="1020" w:hanging="340"/>
    </w:pPr>
  </w:style>
  <w:style w:type="paragraph" w:styleId="List4">
    <w:name w:val="List 4"/>
    <w:basedOn w:val="BodyText"/>
    <w:rsid w:val="00AE6CBC"/>
    <w:pPr>
      <w:tabs>
        <w:tab w:val="left" w:pos="1361"/>
      </w:tabs>
      <w:spacing w:before="60" w:after="60"/>
      <w:ind w:left="1361" w:hanging="340"/>
    </w:pPr>
  </w:style>
  <w:style w:type="paragraph" w:styleId="List5">
    <w:name w:val="List 5"/>
    <w:basedOn w:val="BodyText"/>
    <w:rsid w:val="00AE6CBC"/>
    <w:pPr>
      <w:tabs>
        <w:tab w:val="left" w:pos="1701"/>
      </w:tabs>
      <w:spacing w:before="60" w:after="60"/>
      <w:ind w:left="1701" w:hanging="340"/>
    </w:pPr>
  </w:style>
  <w:style w:type="paragraph" w:styleId="ListBullet3">
    <w:name w:val="List Bullet 3"/>
    <w:basedOn w:val="List3"/>
    <w:rsid w:val="00AE6CBC"/>
    <w:pPr>
      <w:numPr>
        <w:numId w:val="15"/>
      </w:numPr>
      <w:tabs>
        <w:tab w:val="clear" w:pos="1021"/>
      </w:tabs>
      <w:ind w:left="1037" w:hanging="357"/>
    </w:pPr>
  </w:style>
  <w:style w:type="paragraph" w:styleId="ListBullet4">
    <w:name w:val="List Bullet 4"/>
    <w:basedOn w:val="List4"/>
    <w:rsid w:val="00AE6CBC"/>
    <w:pPr>
      <w:numPr>
        <w:numId w:val="3"/>
      </w:numPr>
    </w:pPr>
  </w:style>
  <w:style w:type="paragraph" w:styleId="ListBullet5">
    <w:name w:val="List Bullet 5"/>
    <w:basedOn w:val="List5"/>
    <w:rsid w:val="00AE6CBC"/>
    <w:pPr>
      <w:numPr>
        <w:numId w:val="4"/>
      </w:numPr>
    </w:pPr>
  </w:style>
  <w:style w:type="paragraph" w:styleId="ListContinue2">
    <w:name w:val="List Continue 2"/>
    <w:basedOn w:val="List2"/>
    <w:rsid w:val="00AE6CBC"/>
    <w:pPr>
      <w:ind w:firstLine="0"/>
    </w:pPr>
  </w:style>
  <w:style w:type="paragraph" w:styleId="ListContinue3">
    <w:name w:val="List Continue 3"/>
    <w:basedOn w:val="List3"/>
    <w:rsid w:val="00AE6CBC"/>
    <w:pPr>
      <w:ind w:left="1021" w:firstLine="0"/>
    </w:pPr>
  </w:style>
  <w:style w:type="paragraph" w:styleId="ListContinue4">
    <w:name w:val="List Continue 4"/>
    <w:basedOn w:val="List4"/>
    <w:rsid w:val="00AE6CBC"/>
    <w:pPr>
      <w:ind w:firstLine="0"/>
    </w:pPr>
  </w:style>
  <w:style w:type="paragraph" w:styleId="ListContinue5">
    <w:name w:val="List Continue 5"/>
    <w:basedOn w:val="List5"/>
    <w:rsid w:val="00AE6CBC"/>
    <w:pPr>
      <w:ind w:firstLine="0"/>
    </w:pPr>
  </w:style>
  <w:style w:type="paragraph" w:styleId="ListNumber3">
    <w:name w:val="List Number 3"/>
    <w:basedOn w:val="List3"/>
    <w:rsid w:val="00AE6CBC"/>
    <w:pPr>
      <w:numPr>
        <w:numId w:val="5"/>
      </w:numPr>
    </w:pPr>
  </w:style>
  <w:style w:type="paragraph" w:styleId="ListNumber4">
    <w:name w:val="List Number 4"/>
    <w:basedOn w:val="List4"/>
    <w:rsid w:val="00AE6CBC"/>
    <w:pPr>
      <w:numPr>
        <w:numId w:val="6"/>
      </w:numPr>
    </w:pPr>
  </w:style>
  <w:style w:type="paragraph" w:styleId="ListNumber5">
    <w:name w:val="List Number 5"/>
    <w:basedOn w:val="List5"/>
    <w:rsid w:val="00AE6CBC"/>
    <w:pPr>
      <w:numPr>
        <w:numId w:val="7"/>
      </w:numPr>
    </w:pPr>
  </w:style>
  <w:style w:type="paragraph" w:styleId="BlockText">
    <w:name w:val="Block Text"/>
    <w:basedOn w:val="Normal"/>
    <w:rsid w:val="00AE6CBC"/>
    <w:pPr>
      <w:spacing w:after="120"/>
      <w:ind w:left="1440" w:right="1440"/>
    </w:pPr>
  </w:style>
  <w:style w:type="character" w:customStyle="1" w:styleId="Subscript">
    <w:name w:val="Subscript"/>
    <w:rsid w:val="00AE6CBC"/>
    <w:rPr>
      <w:sz w:val="16"/>
      <w:vertAlign w:val="subscript"/>
    </w:rPr>
  </w:style>
  <w:style w:type="character" w:customStyle="1" w:styleId="Superscript">
    <w:name w:val="Superscript"/>
    <w:rsid w:val="00AE6CBC"/>
    <w:rPr>
      <w:sz w:val="16"/>
      <w:vertAlign w:val="superscript"/>
    </w:rPr>
  </w:style>
  <w:style w:type="character" w:customStyle="1" w:styleId="Symbols">
    <w:name w:val="Symbols"/>
    <w:rsid w:val="00AE6CBC"/>
    <w:rPr>
      <w:rFonts w:ascii="Symbol" w:hAnsi="Symbol"/>
    </w:rPr>
  </w:style>
  <w:style w:type="character" w:customStyle="1" w:styleId="MenuOptions">
    <w:name w:val="Menu Options"/>
    <w:rsid w:val="00AE6CBC"/>
    <w:rPr>
      <w:rFonts w:ascii="Arial Narrow" w:hAnsi="Arial Narrow"/>
      <w:smallCaps/>
    </w:rPr>
  </w:style>
  <w:style w:type="character" w:customStyle="1" w:styleId="Buttons">
    <w:name w:val="Buttons"/>
    <w:rsid w:val="00AE6CBC"/>
    <w:rPr>
      <w:b/>
    </w:rPr>
  </w:style>
  <w:style w:type="character" w:customStyle="1" w:styleId="Underlined">
    <w:name w:val="Underlined"/>
    <w:rsid w:val="00AE6CBC"/>
    <w:rPr>
      <w:u w:val="single"/>
    </w:rPr>
  </w:style>
  <w:style w:type="paragraph" w:customStyle="1" w:styleId="TableBodyTextRight">
    <w:name w:val="Table Body Text Right"/>
    <w:basedOn w:val="TableBodyText"/>
    <w:rsid w:val="00AE6CBC"/>
    <w:pPr>
      <w:widowControl w:val="0"/>
      <w:autoSpaceDE w:val="0"/>
      <w:autoSpaceDN w:val="0"/>
      <w:adjustRightInd w:val="0"/>
      <w:jc w:val="right"/>
    </w:pPr>
    <w:rPr>
      <w:rFonts w:cs="Arial"/>
      <w:szCs w:val="18"/>
    </w:rPr>
  </w:style>
  <w:style w:type="paragraph" w:customStyle="1" w:styleId="CopyrightText">
    <w:name w:val="Copyright Text"/>
    <w:basedOn w:val="BodyText"/>
    <w:rsid w:val="00AE6CBC"/>
    <w:rPr>
      <w:sz w:val="18"/>
    </w:rPr>
  </w:style>
  <w:style w:type="paragraph" w:customStyle="1" w:styleId="BodySmallRight">
    <w:name w:val="Body Small Right"/>
    <w:basedOn w:val="BodyTextRight"/>
    <w:rsid w:val="00AE6CBC"/>
    <w:rPr>
      <w:sz w:val="18"/>
      <w:szCs w:val="18"/>
    </w:rPr>
  </w:style>
  <w:style w:type="paragraph" w:customStyle="1" w:styleId="MarginEdition">
    <w:name w:val="Margin Edition"/>
    <w:basedOn w:val="MarginNote"/>
    <w:rsid w:val="00AE6CBC"/>
    <w:pPr>
      <w:spacing w:before="0" w:after="0"/>
    </w:pPr>
    <w:rPr>
      <w:rFonts w:ascii="Times New Roman" w:hAnsi="Times New Roman"/>
      <w:color w:val="999999"/>
    </w:rPr>
  </w:style>
  <w:style w:type="paragraph" w:customStyle="1" w:styleId="Spacer">
    <w:name w:val="Spacer"/>
    <w:basedOn w:val="Normal"/>
    <w:rsid w:val="00AE6CBC"/>
    <w:rPr>
      <w:sz w:val="2"/>
      <w:szCs w:val="2"/>
    </w:rPr>
  </w:style>
  <w:style w:type="character" w:customStyle="1" w:styleId="Small">
    <w:name w:val="Small"/>
    <w:rsid w:val="00AE6CBC"/>
    <w:rPr>
      <w:sz w:val="16"/>
    </w:rPr>
  </w:style>
  <w:style w:type="paragraph" w:customStyle="1" w:styleId="WideTable">
    <w:name w:val="Wide Table"/>
    <w:basedOn w:val="Normal"/>
    <w:rsid w:val="00AE6CBC"/>
    <w:pPr>
      <w:ind w:left="-1418"/>
    </w:pPr>
    <w:rPr>
      <w:sz w:val="2"/>
      <w:szCs w:val="2"/>
    </w:rPr>
  </w:style>
  <w:style w:type="character" w:styleId="PageNumber">
    <w:name w:val="page number"/>
    <w:rsid w:val="00AE6CBC"/>
  </w:style>
  <w:style w:type="paragraph" w:styleId="Quote">
    <w:name w:val="Quote"/>
    <w:basedOn w:val="Heading1"/>
    <w:link w:val="QuoteChar"/>
    <w:qFormat/>
    <w:rsid w:val="00AE6CBC"/>
    <w:rPr>
      <w:b w:val="0"/>
      <w:sz w:val="72"/>
      <w:szCs w:val="72"/>
      <w:lang w:val="en-NZ"/>
    </w:rPr>
  </w:style>
  <w:style w:type="character" w:customStyle="1" w:styleId="QuoteChar">
    <w:name w:val="Quote Char"/>
    <w:link w:val="Quote"/>
    <w:rsid w:val="00AE6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CBC"/>
    <w:pPr>
      <w:pageBreakBefore/>
    </w:pPr>
  </w:style>
  <w:style w:type="paragraph" w:customStyle="1" w:styleId="Border">
    <w:name w:val="Border"/>
    <w:basedOn w:val="Normal"/>
    <w:qFormat/>
    <w:rsid w:val="00AE6CBC"/>
    <w:pPr>
      <w:pBdr>
        <w:top w:val="single" w:sz="18" w:space="1" w:color="auto"/>
      </w:pBdr>
    </w:pPr>
    <w:rPr>
      <w:rFonts w:ascii="Times New Roman" w:hAnsi="Times New Roman"/>
      <w:color w:val="FFFFFF"/>
      <w:sz w:val="2"/>
    </w:rPr>
  </w:style>
  <w:style w:type="character" w:styleId="IntenseEmphasis">
    <w:name w:val="Intense Emphasis"/>
    <w:uiPriority w:val="21"/>
    <w:qFormat/>
    <w:rsid w:val="00AE6CBC"/>
    <w:rPr>
      <w:b/>
      <w:bCs/>
      <w:i/>
      <w:iCs/>
      <w:color w:val="auto"/>
    </w:rPr>
  </w:style>
  <w:style w:type="paragraph" w:styleId="IntenseQuote">
    <w:name w:val="Intense Quote"/>
    <w:basedOn w:val="Normal"/>
    <w:next w:val="Normal"/>
    <w:link w:val="IntenseQuoteChar"/>
    <w:uiPriority w:val="30"/>
    <w:qFormat/>
    <w:rsid w:val="00AE6CB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6CBC"/>
    <w:rPr>
      <w:rFonts w:ascii="Courier New" w:eastAsia="Times New Roman" w:hAnsi="Courier New" w:cs="Times New Roman"/>
      <w:b/>
      <w:bCs/>
      <w:i/>
      <w:iCs/>
      <w:szCs w:val="20"/>
      <w:lang w:val="en-US" w:eastAsia="en-US"/>
    </w:rPr>
  </w:style>
  <w:style w:type="character" w:styleId="SubtleReference">
    <w:name w:val="Subtle Reference"/>
    <w:uiPriority w:val="31"/>
    <w:qFormat/>
    <w:rsid w:val="00AE6CBC"/>
    <w:rPr>
      <w:smallCaps/>
      <w:color w:val="auto"/>
      <w:u w:val="single"/>
    </w:rPr>
  </w:style>
  <w:style w:type="character" w:styleId="IntenseReference">
    <w:name w:val="Intense Reference"/>
    <w:uiPriority w:val="32"/>
    <w:qFormat/>
    <w:rsid w:val="00AE6CBC"/>
    <w:rPr>
      <w:b/>
      <w:bCs/>
      <w:smallCaps/>
      <w:color w:val="auto"/>
      <w:spacing w:val="5"/>
      <w:u w:val="single"/>
    </w:rPr>
  </w:style>
  <w:style w:type="paragraph" w:customStyle="1" w:styleId="2ColumnHeading">
    <w:name w:val="2Column Heading"/>
    <w:basedOn w:val="BodyText"/>
    <w:qFormat/>
    <w:rsid w:val="00AE6CBC"/>
    <w:pPr>
      <w:spacing w:after="60"/>
      <w:ind w:left="-2268"/>
    </w:pPr>
    <w:rPr>
      <w:b/>
    </w:rPr>
  </w:style>
  <w:style w:type="paragraph" w:customStyle="1" w:styleId="Heading1TOC">
    <w:name w:val="Heading1 TOC"/>
    <w:basedOn w:val="Normal"/>
    <w:qFormat/>
    <w:rsid w:val="00AE6CBC"/>
    <w:pPr>
      <w:spacing w:before="240" w:after="120"/>
    </w:pPr>
    <w:rPr>
      <w:rFonts w:ascii="Times New Roman" w:hAnsi="Times New Roman"/>
      <w:b/>
      <w:sz w:val="32"/>
    </w:rPr>
  </w:style>
  <w:style w:type="paragraph" w:customStyle="1" w:styleId="Heading2TOC">
    <w:name w:val="Heading2 TOC"/>
    <w:basedOn w:val="Normal"/>
    <w:qFormat/>
    <w:rsid w:val="00AE6CBC"/>
    <w:pPr>
      <w:spacing w:before="240" w:after="60"/>
    </w:pPr>
    <w:rPr>
      <w:rFonts w:ascii="Times New Roman" w:hAnsi="Times New Roman"/>
      <w:b/>
      <w:sz w:val="28"/>
    </w:rPr>
  </w:style>
  <w:style w:type="character" w:customStyle="1" w:styleId="Underline">
    <w:name w:val="Underline"/>
    <w:qFormat/>
    <w:rsid w:val="00AE6CBC"/>
    <w:rPr>
      <w:u w:val="single"/>
    </w:rPr>
  </w:style>
  <w:style w:type="character" w:customStyle="1" w:styleId="BoldandItalics">
    <w:name w:val="Bold and Italics"/>
    <w:qFormat/>
    <w:rsid w:val="00AE6CBC"/>
    <w:rPr>
      <w:b/>
      <w:i/>
      <w:u w:val="none"/>
    </w:rPr>
  </w:style>
  <w:style w:type="paragraph" w:styleId="BalloonText">
    <w:name w:val="Balloon Text"/>
    <w:basedOn w:val="Normal"/>
    <w:link w:val="BalloonTextChar"/>
    <w:rsid w:val="00AE6CBC"/>
    <w:rPr>
      <w:rFonts w:ascii="Tahoma" w:hAnsi="Tahoma" w:cs="Tahoma"/>
      <w:sz w:val="16"/>
      <w:szCs w:val="16"/>
    </w:rPr>
  </w:style>
  <w:style w:type="character" w:customStyle="1" w:styleId="BalloonTextChar">
    <w:name w:val="Balloon Text Char"/>
    <w:link w:val="BalloonText"/>
    <w:rsid w:val="00AE6C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6CB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6CB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2184</Words>
  <Characters>13514</Characters>
  <Application>Microsoft Office Word</Application>
  <DocSecurity>0</DocSecurity>
  <Lines>435</Lines>
  <Paragraphs>198</Paragraphs>
  <ScaleCrop>false</ScaleCrop>
  <Company>Author-it Software Corporation Ltd.</Company>
  <LinksUpToDate>false</LinksUpToDate>
  <CharactersWithSpaces>15593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MSL975023A Supervise geotechnical site investigations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2012-05-26T18:39:00Z</dcterms:created>
  <dcterms:modified xsi:type="dcterms:W3CDTF">2012-05-26T18:39:00Z</dcterms:modified>
</cp:coreProperties>
</file>