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30EF" w:rsidP="007F30EF">
      <w:pPr>
        <w:pStyle w:val="Title"/>
      </w:pPr>
      <w:r>
        <w:fldChar w:fldCharType="begin"/>
      </w:r>
      <w:r>
        <w:instrText xml:space="preserve"> TITLE   \* MERGEFORMAT </w:instrText>
      </w:r>
      <w:r>
        <w:fldChar w:fldCharType="separate"/>
      </w:r>
      <w:r>
        <w:t>MSL975012A Provide input to production trials</w:t>
      </w:r>
      <w:r>
        <w:fldChar w:fldCharType="end"/>
      </w:r>
    </w:p>
    <w:p w:rsidR="007F30EF" w:rsidP="007F30EF">
      <w:pPr>
        <w:pStyle w:val="Version"/>
        <w:sectPr w:rsidSect="00444D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44D21" w:rsidP="00444D21">
      <w:pPr>
        <w:pStyle w:val="SuperHeading"/>
      </w:pPr>
      <w:r w:rsidRPr="00444D21">
        <w:t>MSL975012A Provide input to production trials</w:t>
      </w:r>
    </w:p>
    <w:p w:rsidR="00000000" w:rsidRPr="00444D21" w:rsidP="00444D21">
      <w:pPr>
        <w:pStyle w:val="SuperHeading"/>
      </w:pPr>
    </w:p>
    <w:p w:rsidR="00000000" w:rsidRPr="00444D21" w:rsidP="00444D21">
      <w:pPr>
        <w:pStyle w:val="Heading1"/>
      </w:pPr>
      <w:bookmarkStart w:id="1" w:name="O_103611"/>
      <w:bookmarkEnd w:id="1"/>
      <w:r w:rsidRPr="00444D21">
        <w:t>Modification History</w:t>
      </w:r>
    </w:p>
    <w:p w:rsidR="00000000" w:rsidRPr="00444D21" w:rsidP="00444D21">
      <w:pPr>
        <w:pStyle w:val="BodyText"/>
      </w:pPr>
      <w:r w:rsidRPr="00444D21">
        <w:t>Not applicable.</w:t>
      </w:r>
    </w:p>
    <w:p w:rsidR="00000000" w:rsidRPr="00444D21" w:rsidP="00444D21">
      <w:pPr>
        <w:pStyle w:val="AllowPageBreak"/>
      </w:pPr>
    </w:p>
    <w:p w:rsidR="00000000" w:rsidRPr="00444D21" w:rsidP="00444D21">
      <w:pPr>
        <w:pStyle w:val="Heading1"/>
      </w:pPr>
      <w:bookmarkStart w:id="2" w:name="O_103612"/>
      <w:bookmarkEnd w:id="2"/>
      <w:r w:rsidRPr="00444D21">
        <w:t>Unit Descriptor</w:t>
      </w:r>
    </w:p>
    <w:tbl>
      <w:tblPr>
        <w:tblW w:w="0" w:type="auto"/>
        <w:tblLayout w:type="fixed"/>
        <w:tblCellMar>
          <w:left w:w="62" w:type="dxa"/>
          <w:right w:w="62" w:type="dxa"/>
        </w:tblCellMar>
        <w:tblLook w:val="0000"/>
      </w:tblPr>
      <w:tblGrid>
        <w:gridCol w:w="2664"/>
        <w:gridCol w:w="5858"/>
      </w:tblGrid>
      <w:tr w:rsidTr="007F30EF">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rsidP="00444D21">
            <w:pPr>
              <w:pStyle w:val="BodyText"/>
            </w:pPr>
            <w:r w:rsidRPr="00444D21">
              <w:t>This unit of competency covers the ability to work closely with production personnel to con</w:t>
            </w:r>
            <w:r w:rsidRPr="00444D21">
              <w:t>duct a routine trial to adjust formulations or develop products and processes following preliminary laboratory work. The unit covers monitoring critical process parameters, collecting and testing of samples and analysing results. The unit does not cover th</w:t>
            </w:r>
            <w:r w:rsidRPr="00444D21">
              <w:t>e planning and management of the trial, development of product briefs or the troubleshooting of equipment and production processes.</w:t>
            </w:r>
          </w:p>
        </w:tc>
      </w:tr>
    </w:tbl>
    <w:p w:rsidR="00000000" w:rsidRPr="00444D21" w:rsidP="00444D21">
      <w:pPr>
        <w:pStyle w:val="BodyText"/>
      </w:pPr>
    </w:p>
    <w:p w:rsidR="00000000" w:rsidRPr="00444D21" w:rsidP="00444D21">
      <w:pPr>
        <w:pStyle w:val="AllowPageBreak"/>
      </w:pPr>
    </w:p>
    <w:p w:rsidR="00000000" w:rsidRPr="00444D21" w:rsidP="00444D21">
      <w:pPr>
        <w:pStyle w:val="Heading1"/>
      </w:pPr>
      <w:bookmarkStart w:id="3" w:name="O_103613"/>
      <w:bookmarkEnd w:id="3"/>
      <w:r w:rsidRPr="00444D21">
        <w:t>Application of the Unit</w:t>
      </w:r>
    </w:p>
    <w:tbl>
      <w:tblPr>
        <w:tblW w:w="0" w:type="auto"/>
        <w:tblLayout w:type="fixed"/>
        <w:tblCellMar>
          <w:left w:w="62" w:type="dxa"/>
          <w:right w:w="62" w:type="dxa"/>
        </w:tblCellMar>
        <w:tblLook w:val="0000"/>
      </w:tblPr>
      <w:tblGrid>
        <w:gridCol w:w="2749"/>
        <w:gridCol w:w="5773"/>
      </w:tblGrid>
      <w:tr w:rsidTr="007F30EF">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rsidP="00444D21">
            <w:pPr>
              <w:pStyle w:val="BodyText"/>
            </w:pPr>
            <w:r w:rsidRPr="00444D21">
              <w:t>This unit of competency is applicable to laboratory technicians and technical officers working in the manufacturing, biotechnology, construction materials, pharmaceutical and food processing industry sectors. All operations must comply with relevant standa</w:t>
            </w:r>
            <w:r w:rsidRPr="00444D21">
              <w:t>rds, appropriate procedures and/or enterprise requirements.</w:t>
            </w:r>
          </w:p>
          <w:p w:rsidR="00000000" w:rsidRPr="00444D21" w:rsidP="00444D21">
            <w:pPr>
              <w:pStyle w:val="BodyText"/>
            </w:pPr>
            <w:r w:rsidRPr="00444D21">
              <w:t>Industry representatives have provided case studies to illustrate the practical application of this unit of competency and to show its relevance in a workplace setting. These can be found at the e</w:t>
            </w:r>
            <w:r w:rsidRPr="00444D21">
              <w:t>nd of this unit of competency under the section 'This competency in practice'.</w:t>
            </w:r>
          </w:p>
        </w:tc>
      </w:tr>
    </w:tbl>
    <w:p w:rsidR="00000000" w:rsidRPr="00444D21" w:rsidP="00444D21">
      <w:pPr>
        <w:pStyle w:val="BodyText"/>
      </w:pPr>
    </w:p>
    <w:p w:rsidR="00000000" w:rsidRPr="00444D21" w:rsidP="00444D21">
      <w:pPr>
        <w:pStyle w:val="AllowPageBreak"/>
      </w:pPr>
    </w:p>
    <w:p w:rsidR="00000000" w:rsidRPr="00444D21" w:rsidP="00444D21">
      <w:pPr>
        <w:pStyle w:val="Heading1"/>
      </w:pPr>
      <w:bookmarkStart w:id="4" w:name="O_103614"/>
      <w:bookmarkEnd w:id="4"/>
      <w:r w:rsidRPr="00444D21">
        <w:t>Licensing/Regulatory Information</w:t>
      </w:r>
    </w:p>
    <w:p w:rsidR="00000000" w:rsidRPr="00444D21" w:rsidP="00444D21">
      <w:pPr>
        <w:pStyle w:val="BodyText"/>
      </w:pPr>
      <w:r w:rsidRPr="00444D21">
        <w:t>Not applicable.</w:t>
      </w:r>
    </w:p>
    <w:p w:rsidR="00000000" w:rsidRPr="00444D21" w:rsidP="00444D21">
      <w:pPr>
        <w:pStyle w:val="AllowPageBreak"/>
      </w:pPr>
    </w:p>
    <w:p w:rsidR="00000000" w:rsidRPr="00444D21" w:rsidP="00444D21">
      <w:pPr>
        <w:pStyle w:val="Heading1"/>
      </w:pPr>
      <w:bookmarkStart w:id="5" w:name="O_103616"/>
      <w:bookmarkEnd w:id="5"/>
      <w:r w:rsidRPr="00444D21">
        <w:t>Pre-Requisites</w:t>
      </w:r>
    </w:p>
    <w:tbl>
      <w:tblPr>
        <w:tblW w:w="0" w:type="auto"/>
        <w:tblLayout w:type="fixed"/>
        <w:tblCellMar>
          <w:left w:w="62" w:type="dxa"/>
          <w:right w:w="62" w:type="dxa"/>
        </w:tblCellMar>
        <w:tblLook w:val="0000"/>
      </w:tblPr>
      <w:tblGrid>
        <w:gridCol w:w="2653"/>
        <w:gridCol w:w="2785"/>
        <w:gridCol w:w="3084"/>
      </w:tblGrid>
      <w:tr w:rsidTr="007F30EF">
        <w:tblPrEx>
          <w:tblW w:w="0" w:type="auto"/>
          <w:tblLayout w:type="fixed"/>
          <w:tblCellMar>
            <w:left w:w="62" w:type="dxa"/>
            <w:right w:w="62" w:type="dxa"/>
          </w:tblCellMar>
          <w:tblLook w:val="0000"/>
        </w:tblPrEx>
        <w:trPr>
          <w:tblHeader/>
        </w:trPr>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SpecialBold"/>
              </w:rPr>
              <w:t>Prerequisite units</w:t>
            </w:r>
          </w:p>
        </w:tc>
        <w:tc>
          <w:tcPr>
            <w:tcW w:w="586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p>
        </w:tc>
      </w:tr>
      <w:tr w:rsidTr="007F30EF">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rsidP="00444D21">
            <w:pPr>
              <w:pStyle w:val="BodyText"/>
            </w:pPr>
            <w:r w:rsidRPr="00444D21">
              <w:rPr>
                <w:rStyle w:val="Emphasis"/>
              </w:rPr>
              <w:t>MSL974003A</w:t>
            </w:r>
          </w:p>
        </w:tc>
        <w:tc>
          <w:tcPr>
            <w:tcW w:w="3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Emphasis"/>
              </w:rPr>
              <w:t>Perform chemical tests and procedures</w:t>
            </w:r>
          </w:p>
        </w:tc>
      </w:tr>
      <w:tr w:rsidTr="007F30EF">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pPr>
              <w:pStyle w:val="BodyText"/>
              <w:keepNext w:val="0"/>
              <w:keepLines w:val="0"/>
              <w:contextualSpacing w:val="0"/>
            </w:pPr>
          </w:p>
        </w:tc>
        <w:tc>
          <w:tcPr>
            <w:tcW w:w="3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BoldandItalics"/>
              </w:rPr>
              <w:t>OR</w:t>
            </w:r>
          </w:p>
        </w:tc>
      </w:tr>
      <w:tr w:rsidTr="007F30EF">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rsidP="00444D21">
            <w:pPr>
              <w:pStyle w:val="BodyText"/>
            </w:pPr>
            <w:r w:rsidRPr="00444D21">
              <w:rPr>
                <w:rStyle w:val="Emphasis"/>
              </w:rPr>
              <w:t>MSL974004A</w:t>
            </w:r>
          </w:p>
        </w:tc>
        <w:tc>
          <w:tcPr>
            <w:tcW w:w="3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Emphasis"/>
              </w:rPr>
              <w:t>Perform food tests</w:t>
            </w:r>
          </w:p>
        </w:tc>
      </w:tr>
      <w:tr w:rsidTr="007F30EF">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pPr>
              <w:pStyle w:val="BodyText"/>
              <w:keepNext w:val="0"/>
              <w:keepLines w:val="0"/>
              <w:contextualSpacing w:val="0"/>
            </w:pPr>
          </w:p>
        </w:tc>
        <w:tc>
          <w:tcPr>
            <w:tcW w:w="3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BoldandItalics"/>
              </w:rPr>
              <w:t>OR</w:t>
            </w:r>
          </w:p>
        </w:tc>
      </w:tr>
      <w:tr w:rsidTr="007F30EF">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rsidP="00444D21">
            <w:pPr>
              <w:pStyle w:val="BodyText"/>
            </w:pPr>
            <w:r w:rsidRPr="00444D21">
              <w:rPr>
                <w:rStyle w:val="Emphasis"/>
              </w:rPr>
              <w:t>MSL974005A</w:t>
            </w:r>
          </w:p>
        </w:tc>
        <w:tc>
          <w:tcPr>
            <w:tcW w:w="3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Emphasis"/>
              </w:rPr>
              <w:t>Perform physical tests</w:t>
            </w:r>
          </w:p>
        </w:tc>
      </w:tr>
      <w:tr w:rsidTr="007F30EF">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pPr>
              <w:pStyle w:val="BodyText"/>
              <w:keepNext w:val="0"/>
              <w:keepLines w:val="0"/>
              <w:contextualSpacing w:val="0"/>
            </w:pPr>
          </w:p>
        </w:tc>
        <w:tc>
          <w:tcPr>
            <w:tcW w:w="3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BoldandItalics"/>
              </w:rPr>
              <w:t>OR</w:t>
            </w:r>
          </w:p>
        </w:tc>
      </w:tr>
      <w:tr w:rsidTr="007F30EF">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rsidP="00444D21">
            <w:pPr>
              <w:pStyle w:val="BodyText"/>
            </w:pPr>
            <w:r w:rsidRPr="00444D21">
              <w:rPr>
                <w:rStyle w:val="Emphasis"/>
              </w:rPr>
              <w:t>MSL974010A</w:t>
            </w:r>
          </w:p>
        </w:tc>
        <w:tc>
          <w:tcPr>
            <w:tcW w:w="3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rsidP="00444D21">
            <w:pPr>
              <w:pStyle w:val="BodyText"/>
            </w:pPr>
            <w:r w:rsidRPr="00444D21">
              <w:rPr>
                <w:rStyle w:val="Emphasis"/>
              </w:rPr>
              <w:t>Perform mechanical tests</w:t>
            </w:r>
          </w:p>
        </w:tc>
      </w:tr>
    </w:tbl>
    <w:p w:rsidR="00000000" w:rsidRPr="00444D21" w:rsidP="00444D21">
      <w:pPr>
        <w:pStyle w:val="BodyText"/>
      </w:pPr>
    </w:p>
    <w:p w:rsidR="00000000" w:rsidRPr="00444D21" w:rsidP="00444D21">
      <w:pPr>
        <w:pStyle w:val="AllowPageBreak"/>
      </w:pPr>
    </w:p>
    <w:p w:rsidR="00000000" w:rsidRPr="00444D21" w:rsidP="00444D21">
      <w:pPr>
        <w:pStyle w:val="Heading1"/>
      </w:pPr>
      <w:bookmarkStart w:id="6" w:name="O_103615"/>
      <w:bookmarkEnd w:id="6"/>
      <w:r w:rsidRPr="00444D21">
        <w:t>Employability Skills Information</w:t>
      </w:r>
    </w:p>
    <w:tbl>
      <w:tblPr>
        <w:tblW w:w="0" w:type="auto"/>
        <w:tblLayout w:type="fixed"/>
        <w:tblCellMar>
          <w:left w:w="62" w:type="dxa"/>
          <w:right w:w="62" w:type="dxa"/>
        </w:tblCellMar>
        <w:tblLook w:val="0000"/>
      </w:tblPr>
      <w:tblGrid>
        <w:gridCol w:w="2802"/>
        <w:gridCol w:w="5720"/>
      </w:tblGrid>
      <w:tr w:rsidTr="007F30E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rsidP="00444D21">
            <w:pPr>
              <w:pStyle w:val="BodyText"/>
            </w:pPr>
            <w:r w:rsidRPr="00444D21">
              <w:t>This unit contains employability skills.</w:t>
            </w:r>
          </w:p>
        </w:tc>
      </w:tr>
    </w:tbl>
    <w:p w:rsidR="00000000" w:rsidRPr="00444D21" w:rsidP="00444D21">
      <w:pPr>
        <w:pStyle w:val="BodyText"/>
      </w:pPr>
    </w:p>
    <w:p w:rsidR="00000000" w:rsidRPr="00444D21" w:rsidP="00444D21">
      <w:pPr>
        <w:pStyle w:val="AllowPageBreak"/>
      </w:pPr>
    </w:p>
    <w:p w:rsidR="00000000" w:rsidRPr="00444D21" w:rsidP="00444D21">
      <w:pPr>
        <w:pStyle w:val="Heading1"/>
      </w:pPr>
      <w:bookmarkStart w:id="7" w:name="O_103617"/>
      <w:bookmarkEnd w:id="7"/>
      <w:r w:rsidRPr="00444D21">
        <w:t>Elements and Performance Criteria Pre-Content</w:t>
      </w:r>
    </w:p>
    <w:tbl>
      <w:tblPr>
        <w:tblW w:w="0" w:type="auto"/>
        <w:tblLayout w:type="fixed"/>
        <w:tblCellMar>
          <w:left w:w="62" w:type="dxa"/>
          <w:right w:w="62" w:type="dxa"/>
        </w:tblCellMar>
        <w:tblLook w:val="0000"/>
      </w:tblPr>
      <w:tblGrid>
        <w:gridCol w:w="2569"/>
        <w:gridCol w:w="5953"/>
      </w:tblGrid>
      <w:tr w:rsidTr="007F30EF">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rsidP="00444D21">
            <w:pPr>
              <w:pStyle w:val="BodyText"/>
            </w:pPr>
            <w:r w:rsidRPr="00444D21">
              <w:t>Performance criteria describe the performance needed to demonstrate achievement of the element. Where bold italicised text is used, further info</w:t>
            </w:r>
            <w:r w:rsidRPr="00444D21">
              <w:t>rmation is detailed in the required skills and knowledge section and the range statement. Assessment of performance is to be consistent with the evidence guide.</w:t>
            </w:r>
          </w:p>
        </w:tc>
      </w:tr>
    </w:tbl>
    <w:p w:rsidR="00000000" w:rsidRPr="00444D21" w:rsidP="00444D21">
      <w:pPr>
        <w:pStyle w:val="BodyText"/>
      </w:pPr>
    </w:p>
    <w:p w:rsidR="00000000" w:rsidRPr="00444D21" w:rsidP="00444D21">
      <w:pPr>
        <w:pStyle w:val="AllowPageBreak"/>
      </w:pPr>
    </w:p>
    <w:p w:rsidR="00000000" w:rsidRPr="00444D21" w:rsidP="00444D21">
      <w:pPr>
        <w:pStyle w:val="Heading1"/>
      </w:pPr>
      <w:bookmarkStart w:id="8" w:name="O_103618"/>
      <w:bookmarkEnd w:id="8"/>
      <w:r w:rsidRPr="00444D21">
        <w:t>Elements and Performance Criteria</w:t>
      </w:r>
    </w:p>
    <w:tbl>
      <w:tblPr>
        <w:tblW w:w="0" w:type="auto"/>
        <w:tblLayout w:type="fixed"/>
        <w:tblCellMar>
          <w:left w:w="62" w:type="dxa"/>
          <w:right w:w="62" w:type="dxa"/>
        </w:tblCellMar>
        <w:tblLook w:val="0000"/>
      </w:tblPr>
      <w:tblGrid>
        <w:gridCol w:w="2569"/>
        <w:gridCol w:w="5953"/>
      </w:tblGrid>
      <w:tr w:rsidTr="007F30EF">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rsidP="00444D21">
            <w:pPr>
              <w:pStyle w:val="BodyText"/>
            </w:pPr>
            <w:r w:rsidRPr="00444D21">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SpecialBold"/>
              </w:rPr>
              <w:t>PERFORMANCE CRITERIA</w:t>
            </w:r>
          </w:p>
        </w:tc>
      </w:tr>
      <w:tr w:rsidTr="007F30EF">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List"/>
              <w:rPr>
                <w:lang w:val="en-NZ"/>
              </w:rPr>
            </w:pPr>
            <w:r w:rsidRPr="00444D21">
              <w:t>1.</w:t>
            </w:r>
            <w:r w:rsidRPr="00444D21">
              <w:tab/>
            </w:r>
            <w:r w:rsidRPr="00444D21">
              <w:t>Prepare for the trial</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rsidP="00444D21">
            <w:pPr>
              <w:pStyle w:val="List2"/>
            </w:pPr>
            <w:r w:rsidRPr="00444D21">
              <w:t>1.1.</w:t>
            </w:r>
            <w:r w:rsidRPr="00444D21">
              <w:tab/>
              <w:t>Clarify trial objectives, specifications, documentation and reporting requirements</w:t>
            </w:r>
          </w:p>
          <w:p w:rsidR="00000000" w:rsidRPr="00444D21" w:rsidP="00444D21">
            <w:pPr>
              <w:pStyle w:val="List2"/>
            </w:pPr>
            <w:r w:rsidRPr="00444D21">
              <w:t>1.2.</w:t>
            </w:r>
            <w:r w:rsidRPr="00444D21">
              <w:tab/>
              <w:t>Identify the environmental, health, safety, and /or food safety hazards associated with the trial and the recommended control procedures</w:t>
            </w:r>
          </w:p>
          <w:p w:rsidR="00000000" w:rsidRPr="00444D21" w:rsidP="00444D21">
            <w:pPr>
              <w:pStyle w:val="List2"/>
            </w:pPr>
            <w:r w:rsidRPr="00444D21">
              <w:t>1.3.</w:t>
            </w:r>
            <w:r w:rsidRPr="00444D21">
              <w:tab/>
              <w:t>Determine the availability of resources and the need for any clearances, special safety and storage requirements</w:t>
            </w:r>
          </w:p>
          <w:p w:rsidR="00000000" w:rsidRPr="00444D21" w:rsidP="00444D21">
            <w:pPr>
              <w:pStyle w:val="List2"/>
            </w:pPr>
            <w:r w:rsidRPr="00444D21">
              <w:t>1.4.</w:t>
            </w:r>
            <w:r w:rsidRPr="00444D21">
              <w:tab/>
              <w:t>Review the recommended trial schedule to identify potential barriers/constraints and develop alternatives as necessary</w:t>
            </w:r>
          </w:p>
          <w:p w:rsidR="00000000" w:rsidP="00444D21">
            <w:pPr>
              <w:pStyle w:val="List2"/>
              <w:rPr>
                <w:lang w:val="en-NZ"/>
              </w:rPr>
            </w:pPr>
            <w:r w:rsidRPr="00444D21">
              <w:t>1.5.</w:t>
            </w:r>
            <w:r w:rsidRPr="00444D21">
              <w:tab/>
              <w:t>Communicate a</w:t>
            </w:r>
            <w:r w:rsidRPr="00444D21">
              <w:t>nd confirm all laboratory requirements with plant operators and personnel in related work areas and functions</w:t>
            </w:r>
          </w:p>
        </w:tc>
      </w:tr>
      <w:tr w:rsidTr="007F30EF">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List"/>
              <w:rPr>
                <w:lang w:val="en-NZ"/>
              </w:rPr>
            </w:pPr>
            <w:r w:rsidRPr="00444D21">
              <w:t>2.</w:t>
            </w:r>
            <w:r w:rsidRPr="00444D21">
              <w:tab/>
              <w:t>Participate in the trial</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rsidP="00444D21">
            <w:pPr>
              <w:pStyle w:val="List2"/>
            </w:pPr>
            <w:r w:rsidRPr="00444D21">
              <w:t>2.1.</w:t>
            </w:r>
            <w:r w:rsidRPr="00444D21">
              <w:tab/>
              <w:t>Reconfirm trial details with all relevant personnel</w:t>
            </w:r>
          </w:p>
          <w:p w:rsidR="00000000" w:rsidRPr="00444D21" w:rsidP="00444D21">
            <w:pPr>
              <w:pStyle w:val="List2"/>
            </w:pPr>
            <w:r w:rsidRPr="00444D21">
              <w:t>2.2.</w:t>
            </w:r>
            <w:r w:rsidRPr="00444D21">
              <w:tab/>
              <w:t>Identify any last minute changes and delays and make ap</w:t>
            </w:r>
            <w:r w:rsidRPr="00444D21">
              <w:t>propriate adjustments</w:t>
            </w:r>
          </w:p>
          <w:p w:rsidR="00000000" w:rsidRPr="00444D21" w:rsidP="00444D21">
            <w:pPr>
              <w:pStyle w:val="List2"/>
            </w:pPr>
            <w:r w:rsidRPr="00444D21">
              <w:t>2.3.</w:t>
            </w:r>
            <w:r w:rsidRPr="00444D21">
              <w:tab/>
              <w:t>Liaise closely with production personnel to conduct the trial safely and efficiently</w:t>
            </w:r>
          </w:p>
          <w:p w:rsidR="00000000" w:rsidRPr="00444D21" w:rsidP="00444D21">
            <w:pPr>
              <w:pStyle w:val="List2"/>
            </w:pPr>
            <w:r w:rsidRPr="00444D21">
              <w:t>2.4.</w:t>
            </w:r>
            <w:r w:rsidRPr="00444D21">
              <w:tab/>
              <w:t>Collect required product samples for laboratory analysis and/or reference</w:t>
            </w:r>
          </w:p>
          <w:p w:rsidR="00000000" w:rsidRPr="00444D21" w:rsidP="00444D21">
            <w:pPr>
              <w:pStyle w:val="List2"/>
            </w:pPr>
            <w:r w:rsidRPr="00444D21">
              <w:t>2.5.</w:t>
            </w:r>
            <w:r w:rsidRPr="00444D21">
              <w:tab/>
              <w:t>Monitor critical process parameters and record required data</w:t>
            </w:r>
          </w:p>
          <w:p w:rsidR="00000000" w:rsidRPr="00444D21" w:rsidP="00444D21">
            <w:pPr>
              <w:pStyle w:val="List2"/>
            </w:pPr>
            <w:r w:rsidRPr="00444D21">
              <w:t>2.6.</w:t>
            </w:r>
            <w:r w:rsidRPr="00444D21">
              <w:tab/>
              <w:t>Monitor data to identify problems, significant process variations and/or unacceptable product</w:t>
            </w:r>
          </w:p>
          <w:p w:rsidR="00000000" w:rsidRPr="00444D21" w:rsidP="00444D21">
            <w:pPr>
              <w:pStyle w:val="List2"/>
            </w:pPr>
            <w:r w:rsidRPr="00444D21">
              <w:t>2.7.</w:t>
            </w:r>
            <w:r w:rsidRPr="00444D21">
              <w:tab/>
              <w:t>Recommend changes to production processes as required</w:t>
            </w:r>
          </w:p>
          <w:p w:rsidR="00000000" w:rsidP="00444D21">
            <w:pPr>
              <w:pStyle w:val="List2"/>
              <w:rPr>
                <w:lang w:val="en-NZ"/>
              </w:rPr>
            </w:pPr>
            <w:r w:rsidRPr="00444D21">
              <w:t>2.8.</w:t>
            </w:r>
            <w:r w:rsidRPr="00444D21">
              <w:tab/>
              <w:t>Leave plant in condition suitable for routine production to recommence</w:t>
            </w:r>
          </w:p>
        </w:tc>
      </w:tr>
      <w:tr w:rsidTr="007F30EF">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List"/>
              <w:rPr>
                <w:lang w:val="en-NZ"/>
              </w:rPr>
            </w:pPr>
            <w:r w:rsidRPr="00444D21">
              <w:t>3.</w:t>
            </w:r>
            <w:r w:rsidRPr="00444D21">
              <w:tab/>
            </w:r>
            <w:r w:rsidRPr="00444D21">
              <w:t>Assess and report trial outcomes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rsidP="00444D21">
            <w:pPr>
              <w:pStyle w:val="List2"/>
            </w:pPr>
            <w:r w:rsidRPr="00444D21">
              <w:t>3.1.</w:t>
            </w:r>
            <w:r w:rsidRPr="00444D21">
              <w:tab/>
              <w:t>Arrange for, or conduct, testing of product samples to check specifications</w:t>
            </w:r>
          </w:p>
          <w:p w:rsidR="00000000" w:rsidRPr="00444D21" w:rsidP="00444D21">
            <w:pPr>
              <w:pStyle w:val="List2"/>
            </w:pPr>
            <w:r w:rsidRPr="00444D21">
              <w:t>3.2.</w:t>
            </w:r>
            <w:r w:rsidRPr="00444D21">
              <w:tab/>
              <w:t>Analyse test results and relate properties of product samples to formulation details and processing methods</w:t>
            </w:r>
          </w:p>
          <w:p w:rsidR="00000000" w:rsidRPr="00444D21" w:rsidP="00444D21">
            <w:pPr>
              <w:pStyle w:val="List2"/>
            </w:pPr>
            <w:r w:rsidRPr="00444D21">
              <w:t>3.3.</w:t>
            </w:r>
            <w:r w:rsidRPr="00444D21">
              <w:tab/>
              <w:t>Identify and investigate</w:t>
            </w:r>
            <w:r w:rsidRPr="00444D21">
              <w:t xml:space="preserve"> out of specification or unacceptable outcomes, as required</w:t>
            </w:r>
          </w:p>
          <w:p w:rsidR="00000000" w:rsidRPr="00444D21" w:rsidP="00444D21">
            <w:pPr>
              <w:pStyle w:val="List2"/>
            </w:pPr>
            <w:r w:rsidRPr="00444D21">
              <w:t>3.4.</w:t>
            </w:r>
            <w:r w:rsidRPr="00444D21">
              <w:tab/>
              <w:t>Recommend possible modifications and/or opportunities for improvements within limits of role and responsibility</w:t>
            </w:r>
          </w:p>
          <w:p w:rsidR="00000000" w:rsidP="00444D21">
            <w:pPr>
              <w:pStyle w:val="List2"/>
              <w:rPr>
                <w:lang w:val="en-NZ"/>
              </w:rPr>
            </w:pPr>
            <w:r w:rsidRPr="00444D21">
              <w:t>3.5.</w:t>
            </w:r>
            <w:r w:rsidRPr="00444D21">
              <w:tab/>
              <w:t>Document and report trial outcomes in accordance with enterprise procedure</w:t>
            </w:r>
            <w:r w:rsidRPr="00444D21">
              <w:t>s</w:t>
            </w:r>
          </w:p>
        </w:tc>
      </w:tr>
      <w:tr w:rsidTr="007F30EF">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List"/>
              <w:rPr>
                <w:lang w:val="en-NZ"/>
              </w:rPr>
            </w:pPr>
            <w:r w:rsidRPr="00444D21">
              <w:t>4.</w:t>
            </w:r>
            <w:r w:rsidRPr="00444D21">
              <w:tab/>
              <w:t>Maintain a safe work environment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rsidP="00444D21">
            <w:pPr>
              <w:pStyle w:val="List2"/>
            </w:pPr>
            <w:r w:rsidRPr="00444D21">
              <w:t>4.1.</w:t>
            </w:r>
            <w:r w:rsidRPr="00444D21">
              <w:tab/>
              <w:t>Use established safe work practices and personal protective equipment to ensure personal safety and that of other personnel</w:t>
            </w:r>
          </w:p>
          <w:p w:rsidR="00000000" w:rsidRPr="00444D21" w:rsidP="00444D21">
            <w:pPr>
              <w:pStyle w:val="List2"/>
            </w:pPr>
            <w:r w:rsidRPr="00444D21">
              <w:t>4.2.</w:t>
            </w:r>
            <w:r w:rsidRPr="00444D21">
              <w:tab/>
              <w:t>Minimise the generation of wastes and environmental impacts</w:t>
            </w:r>
          </w:p>
          <w:p w:rsidR="00000000" w:rsidRPr="00444D21" w:rsidP="00444D21">
            <w:pPr>
              <w:pStyle w:val="List2"/>
            </w:pPr>
            <w:r w:rsidRPr="00444D21">
              <w:t>4.3.</w:t>
            </w:r>
            <w:r w:rsidRPr="00444D21">
              <w:tab/>
              <w:t>Ensure the safe co</w:t>
            </w:r>
            <w:r w:rsidRPr="00444D21">
              <w:t>llection of laboratory and hazardous waste for subsequent disposal</w:t>
            </w:r>
          </w:p>
          <w:p w:rsidR="00000000" w:rsidRPr="00444D21" w:rsidP="00444D21">
            <w:pPr>
              <w:pStyle w:val="List2"/>
            </w:pPr>
            <w:r w:rsidRPr="00444D21">
              <w:t>4.4.</w:t>
            </w:r>
            <w:r w:rsidRPr="00444D21">
              <w:tab/>
              <w:t>Care for and store equipment and reagents as required</w:t>
            </w:r>
          </w:p>
        </w:tc>
      </w:tr>
    </w:tbl>
    <w:p w:rsidR="00000000" w:rsidRPr="00444D21" w:rsidP="00444D21">
      <w:pPr>
        <w:pStyle w:val="BodyText"/>
      </w:pPr>
    </w:p>
    <w:p w:rsidR="00000000" w:rsidRPr="00444D21" w:rsidP="00444D21">
      <w:pPr>
        <w:pStyle w:val="AllowPageBreak"/>
      </w:pPr>
    </w:p>
    <w:p w:rsidR="00000000" w:rsidRPr="00444D21" w:rsidP="00444D21">
      <w:pPr>
        <w:pStyle w:val="Heading1"/>
      </w:pPr>
      <w:bookmarkStart w:id="9" w:name="O_103619"/>
      <w:bookmarkEnd w:id="9"/>
      <w:r w:rsidRPr="00444D21">
        <w:t>Required Skills and Knowledge</w:t>
      </w:r>
    </w:p>
    <w:tbl>
      <w:tblPr>
        <w:tblW w:w="0" w:type="auto"/>
        <w:tblLayout w:type="fixed"/>
        <w:tblCellMar>
          <w:left w:w="62" w:type="dxa"/>
          <w:right w:w="62" w:type="dxa"/>
        </w:tblCellMar>
        <w:tblLook w:val="0000"/>
      </w:tblPr>
      <w:tblGrid>
        <w:gridCol w:w="8522"/>
      </w:tblGrid>
      <w:tr w:rsidTr="007F30E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SpecialBold"/>
              </w:rPr>
              <w:t>REQUIRED SKILLS AND KNOWLEDGE</w:t>
            </w:r>
          </w:p>
        </w:tc>
      </w:tr>
      <w:tr w:rsidTr="007F30E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t>This section describes the skills and knowledge required for this unit.</w:t>
            </w:r>
          </w:p>
        </w:tc>
      </w:tr>
      <w:tr w:rsidTr="007F30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SpecialBold"/>
              </w:rPr>
              <w:t>Required skills</w:t>
            </w:r>
          </w:p>
        </w:tc>
      </w:tr>
      <w:tr w:rsidTr="007F30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rsidP="00444D21">
            <w:pPr>
              <w:pStyle w:val="BodyText"/>
            </w:pPr>
            <w:r w:rsidRPr="00444D21">
              <w:t>Required skills include:</w:t>
            </w:r>
          </w:p>
          <w:p w:rsidR="00000000" w:rsidRPr="00444D21" w:rsidP="00444D21">
            <w:pPr>
              <w:pStyle w:val="ListBullet"/>
            </w:pPr>
            <w:r w:rsidRPr="00444D21">
              <w:t>analysing trial objectives and specifications to accurately determine resource requirements</w:t>
            </w:r>
          </w:p>
          <w:p w:rsidR="00000000" w:rsidRPr="00444D21" w:rsidP="00444D21">
            <w:pPr>
              <w:pStyle w:val="ListBullet"/>
            </w:pPr>
            <w:r w:rsidRPr="00444D21">
              <w:t>liaising with relevant personnel to ensure trials are organised and conducted efficiently</w:t>
            </w:r>
          </w:p>
          <w:p w:rsidR="00000000" w:rsidRPr="00444D21" w:rsidP="00444D21">
            <w:pPr>
              <w:pStyle w:val="ListBullet"/>
            </w:pPr>
            <w:r w:rsidRPr="00444D21">
              <w:t xml:space="preserve">following safety requirements </w:t>
            </w:r>
          </w:p>
          <w:p w:rsidR="00000000" w:rsidRPr="00444D21" w:rsidP="00444D21">
            <w:pPr>
              <w:pStyle w:val="ListBullet"/>
            </w:pPr>
            <w:r w:rsidRPr="00444D21">
              <w:t>working within production constraints, priorities and pressures</w:t>
            </w:r>
          </w:p>
          <w:p w:rsidR="00000000" w:rsidRPr="00444D21" w:rsidP="00444D21">
            <w:pPr>
              <w:pStyle w:val="ListBullet"/>
            </w:pPr>
            <w:r w:rsidRPr="00444D21">
              <w:t xml:space="preserve">communicating effectively with personnel </w:t>
            </w:r>
          </w:p>
          <w:p w:rsidR="00000000" w:rsidRPr="00444D21" w:rsidP="00444D21">
            <w:pPr>
              <w:pStyle w:val="ListBullet"/>
            </w:pPr>
            <w:r w:rsidRPr="00444D21">
              <w:t>collecting accurate trial dat</w:t>
            </w:r>
            <w:r w:rsidRPr="00444D21">
              <w:t>a and samples in the time available</w:t>
            </w:r>
          </w:p>
          <w:p w:rsidR="00000000" w:rsidRPr="00444D21" w:rsidP="00444D21">
            <w:pPr>
              <w:pStyle w:val="ListBullet"/>
            </w:pPr>
            <w:r w:rsidRPr="00444D21">
              <w:t>recognising, interpreting and reporting problems, atypical situations or unacceptable products</w:t>
            </w:r>
          </w:p>
          <w:p w:rsidR="00000000" w:rsidRPr="00444D21" w:rsidP="00444D21">
            <w:pPr>
              <w:pStyle w:val="ListBullet"/>
            </w:pPr>
            <w:r w:rsidRPr="00444D21">
              <w:t xml:space="preserve">recommending product modifications and improvements </w:t>
            </w:r>
          </w:p>
          <w:p w:rsidR="00000000" w:rsidP="00444D21">
            <w:pPr>
              <w:pStyle w:val="ListBullet"/>
              <w:rPr>
                <w:lang w:val="en-NZ"/>
              </w:rPr>
            </w:pPr>
            <w:r w:rsidRPr="00444D21">
              <w:t>reporting trial outcomes in accordance with enterprise procedures</w:t>
            </w:r>
          </w:p>
        </w:tc>
      </w:tr>
      <w:tr w:rsidTr="007F30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SpecialBold"/>
              </w:rPr>
              <w:t>Requi</w:t>
            </w:r>
            <w:r w:rsidRPr="00444D21">
              <w:rPr>
                <w:rStyle w:val="SpecialBold"/>
              </w:rPr>
              <w:t>red knowledge</w:t>
            </w:r>
          </w:p>
        </w:tc>
      </w:tr>
      <w:tr w:rsidTr="007F30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rsidP="00444D21">
            <w:pPr>
              <w:pStyle w:val="BodyText"/>
            </w:pPr>
            <w:r w:rsidRPr="00444D21">
              <w:t>Required knowledge includes:</w:t>
            </w:r>
          </w:p>
          <w:p w:rsidR="00000000" w:rsidRPr="00444D21" w:rsidP="00444D21">
            <w:pPr>
              <w:pStyle w:val="ListBullet"/>
            </w:pPr>
            <w:r w:rsidRPr="00444D21">
              <w:t>trial objectives, laboratory trial requirements, documentation and reporting requirements</w:t>
            </w:r>
          </w:p>
          <w:p w:rsidR="00000000" w:rsidRPr="00444D21" w:rsidP="00444D21">
            <w:pPr>
              <w:pStyle w:val="ListBullet"/>
            </w:pPr>
            <w:r w:rsidRPr="00444D21">
              <w:t>recipes/formulations, technical specifications and quality parameters for trial products</w:t>
            </w:r>
          </w:p>
          <w:p w:rsidR="00000000" w:rsidRPr="00444D21" w:rsidP="00444D21">
            <w:pPr>
              <w:pStyle w:val="ListBullet"/>
            </w:pPr>
            <w:r w:rsidRPr="00444D21">
              <w:t>effect on product properties of variations in recipes/formulations</w:t>
            </w:r>
          </w:p>
          <w:p w:rsidR="00000000" w:rsidRPr="00444D21" w:rsidP="00444D21">
            <w:pPr>
              <w:pStyle w:val="ListBullet"/>
            </w:pPr>
            <w:r w:rsidRPr="00444D21">
              <w:t>product properties, process stages and unit operations involved in the trial</w:t>
            </w:r>
          </w:p>
          <w:p w:rsidR="00000000" w:rsidRPr="00444D21" w:rsidP="00444D21">
            <w:pPr>
              <w:pStyle w:val="ListBullet"/>
            </w:pPr>
            <w:r w:rsidRPr="00444D21">
              <w:t>relationship between temperature and viscosity</w:t>
            </w:r>
          </w:p>
          <w:p w:rsidR="00000000" w:rsidRPr="00444D21" w:rsidP="00444D21">
            <w:pPr>
              <w:pStyle w:val="ListBullet"/>
            </w:pPr>
            <w:r w:rsidRPr="00444D21">
              <w:t>friction, pumping and fluid flow</w:t>
            </w:r>
          </w:p>
          <w:p w:rsidR="00000000" w:rsidRPr="00444D21" w:rsidP="00444D21">
            <w:pPr>
              <w:pStyle w:val="ListBullet"/>
            </w:pPr>
            <w:r w:rsidRPr="00444D21">
              <w:t>expected nature/condition of materials at each process stage</w:t>
            </w:r>
          </w:p>
          <w:p w:rsidR="00000000" w:rsidRPr="00444D21" w:rsidP="00444D21">
            <w:pPr>
              <w:pStyle w:val="ListBullet"/>
            </w:pPr>
            <w:r w:rsidRPr="00444D21">
              <w:t>causes and remedies for common processing problems associated with trial products</w:t>
            </w:r>
          </w:p>
          <w:p w:rsidR="00000000" w:rsidRPr="00444D21" w:rsidP="00444D21">
            <w:pPr>
              <w:pStyle w:val="ListBullet"/>
            </w:pPr>
            <w:r w:rsidRPr="00444D21">
              <w:t>sampling and test methods for trial products</w:t>
            </w:r>
          </w:p>
          <w:p w:rsidR="00000000" w:rsidRPr="00444D21" w:rsidP="00444D21">
            <w:pPr>
              <w:pStyle w:val="ListBullet"/>
            </w:pPr>
            <w:r w:rsidRPr="00444D21">
              <w:t>occupational health and safety (OHS), food safety and /or environmen</w:t>
            </w:r>
            <w:r w:rsidRPr="00444D21">
              <w:t>tal management procedures relevant to trial</w:t>
            </w:r>
          </w:p>
        </w:tc>
      </w:tr>
    </w:tbl>
    <w:p w:rsidR="00000000" w:rsidRPr="00444D21" w:rsidP="00444D21">
      <w:pPr>
        <w:pStyle w:val="BodyText"/>
      </w:pPr>
    </w:p>
    <w:p w:rsidR="00000000" w:rsidRPr="00444D21" w:rsidP="00444D21">
      <w:pPr>
        <w:pStyle w:val="AllowPageBreak"/>
      </w:pPr>
    </w:p>
    <w:p w:rsidR="00000000" w:rsidRPr="00444D21" w:rsidP="00444D21">
      <w:pPr>
        <w:pStyle w:val="Heading1"/>
      </w:pPr>
      <w:bookmarkStart w:id="10" w:name="O_103620"/>
      <w:bookmarkEnd w:id="10"/>
      <w:r w:rsidRPr="00444D21">
        <w:t>Evidence Guide</w:t>
      </w:r>
    </w:p>
    <w:tbl>
      <w:tblPr>
        <w:tblW w:w="9570" w:type="dxa"/>
        <w:tblLayout w:type="fixed"/>
        <w:tblCellMar>
          <w:left w:w="62" w:type="dxa"/>
          <w:right w:w="62" w:type="dxa"/>
        </w:tblCellMar>
        <w:tblLook w:val="0000"/>
      </w:tblPr>
      <w:tblGrid>
        <w:gridCol w:w="3908"/>
        <w:gridCol w:w="5662"/>
      </w:tblGrid>
      <w:tr w:rsidTr="007F30E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SpecialBold"/>
              </w:rPr>
              <w:t>EVIDENCE GUIDE</w:t>
            </w:r>
          </w:p>
        </w:tc>
      </w:tr>
      <w:tr w:rsidTr="007F30E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t xml:space="preserve">The Evidence Guide provides advice on assessment and must be read in conjunction with the performance criteria, required skills and knowledge, </w:t>
            </w:r>
            <w:r w:rsidRPr="00444D21">
              <w:t>range statement and the Assessment Guidelines for the Training Package.</w:t>
            </w:r>
          </w:p>
        </w:tc>
      </w:tr>
      <w:tr w:rsidTr="007F30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p>
        </w:tc>
      </w:tr>
      <w:tr w:rsidTr="007F30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rsidP="00444D21">
            <w:pPr>
              <w:pStyle w:val="BodyText"/>
            </w:pPr>
            <w:r w:rsidRPr="00444D21">
              <w:t>Assessors should ensure that candidates can:</w:t>
            </w:r>
          </w:p>
          <w:p w:rsidR="00000000" w:rsidRPr="00444D21" w:rsidP="00444D21">
            <w:pPr>
              <w:pStyle w:val="ListBullet"/>
            </w:pPr>
            <w:r w:rsidRPr="00444D21">
              <w:t>analyse trial obje</w:t>
            </w:r>
            <w:r w:rsidRPr="00444D21">
              <w:t>ctives and specifications to accurately determine resource requirements</w:t>
            </w:r>
          </w:p>
          <w:p w:rsidR="00000000" w:rsidRPr="00444D21" w:rsidP="00444D21">
            <w:pPr>
              <w:pStyle w:val="ListBullet"/>
            </w:pPr>
            <w:r w:rsidRPr="00444D21">
              <w:t>liaise with relevant personnel to ensure trials are organised and conducted efficiently</w:t>
            </w:r>
          </w:p>
          <w:p w:rsidR="00000000" w:rsidRPr="00444D21" w:rsidP="00444D21">
            <w:pPr>
              <w:pStyle w:val="ListBullet"/>
            </w:pPr>
            <w:r w:rsidRPr="00444D21">
              <w:t>follow all safety requirements on the production floor</w:t>
            </w:r>
          </w:p>
          <w:p w:rsidR="00000000" w:rsidRPr="00444D21" w:rsidP="00444D21">
            <w:pPr>
              <w:pStyle w:val="ListBullet"/>
            </w:pPr>
            <w:r w:rsidRPr="00444D21">
              <w:t>work within production constraints, priorities and pressures</w:t>
            </w:r>
          </w:p>
          <w:p w:rsidR="00000000" w:rsidRPr="00444D21" w:rsidP="00444D21">
            <w:pPr>
              <w:pStyle w:val="ListBullet"/>
            </w:pPr>
            <w:r w:rsidRPr="00444D21">
              <w:t xml:space="preserve">communicate effectively with personnel </w:t>
            </w:r>
          </w:p>
          <w:p w:rsidR="00000000" w:rsidRPr="00444D21" w:rsidP="00444D21">
            <w:pPr>
              <w:pStyle w:val="ListBullet"/>
            </w:pPr>
            <w:r w:rsidRPr="00444D21">
              <w:t>collect accurate trial data and samples in the time available</w:t>
            </w:r>
          </w:p>
          <w:p w:rsidR="00000000" w:rsidRPr="00444D21" w:rsidP="00444D21">
            <w:pPr>
              <w:pStyle w:val="ListBullet"/>
            </w:pPr>
            <w:r w:rsidRPr="00444D21">
              <w:t>recognise, interpret and report problems, atypical situations or unacceptable products</w:t>
            </w:r>
          </w:p>
          <w:p w:rsidR="00000000" w:rsidRPr="00444D21" w:rsidP="00444D21">
            <w:pPr>
              <w:pStyle w:val="ListBullet"/>
            </w:pPr>
            <w:r w:rsidRPr="00444D21">
              <w:t>recomm</w:t>
            </w:r>
            <w:r w:rsidRPr="00444D21">
              <w:t>end product modifications and improvements within scope of responsibility</w:t>
            </w:r>
          </w:p>
          <w:p w:rsidR="00000000" w:rsidP="00444D21">
            <w:pPr>
              <w:pStyle w:val="ListBullet"/>
              <w:rPr>
                <w:lang w:val="en-NZ"/>
              </w:rPr>
            </w:pPr>
            <w:r w:rsidRPr="00444D21">
              <w:t>report trial outcomes in accordance with enterprise procedures.</w:t>
            </w:r>
          </w:p>
        </w:tc>
      </w:tr>
      <w:tr w:rsidTr="007F30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rsidP="00444D21">
            <w:pPr>
              <w:pStyle w:val="BodyText"/>
            </w:pPr>
            <w:r w:rsidRPr="00444D21">
              <w:t>This unit of competency is to be assessed in the workplace or simula</w:t>
            </w:r>
            <w:r w:rsidRPr="00444D21">
              <w:t xml:space="preserve">ted workplace environment. </w:t>
            </w:r>
          </w:p>
          <w:p w:rsidR="00000000" w:rsidRPr="00444D21" w:rsidP="00444D21">
            <w:pPr>
              <w:pStyle w:val="BodyText"/>
            </w:pPr>
            <w:r w:rsidRPr="00444D21">
              <w:t>This unit of competency may be assessed with:</w:t>
            </w:r>
          </w:p>
          <w:p w:rsidR="00000000" w:rsidRPr="00444D21" w:rsidP="00444D21">
            <w:pPr>
              <w:pStyle w:val="ListBullet"/>
            </w:pPr>
            <w:r w:rsidRPr="00444D21">
              <w:rPr>
                <w:rStyle w:val="Emphasis"/>
              </w:rPr>
              <w:t>MSL924001A Process and interpret data</w:t>
            </w:r>
          </w:p>
          <w:p w:rsidR="00000000" w:rsidRPr="00444D21" w:rsidP="00444D21">
            <w:pPr>
              <w:pStyle w:val="ListBullet"/>
            </w:pPr>
            <w:r w:rsidRPr="00444D21">
              <w:rPr>
                <w:rStyle w:val="Emphasis"/>
              </w:rPr>
              <w:t>relevant MSL974000 series units of competency</w:t>
            </w:r>
          </w:p>
          <w:p w:rsidR="00000000" w:rsidRPr="00444D21" w:rsidP="00444D21">
            <w:pPr>
              <w:pStyle w:val="ListBullet"/>
            </w:pPr>
            <w:r w:rsidRPr="00444D21">
              <w:rPr>
                <w:rStyle w:val="Emphasis"/>
              </w:rPr>
              <w:t>relevant MSL975000 series units of competency</w:t>
            </w:r>
            <w:r w:rsidRPr="00444D21">
              <w:t>.</w:t>
            </w:r>
          </w:p>
          <w:p w:rsidR="00000000" w:rsidRPr="00444D21" w:rsidP="00444D21">
            <w:pPr>
              <w:pStyle w:val="BodyText"/>
            </w:pPr>
            <w:r w:rsidRPr="00444D21">
              <w:t>Resources may include:</w:t>
            </w:r>
          </w:p>
          <w:p w:rsidR="00000000" w:rsidRPr="00444D21" w:rsidP="00444D21">
            <w:pPr>
              <w:pStyle w:val="ListBullet"/>
            </w:pPr>
            <w:r w:rsidRPr="00444D21">
              <w:t>access to operating plant or pilot plant for duration of trials</w:t>
            </w:r>
          </w:p>
          <w:p w:rsidR="00000000" w:rsidRPr="00444D21" w:rsidP="00444D21">
            <w:pPr>
              <w:pStyle w:val="ListBullet"/>
            </w:pPr>
            <w:r w:rsidRPr="00444D21">
              <w:t>trials, sampling and testing enterprise procedures for:</w:t>
            </w:r>
          </w:p>
          <w:p w:rsidR="00000000" w:rsidRPr="00444D21" w:rsidP="00444D21">
            <w:pPr>
              <w:pStyle w:val="ListBullet2"/>
            </w:pPr>
            <w:r w:rsidRPr="00444D21">
              <w:t>sampling containers and sampling equipment</w:t>
            </w:r>
          </w:p>
          <w:p w:rsidR="00000000" w:rsidP="00444D21">
            <w:pPr>
              <w:pStyle w:val="ListBullet2"/>
              <w:rPr>
                <w:lang w:val="en-NZ"/>
              </w:rPr>
            </w:pPr>
            <w:r w:rsidRPr="00444D21">
              <w:t>test equipment, laboratory instruments and reagents.</w:t>
            </w:r>
          </w:p>
        </w:tc>
      </w:tr>
      <w:tr w:rsidTr="007F30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rsidP="00444D21">
            <w:pPr>
              <w:pStyle w:val="BodyText"/>
            </w:pPr>
            <w:r w:rsidRPr="00444D21">
              <w:t>The following assessment methods are suggested:</w:t>
            </w:r>
          </w:p>
          <w:p w:rsidR="00000000" w:rsidRPr="00444D21" w:rsidP="00444D21">
            <w:pPr>
              <w:pStyle w:val="ListBullet"/>
            </w:pPr>
            <w:r w:rsidRPr="00444D21">
              <w:t>review of trial documentation completed by candidate to ensure quality and timeliness</w:t>
            </w:r>
          </w:p>
          <w:p w:rsidR="00000000" w:rsidRPr="00444D21" w:rsidP="00444D21">
            <w:pPr>
              <w:pStyle w:val="ListBullet"/>
            </w:pPr>
            <w:r w:rsidRPr="00444D21">
              <w:t>feedback from personnel involved in trials, supervisors</w:t>
            </w:r>
          </w:p>
          <w:p w:rsidR="00000000" w:rsidRPr="00444D21" w:rsidP="00444D21">
            <w:pPr>
              <w:pStyle w:val="ListBullet"/>
            </w:pPr>
            <w:r w:rsidRPr="00444D21">
              <w:t>observation of candidate participating in production trials</w:t>
            </w:r>
          </w:p>
          <w:p w:rsidR="00000000" w:rsidRPr="00444D21" w:rsidP="00444D21">
            <w:pPr>
              <w:pStyle w:val="ListBullet"/>
            </w:pPr>
            <w:r w:rsidRPr="00444D21">
              <w:t xml:space="preserve">oral </w:t>
            </w:r>
            <w:r w:rsidRPr="00444D21">
              <w:t>or written questioning to check underpinning knowledge of trial procedures, sampling and test methods, common causes and remedies for product/processing problems.</w:t>
            </w:r>
          </w:p>
          <w:p w:rsidR="00000000" w:rsidRPr="00444D21" w:rsidP="00444D21">
            <w:pPr>
              <w:pStyle w:val="BodyText"/>
            </w:pPr>
            <w:r w:rsidRPr="00444D21">
              <w:t>In all cases, practical assessment should be supported by questions to assess underpinning kn</w:t>
            </w:r>
            <w:r w:rsidRPr="00444D21">
              <w:t xml:space="preserve">owledge and those aspects of competency which are difficult to assess directly. </w:t>
            </w:r>
          </w:p>
          <w:p w:rsidR="00000000" w:rsidRPr="00444D21" w:rsidP="00444D21">
            <w:pPr>
              <w:pStyle w:val="BodyText"/>
            </w:pPr>
            <w:r w:rsidRPr="00444D21">
              <w:t xml:space="preserve">Where applicable, reasonable adjustment must be made to work environments and training situations to accommodate ethnicity, age, gender, demographics and disability. </w:t>
            </w:r>
          </w:p>
          <w:p w:rsidR="00000000" w:rsidRPr="00444D21" w:rsidP="00444D21">
            <w:pPr>
              <w:pStyle w:val="BodyText"/>
            </w:pPr>
            <w:r w:rsidRPr="00444D21">
              <w:t>Access m</w:t>
            </w:r>
            <w:r w:rsidRPr="00444D21">
              <w:t xml:space="preserve">ust be provided to appropriate learning and/or assessment support when required. </w:t>
            </w:r>
          </w:p>
          <w:p w:rsidR="00000000" w:rsidP="00444D21">
            <w:pPr>
              <w:pStyle w:val="BodyText"/>
              <w:rPr>
                <w:lang w:val="en-NZ"/>
              </w:rPr>
            </w:pPr>
            <w:r w:rsidRPr="00444D21">
              <w:t>The language, literacy and numeracy demands of assessment should not be greater than those required to undertake the unit of competency in a work like environment.</w:t>
            </w:r>
          </w:p>
        </w:tc>
      </w:tr>
      <w:tr w:rsidTr="007F30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SpecialBold"/>
              </w:rPr>
              <w:t>This comp</w:t>
            </w:r>
            <w:r w:rsidRPr="00444D21">
              <w:rPr>
                <w:rStyle w:val="SpecialBold"/>
              </w:rPr>
              <w:t>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rsidP="00444D21">
            <w:pPr>
              <w:pStyle w:val="BodyText"/>
            </w:pPr>
            <w:r w:rsidRPr="00444D21">
              <w:t>Industry representatives have provided the case studies below to illustrate the practical application of this unit of competency and to show its relevance in a workplace setting.</w:t>
            </w:r>
          </w:p>
          <w:p w:rsidR="00000000" w:rsidRPr="00444D21" w:rsidP="00444D21">
            <w:pPr>
              <w:pStyle w:val="BodyText"/>
            </w:pPr>
            <w:r w:rsidRPr="00444D21">
              <w:rPr>
                <w:rStyle w:val="SpecialBold"/>
              </w:rPr>
              <w:t>Manufacturing</w:t>
            </w:r>
          </w:p>
          <w:p w:rsidR="00000000" w:rsidRPr="00444D21" w:rsidP="00444D21">
            <w:pPr>
              <w:pStyle w:val="BodyText"/>
            </w:pPr>
            <w:r w:rsidRPr="00444D21">
              <w:t>A new manufacturing plant has been construct</w:t>
            </w:r>
            <w:r w:rsidRPr="00444D21">
              <w:t>ed to produce titanium dioxide (TiO</w:t>
            </w:r>
            <w:r w:rsidRPr="00444D21">
              <w:rPr>
                <w:rStyle w:val="Subscript"/>
              </w:rPr>
              <w:t>2)</w:t>
            </w:r>
            <w:r w:rsidRPr="00444D21">
              <w:t xml:space="preserve"> for use in food and paint manufacture. An experienced laboratory technician is involved in the plant's commissioning process which has been designed by plant engineers. The commissioning involves trial operation of eac</w:t>
            </w:r>
            <w:r w:rsidRPr="00444D21">
              <w:t>h section of the plant to achieve intermediate products, such as titanium tetra-chloride (TiCl</w:t>
            </w:r>
            <w:r w:rsidRPr="00444D21">
              <w:rPr>
                <w:rStyle w:val="Subscript"/>
              </w:rPr>
              <w:t>4</w:t>
            </w:r>
            <w:r w:rsidRPr="00444D21">
              <w:t>) of acceptable quality for use in subsequent stages. The technician provides input to the trials by collecting and testing samples, analysing the results and pr</w:t>
            </w:r>
            <w:r w:rsidRPr="00444D21">
              <w:t>oviding regular reports to the engineers. The importance of the technician's work cannot be overestimated. They have to work under tight time deadlines, quality requirements and the overall pressure of commissioning the plant on time and within budget.</w:t>
            </w:r>
          </w:p>
          <w:p w:rsidR="00000000" w:rsidRPr="00444D21" w:rsidP="00444D21">
            <w:pPr>
              <w:pStyle w:val="BodyText"/>
            </w:pPr>
            <w:r w:rsidRPr="00444D21">
              <w:rPr>
                <w:rStyle w:val="SpecialBold"/>
              </w:rPr>
              <w:t>Food processing</w:t>
            </w:r>
            <w:r w:rsidRPr="00444D21">
              <w:t xml:space="preserve"> </w:t>
            </w:r>
          </w:p>
          <w:p w:rsidR="00000000" w:rsidRPr="00444D21" w:rsidP="00444D21">
            <w:pPr>
              <w:pStyle w:val="BodyText"/>
            </w:pPr>
            <w:r w:rsidRPr="00444D21">
              <w:t xml:space="preserve">The laboratory is notified of an upcoming trial for sour cream using a new starter culture. A technician is assigned to perform the laboratory assessment of the trial. The technician discusses with the production supervisor about when the </w:t>
            </w:r>
            <w:r w:rsidRPr="00444D21">
              <w:t>cream will be cultured. It is agreed that the technician will monitor the fermentation, collect samples, and coordinate testing of the final product. The technician obtains protective footwear and hearing protection to wear while in the production area. On</w:t>
            </w:r>
            <w:r w:rsidRPr="00444D21">
              <w:t xml:space="preserve"> the day of the trial the technician calibrates the process pH meter and monitors the pH of the vat as fermentation progresses. Once the desired pH is reached, the technician advises the production team to commence packing of the product. After collecting </w:t>
            </w:r>
            <w:r w:rsidRPr="00444D21">
              <w:t>samples of the final product from the start, middle and end of packing, the technician records the sample details and distributes the sample for both internal and external laboratory testing. Final product results are collated by the technician, who report</w:t>
            </w:r>
            <w:r w:rsidRPr="00444D21">
              <w:t>s any out of specification results to the quality and production departments.</w:t>
            </w:r>
          </w:p>
        </w:tc>
      </w:tr>
    </w:tbl>
    <w:p w:rsidR="00000000" w:rsidRPr="00444D21" w:rsidP="00444D21">
      <w:pPr>
        <w:pStyle w:val="BodyText"/>
      </w:pPr>
    </w:p>
    <w:p w:rsidR="00000000" w:rsidRPr="00444D21" w:rsidP="00444D21">
      <w:pPr>
        <w:pStyle w:val="AllowPageBreak"/>
      </w:pPr>
    </w:p>
    <w:p w:rsidR="00000000" w:rsidRPr="00444D21" w:rsidP="00444D21">
      <w:pPr>
        <w:pStyle w:val="Heading1"/>
      </w:pPr>
      <w:bookmarkStart w:id="11" w:name="O_103621"/>
      <w:bookmarkEnd w:id="11"/>
      <w:r w:rsidRPr="00444D21">
        <w:t>Range Statement</w:t>
      </w:r>
    </w:p>
    <w:tbl>
      <w:tblPr>
        <w:tblW w:w="0" w:type="auto"/>
        <w:tblLayout w:type="fixed"/>
        <w:tblCellMar>
          <w:left w:w="62" w:type="dxa"/>
          <w:right w:w="62" w:type="dxa"/>
        </w:tblCellMar>
        <w:tblLook w:val="0000"/>
      </w:tblPr>
      <w:tblGrid>
        <w:gridCol w:w="3482"/>
        <w:gridCol w:w="5040"/>
      </w:tblGrid>
      <w:tr w:rsidTr="007F30E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SpecialBold"/>
              </w:rPr>
              <w:t>RANGE STATEMENT</w:t>
            </w:r>
          </w:p>
        </w:tc>
      </w:tr>
      <w:tr w:rsidTr="007F30E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t>The range statement relates to the unit of competency as a whole. It allows for different work environments and situations th</w:t>
            </w:r>
            <w:r w:rsidRPr="00444D21">
              <w:t>at may affect performance. Bold italicised wording, if used in the performance criteria, is detailed below. Essential operating conditions that may be present with training and assessment (depending on the work situation, needs of the candidate, accessibil</w:t>
            </w:r>
            <w:r w:rsidRPr="00444D21">
              <w:t>ity of the item, and local industry and regional contexts) may also be included.</w:t>
            </w:r>
          </w:p>
        </w:tc>
      </w:tr>
      <w:tr w:rsidTr="007F30EF">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t>Where reference is made to industry codes of practice, and/or Australian/international standards, it is expected the latest version will be used</w:t>
            </w:r>
          </w:p>
        </w:tc>
      </w:tr>
      <w:tr w:rsidTr="007F30EF">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SpecialBold"/>
              </w:rPr>
              <w:t>Standards</w:t>
            </w:r>
            <w:r w:rsidRPr="00444D21">
              <w:t xml:space="preserve">, </w:t>
            </w:r>
            <w:r w:rsidRPr="00444D21">
              <w:rPr>
                <w:rStyle w:val="SpecialBold"/>
              </w:rPr>
              <w:t>codes</w:t>
            </w:r>
            <w:r w:rsidRPr="00444D21">
              <w:t xml:space="preserve">, </w:t>
            </w:r>
            <w:r w:rsidRPr="00444D21">
              <w:rPr>
                <w:rStyle w:val="SpecialBold"/>
              </w:rPr>
              <w:t>procedures and</w:t>
            </w:r>
            <w:r w:rsidRPr="00444D21">
              <w:t>/</w:t>
            </w:r>
            <w:r w:rsidRPr="00444D21">
              <w:rPr>
                <w:rStyle w:val="SpecialBold"/>
              </w:rPr>
              <w:t>or enterprise requirements</w:t>
            </w:r>
            <w:r w:rsidRPr="00444D21">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rsidP="00444D21">
            <w:pPr>
              <w:pStyle w:val="BodyText"/>
            </w:pPr>
            <w:r w:rsidRPr="00444D21">
              <w:t>Standards, codes, procedures and/or enterprise requirements may include:</w:t>
            </w:r>
          </w:p>
          <w:p w:rsidR="00000000" w:rsidRPr="00444D21" w:rsidP="00444D21">
            <w:pPr>
              <w:pStyle w:val="ListBullet"/>
            </w:pPr>
            <w:r w:rsidRPr="00444D21">
              <w:t>Australian and international standards, such as:</w:t>
            </w:r>
          </w:p>
          <w:p w:rsidR="00000000" w:rsidRPr="00444D21" w:rsidP="00444D21">
            <w:pPr>
              <w:pStyle w:val="ListBullet2"/>
            </w:pPr>
            <w:r w:rsidRPr="00444D21">
              <w:t>AS ISO 17025-2005 General requirements for the competence of testing and calibra</w:t>
            </w:r>
            <w:r w:rsidRPr="00444D21">
              <w:t>tion laboratories</w:t>
            </w:r>
          </w:p>
          <w:p w:rsidR="00000000" w:rsidRPr="00444D21" w:rsidP="00444D21">
            <w:pPr>
              <w:pStyle w:val="ListBullet2"/>
            </w:pPr>
            <w:r w:rsidRPr="00444D21">
              <w:t>AS/NZS ISO 9000 Set:2008 Quality management systems set</w:t>
            </w:r>
          </w:p>
          <w:p w:rsidR="00000000" w:rsidRPr="00444D21" w:rsidP="00444D21">
            <w:pPr>
              <w:pStyle w:val="ListBullet"/>
            </w:pPr>
            <w:r w:rsidRPr="00444D21">
              <w:t>Australia New Zealand Food Authority (ANZFA) Code and User Guides</w:t>
            </w:r>
          </w:p>
          <w:p w:rsidR="00000000" w:rsidRPr="00444D21" w:rsidP="00444D21">
            <w:pPr>
              <w:pStyle w:val="ListBullet"/>
            </w:pPr>
            <w:r w:rsidRPr="00444D21">
              <w:t xml:space="preserve">Australia New Zealand Food Standards (ANZFS) Code </w:t>
            </w:r>
          </w:p>
          <w:p w:rsidR="00000000" w:rsidRPr="00444D21" w:rsidP="00444D21">
            <w:pPr>
              <w:pStyle w:val="ListBullet"/>
            </w:pPr>
            <w:r w:rsidRPr="00444D21">
              <w:t>Australian code of good manufacturing practice for medicinal products (GMP)</w:t>
            </w:r>
          </w:p>
          <w:p w:rsidR="00000000" w:rsidRPr="00444D21" w:rsidP="00444D21">
            <w:pPr>
              <w:pStyle w:val="ListBullet"/>
            </w:pPr>
            <w:r w:rsidRPr="00444D21">
              <w:t xml:space="preserve">calibration and maintenance schedules </w:t>
            </w:r>
          </w:p>
          <w:p w:rsidR="00000000" w:rsidRPr="00444D21" w:rsidP="00444D21">
            <w:pPr>
              <w:pStyle w:val="ListBullet"/>
            </w:pPr>
            <w:r w:rsidRPr="00444D21">
              <w:t xml:space="preserve">enterprise recording and reporting procedures </w:t>
            </w:r>
          </w:p>
          <w:p w:rsidR="00000000" w:rsidRPr="00444D21" w:rsidP="00444D21">
            <w:pPr>
              <w:pStyle w:val="ListBullet"/>
            </w:pPr>
            <w:r w:rsidRPr="00444D21">
              <w:t xml:space="preserve">equipment startup, operation and shutdown procedures </w:t>
            </w:r>
          </w:p>
          <w:p w:rsidR="00000000" w:rsidRPr="00444D21" w:rsidP="00444D21">
            <w:pPr>
              <w:pStyle w:val="ListBullet"/>
            </w:pPr>
            <w:r w:rsidRPr="00444D21">
              <w:t>material safety data sheets (MSDS)</w:t>
            </w:r>
          </w:p>
          <w:p w:rsidR="00000000" w:rsidRPr="00444D21" w:rsidP="00444D21">
            <w:pPr>
              <w:pStyle w:val="ListBullet"/>
            </w:pPr>
            <w:r w:rsidRPr="00444D21">
              <w:t>mater</w:t>
            </w:r>
            <w:r w:rsidRPr="00444D21">
              <w:t>ial, production and product specifications</w:t>
            </w:r>
          </w:p>
          <w:p w:rsidR="00000000" w:rsidRPr="00444D21" w:rsidP="00444D21">
            <w:pPr>
              <w:pStyle w:val="ListBullet"/>
            </w:pPr>
            <w:r w:rsidRPr="00444D21">
              <w:t>principles of good laboratory practice (GLP)</w:t>
            </w:r>
          </w:p>
          <w:p w:rsidR="00000000" w:rsidRPr="00444D21" w:rsidP="00444D21">
            <w:pPr>
              <w:pStyle w:val="ListBullet"/>
            </w:pPr>
            <w:r w:rsidRPr="00444D21">
              <w:t xml:space="preserve">production and laboratory schedules </w:t>
            </w:r>
          </w:p>
          <w:p w:rsidR="00000000" w:rsidRPr="00444D21" w:rsidP="00444D21">
            <w:pPr>
              <w:pStyle w:val="ListBullet"/>
            </w:pPr>
            <w:r w:rsidRPr="00444D21">
              <w:t xml:space="preserve">quality, equipment and procedures manuals </w:t>
            </w:r>
          </w:p>
          <w:p w:rsidR="00000000" w:rsidRPr="00444D21" w:rsidP="00444D21">
            <w:pPr>
              <w:pStyle w:val="ListBullet"/>
            </w:pPr>
            <w:r w:rsidRPr="00444D21">
              <w:t xml:space="preserve">standard operating procedures (SOPs) </w:t>
            </w:r>
          </w:p>
          <w:p w:rsidR="00000000" w:rsidP="00444D21">
            <w:pPr>
              <w:pStyle w:val="ListBullet"/>
              <w:rPr>
                <w:lang w:val="en-NZ"/>
              </w:rPr>
            </w:pPr>
            <w:r w:rsidRPr="00444D21">
              <w:t>Therapeutic Goods Regulations 1009</w:t>
            </w:r>
          </w:p>
        </w:tc>
      </w:tr>
      <w:tr w:rsidTr="007F30EF">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SpecialBold"/>
              </w:rPr>
              <w:t>Product properties</w:t>
            </w:r>
            <w:r w:rsidRPr="00444D21">
              <w:t xml:space="preserve">, </w:t>
            </w:r>
            <w:r w:rsidRPr="00444D21">
              <w:rPr>
                <w:rStyle w:val="SpecialBold"/>
              </w:rPr>
              <w:t>process stages and unit operations involved in the trial</w:t>
            </w:r>
            <w:r w:rsidRPr="00444D21">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rsidP="00444D21">
            <w:pPr>
              <w:pStyle w:val="BodyText"/>
            </w:pPr>
            <w:r w:rsidRPr="00444D21">
              <w:t>Product properties, process stages and unit operations involved in the trial may include:</w:t>
            </w:r>
          </w:p>
          <w:p w:rsidR="00000000" w:rsidRPr="00444D21" w:rsidP="00444D21">
            <w:pPr>
              <w:pStyle w:val="ListBullet"/>
            </w:pPr>
            <w:r w:rsidRPr="00444D21">
              <w:t>classification of samples (screening and sieving)</w:t>
            </w:r>
          </w:p>
          <w:p w:rsidR="00000000" w:rsidRPr="00444D21" w:rsidP="00444D21">
            <w:pPr>
              <w:pStyle w:val="ListBullet"/>
            </w:pPr>
            <w:r w:rsidRPr="00444D21">
              <w:t>milling</w:t>
            </w:r>
          </w:p>
          <w:p w:rsidR="00000000" w:rsidRPr="00444D21" w:rsidP="00444D21">
            <w:pPr>
              <w:pStyle w:val="ListBullet"/>
            </w:pPr>
            <w:r w:rsidRPr="00444D21">
              <w:t>mixing</w:t>
            </w:r>
          </w:p>
          <w:p w:rsidR="00000000" w:rsidRPr="00444D21" w:rsidP="00444D21">
            <w:pPr>
              <w:pStyle w:val="ListBullet"/>
            </w:pPr>
            <w:r w:rsidRPr="00444D21">
              <w:t>separation (distillati</w:t>
            </w:r>
            <w:r w:rsidRPr="00444D21">
              <w:t>on, sieves, filtration, solvent extraction and chromatography)</w:t>
            </w:r>
          </w:p>
          <w:p w:rsidR="00000000" w:rsidRPr="00444D21" w:rsidP="00444D21">
            <w:pPr>
              <w:pStyle w:val="ListBullet"/>
            </w:pPr>
            <w:r w:rsidRPr="00444D21">
              <w:t>drying</w:t>
            </w:r>
          </w:p>
          <w:p w:rsidR="00000000" w:rsidRPr="00444D21" w:rsidP="00444D21">
            <w:pPr>
              <w:pStyle w:val="ListBullet"/>
            </w:pPr>
            <w:r w:rsidRPr="00444D21">
              <w:t>concentrating</w:t>
            </w:r>
          </w:p>
          <w:p w:rsidR="00000000" w:rsidRPr="00444D21" w:rsidP="00444D21">
            <w:pPr>
              <w:pStyle w:val="ListBullet"/>
            </w:pPr>
            <w:r w:rsidRPr="00444D21">
              <w:t>diluting</w:t>
            </w:r>
          </w:p>
          <w:p w:rsidR="00000000" w:rsidRPr="00444D21" w:rsidP="00444D21">
            <w:pPr>
              <w:pStyle w:val="ListBullet"/>
            </w:pPr>
            <w:r w:rsidRPr="00444D21">
              <w:t>depositing (injecting, forming and extrusion)</w:t>
            </w:r>
          </w:p>
          <w:p w:rsidR="00000000" w:rsidRPr="00444D21" w:rsidP="00444D21">
            <w:pPr>
              <w:pStyle w:val="ListBullet"/>
            </w:pPr>
            <w:r w:rsidRPr="00444D21">
              <w:t>retorting</w:t>
            </w:r>
          </w:p>
          <w:p w:rsidR="00000000" w:rsidRPr="00444D21" w:rsidP="00444D21">
            <w:pPr>
              <w:pStyle w:val="ListBullet"/>
            </w:pPr>
            <w:r w:rsidRPr="00444D21">
              <w:t>cooling, freezing, refrigeration and heat transfer</w:t>
            </w:r>
          </w:p>
          <w:p w:rsidR="00000000" w:rsidRPr="00444D21" w:rsidP="00444D21">
            <w:pPr>
              <w:pStyle w:val="ListBullet"/>
            </w:pPr>
            <w:r w:rsidRPr="00444D21">
              <w:t>closure (vacuum sealing)</w:t>
            </w:r>
          </w:p>
          <w:p w:rsidR="00000000" w:rsidRPr="00444D21" w:rsidP="00444D21">
            <w:pPr>
              <w:pStyle w:val="ListBullet"/>
            </w:pPr>
            <w:r w:rsidRPr="00444D21">
              <w:t>weighing and packaging</w:t>
            </w:r>
          </w:p>
          <w:p w:rsidR="00000000" w:rsidRPr="00444D21" w:rsidP="00444D21">
            <w:pPr>
              <w:pStyle w:val="ListBullet"/>
            </w:pPr>
            <w:r w:rsidRPr="00444D21">
              <w:t>materials handling and transport</w:t>
            </w:r>
          </w:p>
          <w:p w:rsidR="00000000" w:rsidP="00444D21">
            <w:pPr>
              <w:pStyle w:val="ListBullet"/>
              <w:rPr>
                <w:lang w:val="en-NZ"/>
              </w:rPr>
            </w:pPr>
            <w:r w:rsidRPr="00444D21">
              <w:t>warehousing</w:t>
            </w:r>
          </w:p>
        </w:tc>
      </w:tr>
      <w:tr w:rsidTr="007F30EF">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SpecialBold"/>
              </w:rPr>
              <w:t>Trial specifications</w:t>
            </w:r>
            <w:r w:rsidRPr="00444D21">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rsidP="00444D21">
            <w:pPr>
              <w:pStyle w:val="BodyText"/>
            </w:pPr>
            <w:r w:rsidRPr="00444D21">
              <w:t>Trial specifications may include:</w:t>
            </w:r>
          </w:p>
          <w:p w:rsidR="00000000" w:rsidRPr="00444D21" w:rsidP="00444D21">
            <w:pPr>
              <w:pStyle w:val="ListBullet"/>
            </w:pPr>
            <w:r w:rsidRPr="00444D21">
              <w:t>product specifications</w:t>
            </w:r>
          </w:p>
          <w:p w:rsidR="00000000" w:rsidRPr="00444D21" w:rsidP="00444D21">
            <w:pPr>
              <w:pStyle w:val="ListBullet"/>
            </w:pPr>
            <w:r w:rsidRPr="00444D21">
              <w:t>recipe/formulations</w:t>
            </w:r>
          </w:p>
          <w:p w:rsidR="00000000" w:rsidRPr="00444D21" w:rsidP="00444D21">
            <w:pPr>
              <w:pStyle w:val="ListBullet"/>
            </w:pPr>
            <w:r w:rsidRPr="00444D21">
              <w:t>processing parameters</w:t>
            </w:r>
          </w:p>
          <w:p w:rsidR="00000000" w:rsidRPr="00444D21" w:rsidP="00444D21">
            <w:pPr>
              <w:pStyle w:val="ListBullet"/>
            </w:pPr>
            <w:r w:rsidRPr="00444D21">
              <w:t>trial size, production target and timeline</w:t>
            </w:r>
          </w:p>
          <w:p w:rsidR="00000000" w:rsidRPr="00444D21" w:rsidP="00444D21">
            <w:pPr>
              <w:pStyle w:val="ListBullet"/>
            </w:pPr>
            <w:r w:rsidRPr="00444D21">
              <w:t>trial schedule and resources required</w:t>
            </w:r>
          </w:p>
          <w:p w:rsidR="00000000" w:rsidRPr="00444D21" w:rsidP="00444D21">
            <w:pPr>
              <w:pStyle w:val="ListBullet"/>
            </w:pPr>
            <w:r w:rsidRPr="00444D21">
              <w:t>require</w:t>
            </w:r>
            <w:r w:rsidRPr="00444D21">
              <w:t>d product samples and tests</w:t>
            </w:r>
          </w:p>
          <w:p w:rsidR="00000000" w:rsidRPr="00444D21" w:rsidP="00444D21">
            <w:pPr>
              <w:pStyle w:val="ListBullet"/>
            </w:pPr>
            <w:r w:rsidRPr="00444D21">
              <w:t>analysis of relevant OHS, food safety and environmental hazards and controls</w:t>
            </w:r>
          </w:p>
          <w:p w:rsidR="00000000" w:rsidP="00444D21">
            <w:pPr>
              <w:pStyle w:val="ListBullet"/>
              <w:rPr>
                <w:lang w:val="en-NZ"/>
              </w:rPr>
            </w:pPr>
            <w:r w:rsidRPr="00444D21">
              <w:t>storage requirements</w:t>
            </w:r>
          </w:p>
        </w:tc>
      </w:tr>
      <w:tr w:rsidTr="007F30EF">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SpecialBold"/>
              </w:rPr>
              <w:t>Hazards</w:t>
            </w:r>
            <w:r w:rsidRPr="00444D21">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rsidP="00444D21">
            <w:pPr>
              <w:pStyle w:val="BodyText"/>
            </w:pPr>
            <w:r w:rsidRPr="00444D21">
              <w:t>Hazards may include:</w:t>
            </w:r>
          </w:p>
          <w:p w:rsidR="00000000" w:rsidRPr="00444D21" w:rsidP="00444D21">
            <w:pPr>
              <w:pStyle w:val="ListBullet"/>
            </w:pPr>
            <w:r w:rsidRPr="00444D21">
              <w:t>electric shock</w:t>
            </w:r>
          </w:p>
          <w:p w:rsidR="00000000" w:rsidRPr="00444D21" w:rsidP="00444D21">
            <w:pPr>
              <w:pStyle w:val="ListBullet"/>
            </w:pPr>
            <w:r w:rsidRPr="00444D21">
              <w:t>microbiological organisms and agents associated with soil, air and water</w:t>
            </w:r>
          </w:p>
          <w:p w:rsidR="00000000" w:rsidRPr="00444D21" w:rsidP="00444D21">
            <w:pPr>
              <w:pStyle w:val="ListBullet"/>
            </w:pPr>
            <w:r w:rsidRPr="00444D21">
              <w:t>solar radiation, dust and noise</w:t>
            </w:r>
          </w:p>
          <w:p w:rsidR="00000000" w:rsidRPr="00444D21" w:rsidP="00444D21">
            <w:pPr>
              <w:pStyle w:val="ListBullet"/>
            </w:pPr>
            <w:r w:rsidRPr="00444D21">
              <w:t>chemicals, such as acids, heavy metals, pesticides and hydrocarbons</w:t>
            </w:r>
          </w:p>
          <w:p w:rsidR="00000000" w:rsidRPr="00444D21" w:rsidP="00444D21">
            <w:pPr>
              <w:pStyle w:val="ListBullet"/>
            </w:pPr>
            <w:r w:rsidRPr="00444D21">
              <w:t>aerosols from broken centrifuge tubes and pipetting</w:t>
            </w:r>
          </w:p>
          <w:p w:rsidR="00000000" w:rsidRPr="00444D21" w:rsidP="00444D21">
            <w:pPr>
              <w:pStyle w:val="ListBullet"/>
            </w:pPr>
            <w:r w:rsidRPr="00444D21">
              <w:t>radiation, such as gamma and X-ray</w:t>
            </w:r>
          </w:p>
          <w:p w:rsidR="00000000" w:rsidRPr="00444D21" w:rsidP="00444D21">
            <w:pPr>
              <w:pStyle w:val="ListBullet"/>
            </w:pPr>
            <w:r w:rsidRPr="00444D21">
              <w:t>sharps, broken glassware and hand tools</w:t>
            </w:r>
          </w:p>
          <w:p w:rsidR="00000000" w:rsidRPr="00444D21" w:rsidP="00444D21">
            <w:pPr>
              <w:pStyle w:val="ListBullet"/>
            </w:pPr>
            <w:r w:rsidRPr="00444D21">
              <w:t>flammable liquids and gases</w:t>
            </w:r>
          </w:p>
          <w:p w:rsidR="00000000" w:rsidRPr="00444D21" w:rsidP="00444D21">
            <w:pPr>
              <w:pStyle w:val="ListBullet"/>
            </w:pPr>
            <w:r w:rsidRPr="00444D21">
              <w:t>c</w:t>
            </w:r>
            <w:r w:rsidRPr="00444D21">
              <w:t>ryogenics, such as dry ice and liquid nitrogen</w:t>
            </w:r>
          </w:p>
          <w:p w:rsidR="00000000" w:rsidRPr="00444D21" w:rsidP="00444D21">
            <w:pPr>
              <w:pStyle w:val="ListBullet"/>
            </w:pPr>
            <w:r w:rsidRPr="00444D21">
              <w:t>fluids under pressure, such as steam and industrial gases</w:t>
            </w:r>
          </w:p>
          <w:p w:rsidR="00000000" w:rsidRPr="00444D21" w:rsidP="00444D21">
            <w:pPr>
              <w:pStyle w:val="ListBullet"/>
            </w:pPr>
            <w:r w:rsidRPr="00444D21">
              <w:t>sources of ignition</w:t>
            </w:r>
          </w:p>
          <w:p w:rsidR="00000000" w:rsidRPr="00444D21" w:rsidP="00444D21">
            <w:pPr>
              <w:pStyle w:val="ListBullet"/>
            </w:pPr>
            <w:r w:rsidRPr="00444D21">
              <w:t>disturbance or interruption of services</w:t>
            </w:r>
          </w:p>
          <w:p w:rsidR="00000000" w:rsidRPr="00444D21" w:rsidP="00444D21">
            <w:pPr>
              <w:pStyle w:val="ListBullet"/>
            </w:pPr>
            <w:r w:rsidRPr="00444D21">
              <w:t>manual handling, working at heights and working in confined spaces</w:t>
            </w:r>
          </w:p>
          <w:p w:rsidR="00000000" w:rsidRPr="00444D21" w:rsidP="00444D21">
            <w:pPr>
              <w:pStyle w:val="ListBullet"/>
            </w:pPr>
            <w:r w:rsidRPr="00444D21">
              <w:t>crushing, entanglement and cuts associated with moving machinery or falling objects</w:t>
            </w:r>
          </w:p>
          <w:p w:rsidR="00000000" w:rsidP="00444D21">
            <w:pPr>
              <w:pStyle w:val="ListBullet"/>
              <w:rPr>
                <w:lang w:val="en-NZ"/>
              </w:rPr>
            </w:pPr>
            <w:r w:rsidRPr="00444D21">
              <w:t>pedestrian and vehicular traffic</w:t>
            </w:r>
          </w:p>
        </w:tc>
      </w:tr>
      <w:tr w:rsidTr="007F30EF">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SpecialBold"/>
              </w:rPr>
              <w:t>Safety procedures and hazard control measures</w:t>
            </w:r>
            <w:r w:rsidRPr="00444D21">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rsidP="00444D21">
            <w:pPr>
              <w:pStyle w:val="BodyText"/>
            </w:pPr>
            <w:r w:rsidRPr="00444D21">
              <w:t>Safety procedures and hazard control measures may include:</w:t>
            </w:r>
          </w:p>
          <w:p w:rsidR="00000000" w:rsidRPr="00444D21" w:rsidP="00444D21">
            <w:pPr>
              <w:pStyle w:val="ListBullet"/>
            </w:pPr>
            <w:r w:rsidRPr="00444D21">
              <w:t>ensuring access to service shut-off points</w:t>
            </w:r>
          </w:p>
          <w:p w:rsidR="00000000" w:rsidRPr="00444D21" w:rsidP="00444D21">
            <w:pPr>
              <w:pStyle w:val="ListBullet"/>
            </w:pPr>
            <w:r w:rsidRPr="00444D21">
              <w:t>recognising and observing hazard warnings and safety signs</w:t>
            </w:r>
          </w:p>
          <w:p w:rsidR="00000000" w:rsidRPr="00444D21" w:rsidP="00444D21">
            <w:pPr>
              <w:pStyle w:val="ListBullet"/>
            </w:pPr>
            <w:r w:rsidRPr="00444D21">
              <w:t>labelling of samples, reagents, aliquoted samples and hazardous materials</w:t>
            </w:r>
          </w:p>
          <w:p w:rsidR="00000000" w:rsidRPr="00444D21" w:rsidP="00444D21">
            <w:pPr>
              <w:pStyle w:val="ListBullet"/>
            </w:pPr>
            <w:r w:rsidRPr="00444D21">
              <w:t>handling and storage of hazardous materials and equipment in accordance with lab</w:t>
            </w:r>
            <w:r w:rsidRPr="00444D21">
              <w:t>elling, MSDS and manufacturer's instructions</w:t>
            </w:r>
          </w:p>
          <w:p w:rsidR="00000000" w:rsidRPr="00444D21" w:rsidP="00444D21">
            <w:pPr>
              <w:pStyle w:val="ListBullet"/>
            </w:pPr>
            <w:r w:rsidRPr="00444D21">
              <w:t>identifying and reporting operating problems or equipment malfunctions</w:t>
            </w:r>
          </w:p>
          <w:p w:rsidR="00000000" w:rsidRPr="00444D21" w:rsidP="00444D21">
            <w:pPr>
              <w:pStyle w:val="ListBullet"/>
            </w:pPr>
            <w:r w:rsidRPr="00444D21">
              <w:t>cleaning and decontaminating equipment and work areas regularly using enterprise procedures</w:t>
            </w:r>
          </w:p>
          <w:p w:rsidR="00000000" w:rsidRPr="00444D21" w:rsidP="00444D21">
            <w:pPr>
              <w:pStyle w:val="ListBullet"/>
            </w:pPr>
            <w:r w:rsidRPr="00444D21">
              <w:t>using personal protective clothing and equipment</w:t>
            </w:r>
            <w:r w:rsidRPr="00444D21">
              <w:t>, such as hard hats, hearing protection, gloves, safety glasses, coveralls, gowns, body suits, respirators and safety boots</w:t>
            </w:r>
          </w:p>
          <w:p w:rsidR="00000000" w:rsidRPr="00444D21" w:rsidP="00444D21">
            <w:pPr>
              <w:pStyle w:val="ListBullet"/>
            </w:pPr>
            <w:r w:rsidRPr="00444D21">
              <w:t>machinery guards</w:t>
            </w:r>
          </w:p>
          <w:p w:rsidR="00000000" w:rsidRPr="00444D21" w:rsidP="00444D21">
            <w:pPr>
              <w:pStyle w:val="ListBullet"/>
            </w:pPr>
            <w:r w:rsidRPr="00444D21">
              <w:t>signage, barriers, flashing lights and traffic control</w:t>
            </w:r>
          </w:p>
          <w:p w:rsidR="00000000" w:rsidP="00444D21">
            <w:pPr>
              <w:pStyle w:val="ListBullet"/>
              <w:rPr>
                <w:lang w:val="en-NZ"/>
              </w:rPr>
            </w:pPr>
            <w:r w:rsidRPr="00444D21">
              <w:t>reporting abnormal emissions, discharges and airborne contam</w:t>
            </w:r>
            <w:r w:rsidRPr="00444D21">
              <w:t>inants, such as noise, light, solids, liquids, water/waste water, gases, smoke, vapour, fumes, odour and particulates to appropriate personnel</w:t>
            </w:r>
          </w:p>
        </w:tc>
      </w:tr>
      <w:tr w:rsidTr="007F30EF">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SpecialBold"/>
              </w:rPr>
              <w:t>Resources</w:t>
            </w:r>
            <w:r w:rsidRPr="00444D21">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rsidP="00444D21">
            <w:pPr>
              <w:pStyle w:val="BodyText"/>
            </w:pPr>
            <w:r w:rsidRPr="00444D21">
              <w:t>Resources may include:</w:t>
            </w:r>
          </w:p>
          <w:p w:rsidR="00000000" w:rsidRPr="00444D21" w:rsidP="00444D21">
            <w:pPr>
              <w:pStyle w:val="ListBullet"/>
            </w:pPr>
            <w:r w:rsidRPr="00444D21">
              <w:t>operators and personnel from affected work areas and functions</w:t>
            </w:r>
          </w:p>
          <w:p w:rsidR="00000000" w:rsidRPr="00444D21" w:rsidP="00444D21">
            <w:pPr>
              <w:pStyle w:val="ListBullet"/>
            </w:pPr>
            <w:r w:rsidRPr="00444D21">
              <w:t>production, testing and sampling equipment</w:t>
            </w:r>
          </w:p>
          <w:p w:rsidR="00000000" w:rsidRPr="00444D21" w:rsidP="00444D21">
            <w:pPr>
              <w:pStyle w:val="ListBullet"/>
            </w:pPr>
            <w:r w:rsidRPr="00444D21">
              <w:t>enterprise procedures and standard methods for sampling and testing</w:t>
            </w:r>
          </w:p>
          <w:p w:rsidR="00000000" w:rsidRPr="00444D21" w:rsidP="00444D21">
            <w:pPr>
              <w:pStyle w:val="ListBullet"/>
            </w:pPr>
            <w:r w:rsidRPr="00444D21">
              <w:t>raw materials/ingredients, packaging components and consumables</w:t>
            </w:r>
          </w:p>
          <w:p w:rsidR="00000000" w:rsidP="00444D21">
            <w:pPr>
              <w:pStyle w:val="ListBullet"/>
              <w:rPr>
                <w:lang w:val="en-NZ"/>
              </w:rPr>
            </w:pPr>
            <w:r w:rsidRPr="00444D21">
              <w:t>trial documentation, such as technical specifications, plant or production line l</w:t>
            </w:r>
            <w:r w:rsidRPr="00444D21">
              <w:t>ayout, MSDS, trial request and result forms</w:t>
            </w:r>
          </w:p>
        </w:tc>
      </w:tr>
      <w:tr w:rsidTr="007F30EF">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SpecialBold"/>
              </w:rPr>
              <w:t>Occupational health and safety</w:t>
            </w:r>
            <w:r w:rsidRPr="00444D21">
              <w:t xml:space="preserve"> (</w:t>
            </w:r>
            <w:r w:rsidRPr="00444D21">
              <w:rPr>
                <w:rStyle w:val="SpecialBold"/>
              </w:rPr>
              <w:t>OHS</w:t>
            </w:r>
            <w:r w:rsidRPr="00444D21">
              <w:t xml:space="preserve">) </w:t>
            </w:r>
            <w:r w:rsidRPr="00444D21">
              <w:rPr>
                <w:rStyle w:val="SpecialBold"/>
              </w:rPr>
              <w:t>and environmental management requirements</w:t>
            </w:r>
            <w:r w:rsidRPr="00444D21">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rsidP="00444D21">
            <w:pPr>
              <w:pStyle w:val="BodyText"/>
            </w:pPr>
            <w:r w:rsidRPr="00444D21">
              <w:t>OHS and environmental management requirements:</w:t>
            </w:r>
          </w:p>
          <w:p w:rsidR="00000000" w:rsidRPr="00444D21" w:rsidP="00444D21">
            <w:pPr>
              <w:pStyle w:val="ListBullet"/>
            </w:pPr>
            <w:r w:rsidRPr="00444D21">
              <w:t>all operations must comply with enterprise OHS and environmental management require</w:t>
            </w:r>
            <w:r w:rsidRPr="00444D21">
              <w:t>ments, which may be imposed through state/territory or federal legislation - these requirements must not be compromised at any time</w:t>
            </w:r>
          </w:p>
          <w:p w:rsidR="00000000" w:rsidRPr="00444D21" w:rsidP="00444D21">
            <w:pPr>
              <w:pStyle w:val="ListBullet"/>
            </w:pPr>
            <w:r w:rsidRPr="00444D21">
              <w:t>all operations assume the potentially hazardous nature of samples and require standard precautions to be applied</w:t>
            </w:r>
          </w:p>
          <w:p w:rsidR="00000000" w:rsidRPr="00444D21" w:rsidP="00444D21">
            <w:pPr>
              <w:pStyle w:val="ListBullet"/>
            </w:pPr>
            <w:r w:rsidRPr="00444D21">
              <w:t>where relev</w:t>
            </w:r>
            <w:r w:rsidRPr="00444D21">
              <w:t>ant, users should access and apply current industry understanding of infection control issued by the National Health and Medical Research Council (NHMRC) and State and Territory Departments of Health</w:t>
            </w:r>
          </w:p>
        </w:tc>
      </w:tr>
    </w:tbl>
    <w:p w:rsidR="007F30EF" w:rsidP="00444D21">
      <w:pPr>
        <w:pStyle w:val="BodyText"/>
      </w:pPr>
    </w:p>
    <w:p w:rsidR="007F30EF" w:rsidP="00444D21">
      <w:pPr>
        <w:pStyle w:val="BodyText"/>
      </w:pPr>
    </w:p>
    <w:p w:rsidR="00000000" w:rsidRPr="00444D21" w:rsidP="00444D21">
      <w:pPr>
        <w:pStyle w:val="Heading1"/>
      </w:pPr>
      <w:bookmarkStart w:id="12" w:name="O_103622"/>
      <w:bookmarkEnd w:id="12"/>
      <w:r w:rsidRPr="00444D21">
        <w:t>Unit Sector(s)</w:t>
      </w:r>
    </w:p>
    <w:tbl>
      <w:tblPr>
        <w:tblW w:w="0" w:type="auto"/>
        <w:tblLayout w:type="fixed"/>
        <w:tblCellMar>
          <w:left w:w="62" w:type="dxa"/>
          <w:right w:w="62" w:type="dxa"/>
        </w:tblCellMar>
        <w:tblLook w:val="0000"/>
      </w:tblPr>
      <w:tblGrid>
        <w:gridCol w:w="2619"/>
        <w:gridCol w:w="5903"/>
      </w:tblGrid>
      <w:tr w:rsidTr="007F30EF">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rsidP="00444D21">
            <w:pPr>
              <w:pStyle w:val="BodyText"/>
            </w:pPr>
            <w:r w:rsidRPr="00444D21">
              <w:t>Testing</w:t>
            </w:r>
          </w:p>
        </w:tc>
      </w:tr>
    </w:tbl>
    <w:p w:rsidR="00000000" w:rsidRPr="00444D21" w:rsidP="00444D21">
      <w:pPr>
        <w:pStyle w:val="BodyText"/>
      </w:pPr>
    </w:p>
    <w:p w:rsidR="00000000" w:rsidRPr="00444D21" w:rsidP="00444D21">
      <w:pPr>
        <w:pStyle w:val="AllowPageBreak"/>
      </w:pPr>
    </w:p>
    <w:p w:rsidR="00000000" w:rsidRPr="00444D21" w:rsidP="00444D21">
      <w:pPr>
        <w:pStyle w:val="Heading1"/>
      </w:pPr>
      <w:bookmarkStart w:id="13" w:name="O_159584"/>
      <w:bookmarkEnd w:id="13"/>
      <w:r w:rsidRPr="00444D21">
        <w:t>Competency field</w:t>
      </w:r>
    </w:p>
    <w:tbl>
      <w:tblPr>
        <w:tblW w:w="0" w:type="auto"/>
        <w:tblLayout w:type="fixed"/>
        <w:tblCellMar>
          <w:left w:w="62" w:type="dxa"/>
          <w:right w:w="62" w:type="dxa"/>
        </w:tblCellMar>
        <w:tblLook w:val="0000"/>
      </w:tblPr>
      <w:tblGrid>
        <w:gridCol w:w="2784"/>
        <w:gridCol w:w="5738"/>
      </w:tblGrid>
      <w:tr w:rsidTr="007F30E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rsidP="00444D21">
            <w:pPr>
              <w:pStyle w:val="BodyText"/>
            </w:pPr>
          </w:p>
        </w:tc>
      </w:tr>
    </w:tbl>
    <w:p w:rsidR="00000000" w:rsidRPr="00444D21" w:rsidP="00444D21">
      <w:pPr>
        <w:pStyle w:val="BodyText"/>
      </w:pPr>
    </w:p>
    <w:p w:rsidR="00000000" w:rsidRPr="00444D21" w:rsidP="00444D21">
      <w:pPr>
        <w:pStyle w:val="AllowPageBreak"/>
      </w:pPr>
    </w:p>
    <w:p w:rsidR="00000000" w:rsidRPr="00444D21" w:rsidP="00444D21">
      <w:pPr>
        <w:pStyle w:val="Heading1"/>
      </w:pPr>
      <w:bookmarkStart w:id="14" w:name="O_159583"/>
      <w:bookmarkEnd w:id="14"/>
      <w:r w:rsidRPr="00444D21">
        <w:t>Co-requisite units</w:t>
      </w:r>
    </w:p>
    <w:tbl>
      <w:tblPr>
        <w:tblW w:w="0" w:type="auto"/>
        <w:tblLayout w:type="fixed"/>
        <w:tblCellMar>
          <w:left w:w="62" w:type="dxa"/>
          <w:right w:w="62" w:type="dxa"/>
        </w:tblCellMar>
        <w:tblLook w:val="0000"/>
      </w:tblPr>
      <w:tblGrid>
        <w:gridCol w:w="2641"/>
        <w:gridCol w:w="1322"/>
        <w:gridCol w:w="4559"/>
      </w:tblGrid>
      <w:tr w:rsidTr="007F30E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r w:rsidRPr="00444D2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p>
        </w:tc>
      </w:tr>
      <w:tr w:rsidTr="007F30E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D21">
            <w:pPr>
              <w:pStyle w:val="BodyText"/>
              <w:rPr>
                <w:lang w:val="en-NZ"/>
              </w:rPr>
            </w:pPr>
          </w:p>
        </w:tc>
      </w:tr>
      <w:tr w:rsidTr="007F30E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D21" w:rsidP="00444D21">
            <w:pPr>
              <w:pStyle w:val="BodyText"/>
            </w:pPr>
          </w:p>
        </w:tc>
      </w:tr>
    </w:tbl>
    <w:p w:rsidR="00000000" w:rsidRPr="00444D21" w:rsidP="00444D21">
      <w:pPr>
        <w:pStyle w:val="BodyText"/>
      </w:pPr>
    </w:p>
    <w:p w:rsidR="00000000" w:rsidRPr="00444D21" w:rsidP="00444D21"/>
    <w:sectPr w:rsidSect="00444D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D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30EF" w:rsidP="007F30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D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0EF" w:rsidP="00444D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F30EF" w:rsidP="00444D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F30EF" w:rsidP="00444D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D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30EF" w:rsidP="007F30E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D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0EF" w:rsidP="00444D21">
    <w:pPr>
      <w:pStyle w:val="Header"/>
      <w:framePr w:wrap="around"/>
    </w:pPr>
    <w:r>
      <w:fldChar w:fldCharType="begin"/>
    </w:r>
    <w:r>
      <w:instrText xml:space="preserve"> TITLE   \* MERGEFORMAT </w:instrText>
    </w:r>
    <w:r>
      <w:fldChar w:fldCharType="separate"/>
    </w:r>
    <w:r>
      <w:t>MSL975012A Provide input to production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F30EF" w:rsidP="00444D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CE15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6EB0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7ADD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D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4D21"/>
    <w:pPr>
      <w:spacing w:before="360" w:after="60"/>
      <w:outlineLvl w:val="0"/>
    </w:pPr>
    <w:rPr>
      <w:sz w:val="32"/>
    </w:rPr>
  </w:style>
  <w:style w:type="paragraph" w:styleId="Heading2">
    <w:name w:val="heading 2"/>
    <w:basedOn w:val="HeadingBase"/>
    <w:next w:val="BodyText"/>
    <w:link w:val="Heading2Char"/>
    <w:qFormat/>
    <w:rsid w:val="00444D21"/>
    <w:pPr>
      <w:keepLines/>
      <w:spacing w:before="240" w:after="120"/>
      <w:outlineLvl w:val="1"/>
    </w:pPr>
    <w:rPr>
      <w:sz w:val="28"/>
      <w:szCs w:val="40"/>
    </w:rPr>
  </w:style>
  <w:style w:type="paragraph" w:styleId="Heading3">
    <w:name w:val="heading 3"/>
    <w:basedOn w:val="HeadingBase"/>
    <w:next w:val="BodyText"/>
    <w:link w:val="Heading3Char"/>
    <w:qFormat/>
    <w:rsid w:val="00444D21"/>
    <w:pPr>
      <w:spacing w:before="180" w:after="120"/>
      <w:outlineLvl w:val="2"/>
    </w:pPr>
    <w:rPr>
      <w:spacing w:val="-10"/>
      <w:kern w:val="32"/>
    </w:rPr>
  </w:style>
  <w:style w:type="paragraph" w:styleId="Heading4">
    <w:name w:val="heading 4"/>
    <w:basedOn w:val="HeadingBase"/>
    <w:next w:val="BodyText"/>
    <w:link w:val="Heading4Char"/>
    <w:qFormat/>
    <w:rsid w:val="00444D21"/>
    <w:pPr>
      <w:spacing w:before="160" w:after="120"/>
      <w:outlineLvl w:val="3"/>
    </w:pPr>
    <w:rPr>
      <w:sz w:val="22"/>
    </w:rPr>
  </w:style>
  <w:style w:type="paragraph" w:styleId="Heading5">
    <w:name w:val="heading 5"/>
    <w:basedOn w:val="HeadingBase"/>
    <w:next w:val="Normal"/>
    <w:link w:val="Heading5Char"/>
    <w:qFormat/>
    <w:rsid w:val="00444D21"/>
    <w:pPr>
      <w:spacing w:before="80"/>
      <w:outlineLvl w:val="4"/>
    </w:pPr>
    <w:rPr>
      <w:color w:val="918585"/>
      <w:sz w:val="20"/>
    </w:rPr>
  </w:style>
  <w:style w:type="paragraph" w:styleId="Heading6">
    <w:name w:val="heading 6"/>
    <w:basedOn w:val="HeadingBase"/>
    <w:next w:val="Normal"/>
    <w:link w:val="Heading6Char"/>
    <w:qFormat/>
    <w:rsid w:val="00444D21"/>
    <w:pPr>
      <w:spacing w:before="60"/>
      <w:outlineLvl w:val="5"/>
    </w:pPr>
    <w:rPr>
      <w:color w:val="918585"/>
      <w:sz w:val="20"/>
    </w:rPr>
  </w:style>
  <w:style w:type="paragraph" w:styleId="Heading7">
    <w:name w:val="heading 7"/>
    <w:basedOn w:val="Normal"/>
    <w:next w:val="Normal"/>
    <w:link w:val="Heading7Char"/>
    <w:qFormat/>
    <w:rsid w:val="00444D21"/>
    <w:pPr>
      <w:ind w:left="720"/>
      <w:outlineLvl w:val="6"/>
    </w:pPr>
    <w:rPr>
      <w:i/>
    </w:rPr>
  </w:style>
  <w:style w:type="paragraph" w:styleId="Heading8">
    <w:name w:val="heading 8"/>
    <w:basedOn w:val="Normal"/>
    <w:next w:val="Normal"/>
    <w:link w:val="Heading8Char"/>
    <w:qFormat/>
    <w:rsid w:val="00444D21"/>
    <w:pPr>
      <w:ind w:left="720"/>
      <w:outlineLvl w:val="7"/>
    </w:pPr>
    <w:rPr>
      <w:i/>
    </w:rPr>
  </w:style>
  <w:style w:type="paragraph" w:styleId="Heading9">
    <w:name w:val="heading 9"/>
    <w:basedOn w:val="Normal"/>
    <w:next w:val="Normal"/>
    <w:link w:val="Heading9Char"/>
    <w:qFormat/>
    <w:rsid w:val="00444D21"/>
    <w:pPr>
      <w:ind w:left="720"/>
      <w:outlineLvl w:val="8"/>
    </w:pPr>
    <w:rPr>
      <w:i/>
    </w:rPr>
  </w:style>
  <w:style w:type="character" w:default="1" w:styleId="DefaultParagraphFont">
    <w:name w:val="Default Paragraph Font"/>
    <w:uiPriority w:val="1"/>
    <w:unhideWhenUsed/>
    <w:rsid w:val="00444D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D21"/>
  </w:style>
  <w:style w:type="character" w:customStyle="1" w:styleId="Heading1Char">
    <w:name w:val="Heading 1 Char"/>
    <w:link w:val="Heading1"/>
    <w:rsid w:val="00444D21"/>
    <w:rPr>
      <w:rFonts w:ascii="Times New Roman" w:eastAsia="Times New Roman" w:hAnsi="Times New Roman" w:cs="Times New Roman"/>
      <w:b/>
      <w:sz w:val="32"/>
      <w:szCs w:val="20"/>
      <w:lang w:eastAsia="en-US"/>
    </w:rPr>
  </w:style>
  <w:style w:type="paragraph" w:styleId="BodyText">
    <w:name w:val="Body Text"/>
    <w:basedOn w:val="Normal"/>
    <w:link w:val="BodyTextChar"/>
    <w:rsid w:val="00444D21"/>
    <w:pPr>
      <w:spacing w:before="120" w:after="120"/>
      <w:contextualSpacing/>
    </w:pPr>
    <w:rPr>
      <w:rFonts w:ascii="Times New Roman" w:hAnsi="Times New Roman"/>
      <w:sz w:val="24"/>
      <w:szCs w:val="22"/>
    </w:rPr>
  </w:style>
  <w:style w:type="character" w:customStyle="1" w:styleId="BodyTextChar">
    <w:name w:val="Body Text Char"/>
    <w:link w:val="BodyText"/>
    <w:rsid w:val="00444D21"/>
    <w:rPr>
      <w:rFonts w:ascii="Times New Roman" w:eastAsia="Times New Roman" w:hAnsi="Times New Roman" w:cs="Times New Roman"/>
      <w:sz w:val="24"/>
      <w:lang w:val="en-US" w:eastAsia="en-US"/>
    </w:rPr>
  </w:style>
  <w:style w:type="paragraph" w:styleId="Footer">
    <w:name w:val="footer"/>
    <w:basedOn w:val="Normal"/>
    <w:link w:val="FooterChar"/>
    <w:rsid w:val="00444D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44D21"/>
    <w:rPr>
      <w:rFonts w:ascii="Times New Roman" w:eastAsia="Times New Roman" w:hAnsi="Times New Roman" w:cs="Times New Roman"/>
      <w:sz w:val="16"/>
      <w:lang w:val="en-US" w:eastAsia="en-US"/>
    </w:rPr>
  </w:style>
  <w:style w:type="paragraph" w:styleId="List">
    <w:name w:val="List"/>
    <w:basedOn w:val="BodyText"/>
    <w:next w:val="BodyText"/>
    <w:rsid w:val="00444D21"/>
    <w:pPr>
      <w:tabs>
        <w:tab w:val="left" w:pos="340"/>
      </w:tabs>
      <w:spacing w:before="60" w:after="60"/>
      <w:ind w:left="340" w:hanging="340"/>
    </w:pPr>
  </w:style>
  <w:style w:type="paragraph" w:styleId="ListBullet">
    <w:name w:val="List Bullet"/>
    <w:basedOn w:val="List"/>
    <w:rsid w:val="00444D21"/>
    <w:pPr>
      <w:numPr>
        <w:numId w:val="13"/>
      </w:numPr>
      <w:tabs>
        <w:tab w:val="clear" w:pos="340"/>
      </w:tabs>
      <w:spacing w:before="40" w:after="40"/>
    </w:pPr>
  </w:style>
  <w:style w:type="character" w:customStyle="1" w:styleId="SpecialBold">
    <w:name w:val="Special Bold"/>
    <w:rsid w:val="00444D21"/>
    <w:rPr>
      <w:b/>
      <w:spacing w:val="0"/>
    </w:rPr>
  </w:style>
  <w:style w:type="paragraph" w:styleId="ListBullet2">
    <w:name w:val="List Bullet 2"/>
    <w:basedOn w:val="List2"/>
    <w:rsid w:val="00444D21"/>
    <w:pPr>
      <w:numPr>
        <w:numId w:val="14"/>
      </w:numPr>
      <w:tabs>
        <w:tab w:val="clear" w:pos="680"/>
      </w:tabs>
    </w:pPr>
  </w:style>
  <w:style w:type="paragraph" w:styleId="Header">
    <w:name w:val="header"/>
    <w:basedOn w:val="Normal"/>
    <w:link w:val="HeaderChar"/>
    <w:rsid w:val="00444D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44D21"/>
    <w:rPr>
      <w:rFonts w:ascii="Times New Roman" w:eastAsia="Times New Roman" w:hAnsi="Times New Roman" w:cs="Times New Roman"/>
      <w:sz w:val="16"/>
      <w:szCs w:val="20"/>
      <w:lang w:val="en-GB" w:eastAsia="en-US"/>
    </w:rPr>
  </w:style>
  <w:style w:type="character" w:styleId="Emphasis">
    <w:name w:val="Emphasis"/>
    <w:qFormat/>
    <w:rsid w:val="00444D21"/>
    <w:rPr>
      <w:i/>
    </w:rPr>
  </w:style>
  <w:style w:type="paragraph" w:customStyle="1" w:styleId="SuperHeading">
    <w:name w:val="SuperHeading"/>
    <w:basedOn w:val="Normal"/>
    <w:rsid w:val="00444D21"/>
    <w:pPr>
      <w:spacing w:before="240" w:after="120"/>
      <w:outlineLvl w:val="0"/>
    </w:pPr>
    <w:rPr>
      <w:rFonts w:ascii="Times New Roman" w:hAnsi="Times New Roman"/>
      <w:b/>
      <w:sz w:val="28"/>
    </w:rPr>
  </w:style>
  <w:style w:type="paragraph" w:customStyle="1" w:styleId="AllowPageBreak">
    <w:name w:val="AllowPageBreak"/>
    <w:rsid w:val="00444D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4D21"/>
    <w:pPr>
      <w:tabs>
        <w:tab w:val="left" w:pos="680"/>
      </w:tabs>
      <w:spacing w:before="60" w:after="60"/>
      <w:ind w:left="680" w:hanging="340"/>
    </w:pPr>
  </w:style>
  <w:style w:type="character" w:customStyle="1" w:styleId="Subscript">
    <w:name w:val="Subscript"/>
    <w:rsid w:val="00444D21"/>
    <w:rPr>
      <w:sz w:val="16"/>
      <w:vertAlign w:val="subscript"/>
    </w:rPr>
  </w:style>
  <w:style w:type="character" w:customStyle="1" w:styleId="BoldandItalics">
    <w:name w:val="Bold and Italics"/>
    <w:qFormat/>
    <w:rsid w:val="00444D21"/>
    <w:rPr>
      <w:b/>
      <w:i/>
      <w:u w:val="none"/>
    </w:rPr>
  </w:style>
  <w:style w:type="character" w:customStyle="1" w:styleId="Heading2Char">
    <w:name w:val="Heading 2 Char"/>
    <w:link w:val="Heading2"/>
    <w:rsid w:val="00444D21"/>
    <w:rPr>
      <w:rFonts w:ascii="Times New Roman" w:eastAsia="Times New Roman" w:hAnsi="Times New Roman" w:cs="Times New Roman"/>
      <w:b/>
      <w:sz w:val="28"/>
      <w:szCs w:val="40"/>
      <w:lang w:eastAsia="en-US"/>
    </w:rPr>
  </w:style>
  <w:style w:type="character" w:customStyle="1" w:styleId="Heading3Char">
    <w:name w:val="Heading 3 Char"/>
    <w:link w:val="Heading3"/>
    <w:rsid w:val="00444D2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44D21"/>
    <w:rPr>
      <w:rFonts w:ascii="Times New Roman" w:eastAsia="Times New Roman" w:hAnsi="Times New Roman" w:cs="Times New Roman"/>
      <w:b/>
      <w:szCs w:val="20"/>
      <w:lang w:eastAsia="en-US"/>
    </w:rPr>
  </w:style>
  <w:style w:type="character" w:customStyle="1" w:styleId="Heading5Char">
    <w:name w:val="Heading 5 Char"/>
    <w:link w:val="Heading5"/>
    <w:rsid w:val="00444D2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44D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D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4D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4D21"/>
    <w:rPr>
      <w:rFonts w:ascii="Courier New" w:eastAsia="Times New Roman" w:hAnsi="Courier New" w:cs="Times New Roman"/>
      <w:i/>
      <w:szCs w:val="20"/>
      <w:lang w:val="en-US" w:eastAsia="en-US"/>
    </w:rPr>
  </w:style>
  <w:style w:type="paragraph" w:customStyle="1" w:styleId="HeadingBase">
    <w:name w:val="Heading Base"/>
    <w:rsid w:val="00444D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D21"/>
    <w:pPr>
      <w:tabs>
        <w:tab w:val="right" w:leader="dot" w:pos="9072"/>
      </w:tabs>
      <w:ind w:left="567"/>
    </w:pPr>
    <w:rPr>
      <w:szCs w:val="22"/>
    </w:rPr>
  </w:style>
  <w:style w:type="paragraph" w:customStyle="1" w:styleId="TOCBase">
    <w:name w:val="TOC Base"/>
    <w:rsid w:val="00444D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D21"/>
    <w:pPr>
      <w:tabs>
        <w:tab w:val="right" w:leader="dot" w:pos="9072"/>
      </w:tabs>
      <w:spacing w:before="40" w:after="40"/>
      <w:ind w:left="284"/>
    </w:pPr>
    <w:rPr>
      <w:rFonts w:ascii="Times New Roman" w:hAnsi="Times New Roman"/>
    </w:rPr>
  </w:style>
  <w:style w:type="paragraph" w:styleId="TOC1">
    <w:name w:val="toc 1"/>
    <w:basedOn w:val="TOCBase"/>
    <w:next w:val="Normal"/>
    <w:rsid w:val="00444D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4D21"/>
    <w:pPr>
      <w:spacing w:before="5040"/>
      <w:jc w:val="center"/>
    </w:pPr>
    <w:rPr>
      <w:sz w:val="48"/>
      <w:szCs w:val="72"/>
      <w:lang w:val="en-US"/>
    </w:rPr>
  </w:style>
  <w:style w:type="character" w:customStyle="1" w:styleId="TitleChar">
    <w:name w:val="Title Char"/>
    <w:link w:val="Title"/>
    <w:rsid w:val="00444D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D21"/>
    <w:pPr>
      <w:tabs>
        <w:tab w:val="left" w:pos="3600"/>
        <w:tab w:val="left" w:pos="3958"/>
      </w:tabs>
    </w:pPr>
  </w:style>
  <w:style w:type="paragraph" w:customStyle="1" w:styleId="Note">
    <w:name w:val="Note"/>
    <w:basedOn w:val="BodyText"/>
    <w:rsid w:val="00444D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D21"/>
    <w:pPr>
      <w:framePr w:wrap="auto" w:hAnchor="text" w:y="6049"/>
    </w:pPr>
    <w:rPr>
      <w:color w:val="000000"/>
      <w:sz w:val="40"/>
    </w:rPr>
  </w:style>
  <w:style w:type="paragraph" w:customStyle="1" w:styleId="TOCTitle">
    <w:name w:val="TOCTitle"/>
    <w:basedOn w:val="Heading1"/>
    <w:rsid w:val="00444D21"/>
    <w:pPr>
      <w:spacing w:after="240"/>
      <w:jc w:val="center"/>
      <w:outlineLvl w:val="9"/>
    </w:pPr>
    <w:rPr>
      <w:caps/>
    </w:rPr>
  </w:style>
  <w:style w:type="paragraph" w:customStyle="1" w:styleId="Version">
    <w:name w:val="Version"/>
    <w:rsid w:val="00444D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4D21"/>
    <w:pPr>
      <w:keepNext w:val="0"/>
      <w:tabs>
        <w:tab w:val="right" w:pos="4176"/>
      </w:tabs>
      <w:ind w:left="198" w:hanging="198"/>
    </w:pPr>
    <w:rPr>
      <w:rFonts w:ascii="Garamond" w:hAnsi="Garamond"/>
    </w:rPr>
  </w:style>
  <w:style w:type="paragraph" w:styleId="IndexHeading">
    <w:name w:val="index heading"/>
    <w:basedOn w:val="Normal"/>
    <w:next w:val="Index1"/>
    <w:semiHidden/>
    <w:rsid w:val="00444D21"/>
    <w:pPr>
      <w:spacing w:before="120" w:after="120"/>
    </w:pPr>
    <w:rPr>
      <w:rFonts w:ascii="Arial" w:hAnsi="Arial"/>
      <w:b/>
      <w:color w:val="918585"/>
      <w:sz w:val="24"/>
    </w:rPr>
  </w:style>
  <w:style w:type="paragraph" w:customStyle="1" w:styleId="Chapter">
    <w:name w:val="Chapter"/>
    <w:basedOn w:val="Normal"/>
    <w:rsid w:val="00444D21"/>
    <w:pPr>
      <w:spacing w:before="240"/>
    </w:pPr>
    <w:rPr>
      <w:rFonts w:ascii="Times New Roman" w:hAnsi="Times New Roman"/>
      <w:smallCaps/>
      <w:spacing w:val="80"/>
      <w:sz w:val="28"/>
    </w:rPr>
  </w:style>
  <w:style w:type="paragraph" w:customStyle="1" w:styleId="InChapter">
    <w:name w:val="InChapter"/>
    <w:basedOn w:val="Heading3"/>
    <w:rsid w:val="00444D21"/>
    <w:pPr>
      <w:spacing w:after="240"/>
      <w:outlineLvl w:val="9"/>
    </w:pPr>
    <w:rPr>
      <w:noProof/>
    </w:rPr>
  </w:style>
  <w:style w:type="paragraph" w:styleId="Index2">
    <w:name w:val="index 2"/>
    <w:basedOn w:val="Normal"/>
    <w:next w:val="Normal"/>
    <w:semiHidden/>
    <w:rsid w:val="00444D21"/>
    <w:pPr>
      <w:tabs>
        <w:tab w:val="right" w:pos="4176"/>
      </w:tabs>
      <w:ind w:left="568" w:hanging="284"/>
    </w:pPr>
    <w:rPr>
      <w:rFonts w:ascii="Garamond" w:hAnsi="Garamond"/>
    </w:rPr>
  </w:style>
  <w:style w:type="paragraph" w:customStyle="1" w:styleId="Byline">
    <w:name w:val="Byline"/>
    <w:rsid w:val="00444D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D21"/>
    <w:pPr>
      <w:tabs>
        <w:tab w:val="clear" w:pos="3600"/>
        <w:tab w:val="clear" w:pos="3958"/>
      </w:tabs>
      <w:jc w:val="right"/>
    </w:pPr>
  </w:style>
  <w:style w:type="paragraph" w:styleId="Caption">
    <w:name w:val="caption"/>
    <w:basedOn w:val="BodyText"/>
    <w:next w:val="Normal"/>
    <w:qFormat/>
    <w:rsid w:val="00444D21"/>
    <w:pPr>
      <w:framePr w:w="2268" w:hSpace="181" w:vSpace="181" w:wrap="around" w:vAnchor="text" w:hAnchor="page" w:x="1135" w:y="285" w:anchorLock="1"/>
    </w:pPr>
    <w:rPr>
      <w:i/>
    </w:rPr>
  </w:style>
  <w:style w:type="paragraph" w:customStyle="1" w:styleId="MiniTOCTitle">
    <w:name w:val="MiniTOCTitle"/>
    <w:basedOn w:val="Heading4"/>
    <w:rsid w:val="00444D21"/>
    <w:pPr>
      <w:spacing w:before="240"/>
      <w:outlineLvl w:val="9"/>
    </w:pPr>
    <w:rPr>
      <w:noProof/>
      <w:sz w:val="24"/>
    </w:rPr>
  </w:style>
  <w:style w:type="paragraph" w:customStyle="1" w:styleId="MiniTOCItem">
    <w:name w:val="MiniTOCItem"/>
    <w:basedOn w:val="ListBullet"/>
    <w:rsid w:val="00444D21"/>
    <w:pPr>
      <w:numPr>
        <w:numId w:val="0"/>
      </w:numPr>
      <w:tabs>
        <w:tab w:val="right" w:leader="dot" w:pos="6521"/>
      </w:tabs>
      <w:spacing w:before="0" w:after="0"/>
    </w:pPr>
  </w:style>
  <w:style w:type="paragraph" w:customStyle="1" w:styleId="TOFTitle">
    <w:name w:val="TOFTitle"/>
    <w:basedOn w:val="TOCTitle"/>
    <w:rsid w:val="00444D21"/>
  </w:style>
  <w:style w:type="paragraph" w:styleId="TableofFigures">
    <w:name w:val="table of figures"/>
    <w:basedOn w:val="Normal"/>
    <w:next w:val="Normal"/>
    <w:semiHidden/>
    <w:rsid w:val="00444D21"/>
    <w:pPr>
      <w:tabs>
        <w:tab w:val="right" w:leader="dot" w:pos="9072"/>
      </w:tabs>
      <w:ind w:left="970" w:hanging="403"/>
    </w:pPr>
    <w:rPr>
      <w:rFonts w:ascii="Times New Roman" w:hAnsi="Times New Roman"/>
      <w:b/>
    </w:rPr>
  </w:style>
  <w:style w:type="paragraph" w:styleId="ListNumber">
    <w:name w:val="List Number"/>
    <w:basedOn w:val="List"/>
    <w:rsid w:val="00444D21"/>
    <w:pPr>
      <w:numPr>
        <w:numId w:val="11"/>
      </w:numPr>
    </w:pPr>
  </w:style>
  <w:style w:type="character" w:customStyle="1" w:styleId="WingdingSymbols">
    <w:name w:val="Wingding Symbols"/>
    <w:rsid w:val="00444D21"/>
    <w:rPr>
      <w:rFonts w:ascii="Wingdings" w:hAnsi="Wingdings"/>
    </w:rPr>
  </w:style>
  <w:style w:type="paragraph" w:customStyle="1" w:styleId="TableHeading">
    <w:name w:val="Table Heading"/>
    <w:basedOn w:val="HeadingBase"/>
    <w:rsid w:val="00444D21"/>
    <w:pPr>
      <w:keepLines/>
      <w:pBdr>
        <w:bottom w:val="single" w:sz="6" w:space="1" w:color="918585"/>
      </w:pBdr>
      <w:spacing w:before="240"/>
    </w:pPr>
  </w:style>
  <w:style w:type="character" w:customStyle="1" w:styleId="HotSpot">
    <w:name w:val="HotSpot"/>
    <w:rsid w:val="00444D21"/>
    <w:rPr>
      <w:color w:val="0033CC"/>
      <w:u w:val="none"/>
    </w:rPr>
  </w:style>
  <w:style w:type="paragraph" w:customStyle="1" w:styleId="BodyTextRight">
    <w:name w:val="Body Text Right"/>
    <w:basedOn w:val="BodyText"/>
    <w:rsid w:val="00444D21"/>
    <w:pPr>
      <w:spacing w:before="0" w:after="0"/>
      <w:jc w:val="right"/>
    </w:pPr>
  </w:style>
  <w:style w:type="paragraph" w:styleId="Index3">
    <w:name w:val="index 3"/>
    <w:basedOn w:val="ListNumber2"/>
    <w:next w:val="Normal"/>
    <w:semiHidden/>
    <w:rsid w:val="00444D21"/>
    <w:pPr>
      <w:numPr>
        <w:numId w:val="0"/>
      </w:numPr>
      <w:tabs>
        <w:tab w:val="right" w:leader="dot" w:pos="4176"/>
      </w:tabs>
    </w:pPr>
  </w:style>
  <w:style w:type="paragraph" w:styleId="ListNumber2">
    <w:name w:val="List Number 2"/>
    <w:basedOn w:val="List2"/>
    <w:rsid w:val="00444D21"/>
    <w:pPr>
      <w:numPr>
        <w:numId w:val="10"/>
      </w:numPr>
      <w:tabs>
        <w:tab w:val="clear" w:pos="1060"/>
      </w:tabs>
    </w:pPr>
  </w:style>
  <w:style w:type="paragraph" w:customStyle="1" w:styleId="MarginNote">
    <w:name w:val="Margin Note"/>
    <w:basedOn w:val="BodyText"/>
    <w:rsid w:val="00444D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D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44D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4D21"/>
    <w:rPr>
      <w:sz w:val="32"/>
    </w:rPr>
  </w:style>
  <w:style w:type="paragraph" w:customStyle="1" w:styleId="HeadingProcedure">
    <w:name w:val="Heading Procedure"/>
    <w:basedOn w:val="HeadingBase"/>
    <w:next w:val="Normal"/>
    <w:rsid w:val="00444D21"/>
    <w:pPr>
      <w:tabs>
        <w:tab w:val="left" w:pos="0"/>
      </w:tabs>
      <w:spacing w:before="120" w:after="60"/>
    </w:pPr>
    <w:rPr>
      <w:i/>
      <w:color w:val="918585"/>
      <w:sz w:val="22"/>
    </w:rPr>
  </w:style>
  <w:style w:type="paragraph" w:customStyle="1" w:styleId="TableBodyText">
    <w:name w:val="Table Body Text"/>
    <w:basedOn w:val="BodyText"/>
    <w:rsid w:val="00444D21"/>
    <w:pPr>
      <w:spacing w:before="60" w:after="60"/>
    </w:pPr>
  </w:style>
  <w:style w:type="paragraph" w:styleId="ListContinue">
    <w:name w:val="List Continue"/>
    <w:basedOn w:val="List"/>
    <w:rsid w:val="00444D21"/>
    <w:pPr>
      <w:ind w:firstLine="0"/>
    </w:pPr>
  </w:style>
  <w:style w:type="paragraph" w:customStyle="1" w:styleId="ListNote">
    <w:name w:val="List Note"/>
    <w:basedOn w:val="List"/>
    <w:rsid w:val="00444D21"/>
    <w:pPr>
      <w:pBdr>
        <w:top w:val="single" w:sz="6" w:space="2" w:color="918585"/>
        <w:bottom w:val="single" w:sz="6" w:space="2" w:color="918585"/>
      </w:pBdr>
      <w:tabs>
        <w:tab w:val="left" w:pos="1021"/>
      </w:tabs>
      <w:ind w:firstLine="0"/>
    </w:pPr>
  </w:style>
  <w:style w:type="paragraph" w:customStyle="1" w:styleId="Warning">
    <w:name w:val="Warning"/>
    <w:basedOn w:val="BodyText"/>
    <w:rsid w:val="00444D21"/>
    <w:pPr>
      <w:shd w:val="clear" w:color="auto" w:fill="D9D9D9"/>
      <w:tabs>
        <w:tab w:val="left" w:pos="992"/>
      </w:tabs>
      <w:ind w:left="119" w:right="119"/>
    </w:pPr>
    <w:rPr>
      <w:sz w:val="20"/>
    </w:rPr>
  </w:style>
  <w:style w:type="paragraph" w:customStyle="1" w:styleId="MarginIcons">
    <w:name w:val="Margin Icons"/>
    <w:basedOn w:val="BodyText"/>
    <w:rsid w:val="00444D2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44D21"/>
    <w:rPr>
      <w:rFonts w:ascii="Courier New" w:hAnsi="Courier New"/>
    </w:rPr>
  </w:style>
  <w:style w:type="paragraph" w:customStyle="1" w:styleId="NoteBullet">
    <w:name w:val="Note Bullet"/>
    <w:basedOn w:val="Note"/>
    <w:rsid w:val="00444D21"/>
    <w:pPr>
      <w:tabs>
        <w:tab w:val="clear" w:pos="680"/>
      </w:tabs>
      <w:spacing w:before="60" w:after="60"/>
    </w:pPr>
  </w:style>
  <w:style w:type="paragraph" w:customStyle="1" w:styleId="SubHeading2">
    <w:name w:val="SubHeading2"/>
    <w:basedOn w:val="HeadingBase"/>
    <w:rsid w:val="00444D21"/>
    <w:pPr>
      <w:spacing w:before="240" w:after="60"/>
    </w:pPr>
    <w:rPr>
      <w:sz w:val="20"/>
    </w:rPr>
  </w:style>
  <w:style w:type="paragraph" w:customStyle="1" w:styleId="SubHeading1">
    <w:name w:val="SubHeading1"/>
    <w:basedOn w:val="HeadingBase"/>
    <w:rsid w:val="00444D21"/>
    <w:pPr>
      <w:spacing w:before="240" w:after="60"/>
    </w:pPr>
    <w:rPr>
      <w:color w:val="918585"/>
      <w:sz w:val="22"/>
    </w:rPr>
  </w:style>
  <w:style w:type="paragraph" w:customStyle="1" w:styleId="SideHeading">
    <w:name w:val="Side Heading"/>
    <w:basedOn w:val="HeadingBase"/>
    <w:rsid w:val="00444D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D21"/>
    <w:pPr>
      <w:numPr>
        <w:numId w:val="12"/>
      </w:numPr>
    </w:pPr>
  </w:style>
  <w:style w:type="paragraph" w:styleId="PlainText">
    <w:name w:val="Plain Text"/>
    <w:basedOn w:val="Normal"/>
    <w:link w:val="PlainTextChar"/>
    <w:rsid w:val="00444D21"/>
    <w:rPr>
      <w:sz w:val="20"/>
    </w:rPr>
  </w:style>
  <w:style w:type="character" w:customStyle="1" w:styleId="PlainTextChar">
    <w:name w:val="Plain Text Char"/>
    <w:basedOn w:val="DefaultParagraphFont"/>
    <w:link w:val="PlainText"/>
    <w:rsid w:val="00444D21"/>
    <w:rPr>
      <w:rFonts w:ascii="Courier New" w:eastAsia="Times New Roman" w:hAnsi="Courier New" w:cs="Times New Roman"/>
      <w:sz w:val="20"/>
      <w:szCs w:val="20"/>
      <w:lang w:val="en-US" w:eastAsia="en-US"/>
    </w:rPr>
  </w:style>
  <w:style w:type="character" w:customStyle="1" w:styleId="MenuOption">
    <w:name w:val="Menu Option"/>
    <w:rsid w:val="00444D21"/>
    <w:rPr>
      <w:b/>
      <w:smallCaps/>
    </w:rPr>
  </w:style>
  <w:style w:type="paragraph" w:customStyle="1" w:styleId="TableListNumber">
    <w:name w:val="Table List Number"/>
    <w:basedOn w:val="ListNumber"/>
    <w:rsid w:val="00444D21"/>
    <w:pPr>
      <w:numPr>
        <w:numId w:val="0"/>
      </w:numPr>
    </w:pPr>
  </w:style>
  <w:style w:type="paragraph" w:styleId="TOC4">
    <w:name w:val="toc 4"/>
    <w:basedOn w:val="TOCBase"/>
    <w:next w:val="Normal"/>
    <w:semiHidden/>
    <w:rsid w:val="00444D21"/>
    <w:pPr>
      <w:tabs>
        <w:tab w:val="right" w:leader="dot" w:pos="9071"/>
      </w:tabs>
      <w:ind w:left="1701"/>
    </w:pPr>
  </w:style>
  <w:style w:type="paragraph" w:customStyle="1" w:styleId="ListAlpha">
    <w:name w:val="List Alpha"/>
    <w:basedOn w:val="List"/>
    <w:rsid w:val="00444D21"/>
    <w:pPr>
      <w:numPr>
        <w:numId w:val="9"/>
      </w:numPr>
    </w:pPr>
  </w:style>
  <w:style w:type="paragraph" w:customStyle="1" w:styleId="ListAlpha2">
    <w:name w:val="List Alpha 2"/>
    <w:basedOn w:val="List2"/>
    <w:rsid w:val="00444D21"/>
    <w:pPr>
      <w:numPr>
        <w:numId w:val="8"/>
      </w:numPr>
    </w:pPr>
  </w:style>
  <w:style w:type="paragraph" w:styleId="List3">
    <w:name w:val="List 3"/>
    <w:basedOn w:val="BodyText"/>
    <w:rsid w:val="00444D21"/>
    <w:pPr>
      <w:tabs>
        <w:tab w:val="left" w:pos="1021"/>
      </w:tabs>
      <w:spacing w:before="60" w:after="60"/>
      <w:ind w:left="1020" w:hanging="340"/>
    </w:pPr>
  </w:style>
  <w:style w:type="paragraph" w:styleId="List4">
    <w:name w:val="List 4"/>
    <w:basedOn w:val="BodyText"/>
    <w:rsid w:val="00444D21"/>
    <w:pPr>
      <w:tabs>
        <w:tab w:val="left" w:pos="1361"/>
      </w:tabs>
      <w:spacing w:before="60" w:after="60"/>
      <w:ind w:left="1361" w:hanging="340"/>
    </w:pPr>
  </w:style>
  <w:style w:type="paragraph" w:styleId="List5">
    <w:name w:val="List 5"/>
    <w:basedOn w:val="BodyText"/>
    <w:rsid w:val="00444D21"/>
    <w:pPr>
      <w:tabs>
        <w:tab w:val="left" w:pos="1701"/>
      </w:tabs>
      <w:spacing w:before="60" w:after="60"/>
      <w:ind w:left="1701" w:hanging="340"/>
    </w:pPr>
  </w:style>
  <w:style w:type="paragraph" w:styleId="ListBullet3">
    <w:name w:val="List Bullet 3"/>
    <w:basedOn w:val="List3"/>
    <w:rsid w:val="00444D21"/>
    <w:pPr>
      <w:numPr>
        <w:numId w:val="15"/>
      </w:numPr>
      <w:tabs>
        <w:tab w:val="clear" w:pos="1021"/>
      </w:tabs>
      <w:ind w:left="1037" w:hanging="357"/>
    </w:pPr>
  </w:style>
  <w:style w:type="paragraph" w:styleId="ListBullet4">
    <w:name w:val="List Bullet 4"/>
    <w:basedOn w:val="List4"/>
    <w:rsid w:val="00444D21"/>
    <w:pPr>
      <w:numPr>
        <w:numId w:val="3"/>
      </w:numPr>
    </w:pPr>
  </w:style>
  <w:style w:type="paragraph" w:styleId="ListBullet5">
    <w:name w:val="List Bullet 5"/>
    <w:basedOn w:val="List5"/>
    <w:rsid w:val="00444D21"/>
    <w:pPr>
      <w:numPr>
        <w:numId w:val="4"/>
      </w:numPr>
    </w:pPr>
  </w:style>
  <w:style w:type="paragraph" w:styleId="ListContinue2">
    <w:name w:val="List Continue 2"/>
    <w:basedOn w:val="List2"/>
    <w:rsid w:val="00444D21"/>
    <w:pPr>
      <w:ind w:firstLine="0"/>
    </w:pPr>
  </w:style>
  <w:style w:type="paragraph" w:styleId="ListContinue3">
    <w:name w:val="List Continue 3"/>
    <w:basedOn w:val="List3"/>
    <w:rsid w:val="00444D21"/>
    <w:pPr>
      <w:ind w:left="1021" w:firstLine="0"/>
    </w:pPr>
  </w:style>
  <w:style w:type="paragraph" w:styleId="ListContinue4">
    <w:name w:val="List Continue 4"/>
    <w:basedOn w:val="List4"/>
    <w:rsid w:val="00444D21"/>
    <w:pPr>
      <w:ind w:firstLine="0"/>
    </w:pPr>
  </w:style>
  <w:style w:type="paragraph" w:styleId="ListContinue5">
    <w:name w:val="List Continue 5"/>
    <w:basedOn w:val="List5"/>
    <w:rsid w:val="00444D21"/>
    <w:pPr>
      <w:ind w:firstLine="0"/>
    </w:pPr>
  </w:style>
  <w:style w:type="paragraph" w:styleId="ListNumber3">
    <w:name w:val="List Number 3"/>
    <w:basedOn w:val="List3"/>
    <w:rsid w:val="00444D21"/>
    <w:pPr>
      <w:numPr>
        <w:numId w:val="5"/>
      </w:numPr>
    </w:pPr>
  </w:style>
  <w:style w:type="paragraph" w:styleId="ListNumber4">
    <w:name w:val="List Number 4"/>
    <w:basedOn w:val="List4"/>
    <w:rsid w:val="00444D21"/>
    <w:pPr>
      <w:numPr>
        <w:numId w:val="6"/>
      </w:numPr>
    </w:pPr>
  </w:style>
  <w:style w:type="paragraph" w:styleId="ListNumber5">
    <w:name w:val="List Number 5"/>
    <w:basedOn w:val="List5"/>
    <w:rsid w:val="00444D21"/>
    <w:pPr>
      <w:numPr>
        <w:numId w:val="7"/>
      </w:numPr>
    </w:pPr>
  </w:style>
  <w:style w:type="paragraph" w:styleId="BlockText">
    <w:name w:val="Block Text"/>
    <w:basedOn w:val="Normal"/>
    <w:rsid w:val="00444D21"/>
    <w:pPr>
      <w:spacing w:after="120"/>
      <w:ind w:left="1440" w:right="1440"/>
    </w:pPr>
  </w:style>
  <w:style w:type="character" w:customStyle="1" w:styleId="Superscript">
    <w:name w:val="Superscript"/>
    <w:rsid w:val="00444D21"/>
    <w:rPr>
      <w:sz w:val="16"/>
      <w:vertAlign w:val="superscript"/>
    </w:rPr>
  </w:style>
  <w:style w:type="character" w:customStyle="1" w:styleId="Symbols">
    <w:name w:val="Symbols"/>
    <w:rsid w:val="00444D21"/>
    <w:rPr>
      <w:rFonts w:ascii="Symbol" w:hAnsi="Symbol"/>
    </w:rPr>
  </w:style>
  <w:style w:type="character" w:customStyle="1" w:styleId="MenuOptions">
    <w:name w:val="Menu Options"/>
    <w:rsid w:val="00444D21"/>
    <w:rPr>
      <w:rFonts w:ascii="Arial Narrow" w:hAnsi="Arial Narrow"/>
      <w:smallCaps/>
    </w:rPr>
  </w:style>
  <w:style w:type="character" w:customStyle="1" w:styleId="Buttons">
    <w:name w:val="Buttons"/>
    <w:rsid w:val="00444D21"/>
    <w:rPr>
      <w:b/>
    </w:rPr>
  </w:style>
  <w:style w:type="character" w:customStyle="1" w:styleId="Underlined">
    <w:name w:val="Underlined"/>
    <w:rsid w:val="00444D21"/>
    <w:rPr>
      <w:u w:val="single"/>
    </w:rPr>
  </w:style>
  <w:style w:type="paragraph" w:customStyle="1" w:styleId="TableBodyTextRight">
    <w:name w:val="Table Body Text Right"/>
    <w:basedOn w:val="TableBodyText"/>
    <w:rsid w:val="00444D21"/>
    <w:pPr>
      <w:widowControl w:val="0"/>
      <w:autoSpaceDE w:val="0"/>
      <w:autoSpaceDN w:val="0"/>
      <w:adjustRightInd w:val="0"/>
      <w:jc w:val="right"/>
    </w:pPr>
    <w:rPr>
      <w:rFonts w:cs="Arial"/>
      <w:szCs w:val="18"/>
    </w:rPr>
  </w:style>
  <w:style w:type="paragraph" w:customStyle="1" w:styleId="CopyrightText">
    <w:name w:val="Copyright Text"/>
    <w:basedOn w:val="BodyText"/>
    <w:rsid w:val="00444D21"/>
    <w:rPr>
      <w:sz w:val="18"/>
    </w:rPr>
  </w:style>
  <w:style w:type="paragraph" w:customStyle="1" w:styleId="BodySmallRight">
    <w:name w:val="Body Small Right"/>
    <w:basedOn w:val="BodyTextRight"/>
    <w:rsid w:val="00444D21"/>
    <w:rPr>
      <w:sz w:val="18"/>
      <w:szCs w:val="18"/>
    </w:rPr>
  </w:style>
  <w:style w:type="paragraph" w:customStyle="1" w:styleId="MarginEdition">
    <w:name w:val="Margin Edition"/>
    <w:basedOn w:val="MarginNote"/>
    <w:rsid w:val="00444D21"/>
    <w:pPr>
      <w:spacing w:before="0" w:after="0"/>
    </w:pPr>
    <w:rPr>
      <w:rFonts w:ascii="Times New Roman" w:hAnsi="Times New Roman"/>
      <w:color w:val="999999"/>
    </w:rPr>
  </w:style>
  <w:style w:type="paragraph" w:customStyle="1" w:styleId="Spacer">
    <w:name w:val="Spacer"/>
    <w:basedOn w:val="Normal"/>
    <w:rsid w:val="00444D21"/>
    <w:rPr>
      <w:sz w:val="2"/>
      <w:szCs w:val="2"/>
    </w:rPr>
  </w:style>
  <w:style w:type="character" w:customStyle="1" w:styleId="Small">
    <w:name w:val="Small"/>
    <w:rsid w:val="00444D21"/>
    <w:rPr>
      <w:sz w:val="16"/>
    </w:rPr>
  </w:style>
  <w:style w:type="paragraph" w:customStyle="1" w:styleId="WideTable">
    <w:name w:val="Wide Table"/>
    <w:basedOn w:val="Normal"/>
    <w:rsid w:val="00444D21"/>
    <w:pPr>
      <w:ind w:left="-1418"/>
    </w:pPr>
    <w:rPr>
      <w:sz w:val="2"/>
      <w:szCs w:val="2"/>
    </w:rPr>
  </w:style>
  <w:style w:type="character" w:styleId="PageNumber">
    <w:name w:val="page number"/>
    <w:rsid w:val="00444D21"/>
  </w:style>
  <w:style w:type="paragraph" w:styleId="Quote">
    <w:name w:val="Quote"/>
    <w:basedOn w:val="Heading1"/>
    <w:link w:val="QuoteChar"/>
    <w:qFormat/>
    <w:rsid w:val="00444D21"/>
    <w:rPr>
      <w:b w:val="0"/>
      <w:sz w:val="72"/>
      <w:szCs w:val="72"/>
      <w:lang w:val="en-NZ"/>
    </w:rPr>
  </w:style>
  <w:style w:type="character" w:customStyle="1" w:styleId="QuoteChar">
    <w:name w:val="Quote Char"/>
    <w:link w:val="Quote"/>
    <w:rsid w:val="00444D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D21"/>
    <w:pPr>
      <w:pageBreakBefore/>
    </w:pPr>
  </w:style>
  <w:style w:type="paragraph" w:customStyle="1" w:styleId="Border">
    <w:name w:val="Border"/>
    <w:basedOn w:val="Normal"/>
    <w:qFormat/>
    <w:rsid w:val="00444D21"/>
    <w:pPr>
      <w:pBdr>
        <w:top w:val="single" w:sz="18" w:space="1" w:color="auto"/>
      </w:pBdr>
    </w:pPr>
    <w:rPr>
      <w:rFonts w:ascii="Times New Roman" w:hAnsi="Times New Roman"/>
      <w:color w:val="FFFFFF"/>
      <w:sz w:val="2"/>
    </w:rPr>
  </w:style>
  <w:style w:type="character" w:styleId="IntenseEmphasis">
    <w:name w:val="Intense Emphasis"/>
    <w:uiPriority w:val="21"/>
    <w:qFormat/>
    <w:rsid w:val="00444D21"/>
    <w:rPr>
      <w:b/>
      <w:bCs/>
      <w:i/>
      <w:iCs/>
      <w:color w:val="auto"/>
    </w:rPr>
  </w:style>
  <w:style w:type="paragraph" w:styleId="IntenseQuote">
    <w:name w:val="Intense Quote"/>
    <w:basedOn w:val="Normal"/>
    <w:next w:val="Normal"/>
    <w:link w:val="IntenseQuoteChar"/>
    <w:uiPriority w:val="30"/>
    <w:qFormat/>
    <w:rsid w:val="00444D2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44D21"/>
    <w:rPr>
      <w:rFonts w:ascii="Courier New" w:eastAsia="Times New Roman" w:hAnsi="Courier New" w:cs="Times New Roman"/>
      <w:b/>
      <w:bCs/>
      <w:i/>
      <w:iCs/>
      <w:szCs w:val="20"/>
      <w:lang w:val="en-US" w:eastAsia="en-US"/>
    </w:rPr>
  </w:style>
  <w:style w:type="character" w:styleId="SubtleReference">
    <w:name w:val="Subtle Reference"/>
    <w:uiPriority w:val="31"/>
    <w:qFormat/>
    <w:rsid w:val="00444D21"/>
    <w:rPr>
      <w:smallCaps/>
      <w:color w:val="auto"/>
      <w:u w:val="single"/>
    </w:rPr>
  </w:style>
  <w:style w:type="character" w:styleId="IntenseReference">
    <w:name w:val="Intense Reference"/>
    <w:uiPriority w:val="32"/>
    <w:qFormat/>
    <w:rsid w:val="00444D21"/>
    <w:rPr>
      <w:b/>
      <w:bCs/>
      <w:smallCaps/>
      <w:color w:val="auto"/>
      <w:spacing w:val="5"/>
      <w:u w:val="single"/>
    </w:rPr>
  </w:style>
  <w:style w:type="paragraph" w:customStyle="1" w:styleId="2ColumnHeading">
    <w:name w:val="2Column Heading"/>
    <w:basedOn w:val="BodyText"/>
    <w:qFormat/>
    <w:rsid w:val="00444D21"/>
    <w:pPr>
      <w:spacing w:after="60"/>
      <w:ind w:left="-2268"/>
    </w:pPr>
    <w:rPr>
      <w:b/>
    </w:rPr>
  </w:style>
  <w:style w:type="paragraph" w:customStyle="1" w:styleId="Heading1TOC">
    <w:name w:val="Heading1 TOC"/>
    <w:basedOn w:val="Normal"/>
    <w:qFormat/>
    <w:rsid w:val="00444D21"/>
    <w:pPr>
      <w:spacing w:before="240" w:after="120"/>
    </w:pPr>
    <w:rPr>
      <w:rFonts w:ascii="Times New Roman" w:hAnsi="Times New Roman"/>
      <w:b/>
      <w:sz w:val="32"/>
    </w:rPr>
  </w:style>
  <w:style w:type="paragraph" w:customStyle="1" w:styleId="Heading2TOC">
    <w:name w:val="Heading2 TOC"/>
    <w:basedOn w:val="Normal"/>
    <w:qFormat/>
    <w:rsid w:val="00444D21"/>
    <w:pPr>
      <w:spacing w:before="240" w:after="60"/>
    </w:pPr>
    <w:rPr>
      <w:rFonts w:ascii="Times New Roman" w:hAnsi="Times New Roman"/>
      <w:b/>
      <w:sz w:val="28"/>
    </w:rPr>
  </w:style>
  <w:style w:type="character" w:customStyle="1" w:styleId="Underline">
    <w:name w:val="Underline"/>
    <w:qFormat/>
    <w:rsid w:val="00444D21"/>
    <w:rPr>
      <w:u w:val="single"/>
    </w:rPr>
  </w:style>
  <w:style w:type="paragraph" w:styleId="BalloonText">
    <w:name w:val="Balloon Text"/>
    <w:basedOn w:val="Normal"/>
    <w:link w:val="BalloonTextChar"/>
    <w:rsid w:val="00444D21"/>
    <w:rPr>
      <w:rFonts w:ascii="Tahoma" w:hAnsi="Tahoma" w:cs="Tahoma"/>
      <w:sz w:val="16"/>
      <w:szCs w:val="16"/>
    </w:rPr>
  </w:style>
  <w:style w:type="character" w:customStyle="1" w:styleId="BalloonTextChar">
    <w:name w:val="Balloon Text Char"/>
    <w:link w:val="BalloonText"/>
    <w:rsid w:val="00444D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4D2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44D2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2154</Words>
  <Characters>13887</Characters>
  <Application>Microsoft Office Word</Application>
  <DocSecurity>0</DocSecurity>
  <Lines>470</Lines>
  <Paragraphs>227</Paragraphs>
  <ScaleCrop>false</ScaleCrop>
  <Company>Author-it Software Corporation Ltd.</Company>
  <LinksUpToDate>false</LinksUpToDate>
  <CharactersWithSpaces>15946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MSL975012A Provide input to production trials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2012-05-26T18:37:00Z</dcterms:created>
  <dcterms:modified xsi:type="dcterms:W3CDTF">2012-05-26T18:37:00Z</dcterms:modified>
</cp:coreProperties>
</file>