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09D5" w:rsidP="00C609D5">
      <w:pPr>
        <w:pStyle w:val="Title"/>
      </w:pPr>
      <w:r>
        <w:fldChar w:fldCharType="begin"/>
      </w:r>
      <w:r>
        <w:instrText xml:space="preserve"> TITLE   \* MERGEFORMAT </w:instrText>
      </w:r>
      <w:r>
        <w:fldChar w:fldCharType="separate"/>
      </w:r>
      <w:r>
        <w:t>MSL975010A Perform fire assay techniques</w:t>
      </w:r>
      <w:r>
        <w:fldChar w:fldCharType="end"/>
      </w:r>
    </w:p>
    <w:p w:rsidR="00C609D5" w:rsidP="00C609D5">
      <w:pPr>
        <w:pStyle w:val="Version"/>
        <w:sectPr w:rsidSect="00F63E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63E58" w:rsidP="00F63E58">
      <w:pPr>
        <w:pStyle w:val="SuperHeading"/>
      </w:pPr>
      <w:r w:rsidRPr="00F63E58">
        <w:t>MSL975010A Perform fire assay techniques</w:t>
      </w:r>
    </w:p>
    <w:p w:rsidR="00000000" w:rsidRPr="00F63E58" w:rsidP="00F63E58">
      <w:pPr>
        <w:pStyle w:val="SuperHeading"/>
      </w:pPr>
    </w:p>
    <w:p w:rsidR="00000000" w:rsidRPr="00F63E58" w:rsidP="00F63E58">
      <w:pPr>
        <w:pStyle w:val="Heading1"/>
      </w:pPr>
      <w:bookmarkStart w:id="1" w:name="O_103587"/>
      <w:bookmarkEnd w:id="1"/>
      <w:r w:rsidRPr="00F63E58">
        <w:t>Modification History</w:t>
      </w:r>
    </w:p>
    <w:p w:rsidR="00000000" w:rsidRPr="00F63E58" w:rsidP="00F63E58">
      <w:pPr>
        <w:pStyle w:val="BodyText"/>
      </w:pPr>
      <w:r w:rsidRPr="00F63E58">
        <w:t>Not applicable.</w:t>
      </w:r>
    </w:p>
    <w:p w:rsidR="00000000" w:rsidRPr="00F63E58" w:rsidP="00F63E58">
      <w:pPr>
        <w:pStyle w:val="AllowPageBreak"/>
      </w:pPr>
    </w:p>
    <w:p w:rsidR="00000000" w:rsidRPr="00F63E58" w:rsidP="00F63E58">
      <w:pPr>
        <w:pStyle w:val="Heading1"/>
      </w:pPr>
      <w:bookmarkStart w:id="2" w:name="O_103588"/>
      <w:bookmarkEnd w:id="2"/>
      <w:r w:rsidRPr="00F63E58">
        <w:t>Unit Descriptor</w:t>
      </w:r>
    </w:p>
    <w:tbl>
      <w:tblPr>
        <w:tblW w:w="0" w:type="auto"/>
        <w:tblLayout w:type="fixed"/>
        <w:tblCellMar>
          <w:left w:w="62" w:type="dxa"/>
          <w:right w:w="62" w:type="dxa"/>
        </w:tblCellMar>
        <w:tblLook w:val="0000"/>
      </w:tblPr>
      <w:tblGrid>
        <w:gridCol w:w="2671"/>
        <w:gridCol w:w="5851"/>
      </w:tblGrid>
      <w:tr w:rsidTr="00C609D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BodyText"/>
            </w:pPr>
            <w:r w:rsidRPr="00F63E58">
              <w:t>This unit of competency covers the ability to safely extract a range of precious metals from the</w:t>
            </w:r>
            <w:r w:rsidRPr="00F63E58">
              <w:t>ir host matrices in readiness for analysis. The unit also covers the ability to select and/or modify laboratory methods to suit particular ores and to ensure total recovery.</w:t>
            </w:r>
          </w:p>
        </w:tc>
      </w:tr>
    </w:tbl>
    <w:p w:rsidR="00000000" w:rsidRPr="00F63E58" w:rsidP="00F63E58">
      <w:pPr>
        <w:pStyle w:val="BodyText"/>
      </w:pPr>
    </w:p>
    <w:p w:rsidR="00000000" w:rsidRPr="00F63E58" w:rsidP="00F63E58">
      <w:pPr>
        <w:pStyle w:val="AllowPageBreak"/>
      </w:pPr>
    </w:p>
    <w:p w:rsidR="00000000" w:rsidRPr="00F63E58" w:rsidP="00F63E58">
      <w:pPr>
        <w:pStyle w:val="Heading1"/>
      </w:pPr>
      <w:bookmarkStart w:id="3" w:name="O_103589"/>
      <w:bookmarkEnd w:id="3"/>
      <w:r w:rsidRPr="00F63E58">
        <w:t>Application of the Unit</w:t>
      </w:r>
    </w:p>
    <w:tbl>
      <w:tblPr>
        <w:tblW w:w="0" w:type="auto"/>
        <w:tblLayout w:type="fixed"/>
        <w:tblCellMar>
          <w:left w:w="62" w:type="dxa"/>
          <w:right w:w="62" w:type="dxa"/>
        </w:tblCellMar>
        <w:tblLook w:val="0000"/>
      </w:tblPr>
      <w:tblGrid>
        <w:gridCol w:w="2752"/>
        <w:gridCol w:w="5770"/>
      </w:tblGrid>
      <w:tr w:rsidTr="00C609D5">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BodyText"/>
            </w:pPr>
            <w:r w:rsidRPr="00F63E58">
              <w:t>This unit of competency is applicable to laboratory personnel working in the mineral assay industry sector.</w:t>
            </w:r>
          </w:p>
          <w:p w:rsidR="00000000" w:rsidRPr="00F63E58" w:rsidP="00F63E58">
            <w:pPr>
              <w:pStyle w:val="BodyText"/>
            </w:pPr>
            <w:r w:rsidRPr="00F63E58">
              <w:t xml:space="preserve">Industry representatives have provided case studies to illustrate the practical application of this unit of competency and to show its relevance in </w:t>
            </w:r>
            <w:r w:rsidRPr="00F63E58">
              <w:t>a workplace setting. These can be found at the end of this unit of competency under the section 'This competency in practice'.</w:t>
            </w:r>
          </w:p>
        </w:tc>
      </w:tr>
    </w:tbl>
    <w:p w:rsidR="00000000" w:rsidRPr="00F63E58" w:rsidP="00F63E58">
      <w:pPr>
        <w:pStyle w:val="BodyText"/>
      </w:pPr>
    </w:p>
    <w:p w:rsidR="00000000" w:rsidRPr="00F63E58" w:rsidP="00F63E58">
      <w:pPr>
        <w:pStyle w:val="AllowPageBreak"/>
      </w:pPr>
    </w:p>
    <w:p w:rsidR="00000000" w:rsidRPr="00F63E58" w:rsidP="00F63E58">
      <w:pPr>
        <w:pStyle w:val="Heading1"/>
      </w:pPr>
      <w:bookmarkStart w:id="4" w:name="O_103590"/>
      <w:bookmarkEnd w:id="4"/>
      <w:r w:rsidRPr="00F63E58">
        <w:t>Licensing/Regulatory Information</w:t>
      </w:r>
    </w:p>
    <w:p w:rsidR="00000000" w:rsidRPr="00F63E58" w:rsidP="00F63E58">
      <w:pPr>
        <w:pStyle w:val="BodyText"/>
      </w:pPr>
      <w:r w:rsidRPr="00F63E58">
        <w:t>Not applicable.</w:t>
      </w:r>
    </w:p>
    <w:p w:rsidR="00000000" w:rsidRPr="00F63E58" w:rsidP="00F63E58">
      <w:pPr>
        <w:pStyle w:val="AllowPageBreak"/>
      </w:pPr>
    </w:p>
    <w:p w:rsidR="00000000" w:rsidRPr="00F63E58" w:rsidP="00F63E58">
      <w:pPr>
        <w:pStyle w:val="Heading1"/>
      </w:pPr>
      <w:bookmarkStart w:id="5" w:name="O_103592"/>
      <w:bookmarkEnd w:id="5"/>
      <w:r w:rsidRPr="00F63E58">
        <w:t>Pre-Requisites</w:t>
      </w:r>
    </w:p>
    <w:tbl>
      <w:tblPr>
        <w:tblW w:w="0" w:type="auto"/>
        <w:tblLayout w:type="fixed"/>
        <w:tblCellMar>
          <w:left w:w="62" w:type="dxa"/>
          <w:right w:w="62" w:type="dxa"/>
        </w:tblCellMar>
        <w:tblLook w:val="0000"/>
      </w:tblPr>
      <w:tblGrid>
        <w:gridCol w:w="2653"/>
        <w:gridCol w:w="2785"/>
        <w:gridCol w:w="3084"/>
      </w:tblGrid>
      <w:tr w:rsidTr="00C609D5">
        <w:tblPrEx>
          <w:tblW w:w="0" w:type="auto"/>
          <w:tblLayout w:type="fixed"/>
          <w:tblCellMar>
            <w:left w:w="62" w:type="dxa"/>
            <w:right w:w="62" w:type="dxa"/>
          </w:tblCellMar>
          <w:tblLook w:val="0000"/>
        </w:tblPrEx>
        <w:trPr>
          <w:tblHeader/>
        </w:trPr>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SpecialBold"/>
              </w:rPr>
              <w:t>Prerequisite units</w:t>
            </w:r>
          </w:p>
        </w:tc>
        <w:tc>
          <w:tcPr>
            <w:tcW w:w="586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p>
        </w:tc>
      </w:tr>
      <w:tr w:rsidTr="00C609D5">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BodyText"/>
            </w:pPr>
            <w:r w:rsidRPr="00F63E58">
              <w:rPr>
                <w:rStyle w:val="Emphasis"/>
              </w:rPr>
              <w:t>MSL954002A</w:t>
            </w:r>
          </w:p>
        </w:tc>
        <w:tc>
          <w:tcPr>
            <w:tcW w:w="3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Emphasis"/>
              </w:rPr>
              <w:t>Prepare mineral samples for analysis</w:t>
            </w:r>
          </w:p>
        </w:tc>
      </w:tr>
      <w:tr w:rsidTr="00C609D5">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pPr>
              <w:pStyle w:val="BodyText"/>
              <w:keepNext w:val="0"/>
              <w:keepLines w:val="0"/>
              <w:contextualSpacing w:val="0"/>
            </w:pPr>
          </w:p>
        </w:tc>
        <w:tc>
          <w:tcPr>
            <w:tcW w:w="3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BoldandItalics"/>
              </w:rPr>
              <w:t>OR</w:t>
            </w:r>
          </w:p>
        </w:tc>
      </w:tr>
      <w:tr w:rsidTr="00C609D5">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BodyText"/>
            </w:pPr>
            <w:r w:rsidRPr="00F63E58">
              <w:rPr>
                <w:rStyle w:val="Emphasis"/>
              </w:rPr>
              <w:t>MSL973011A</w:t>
            </w:r>
          </w:p>
        </w:tc>
        <w:tc>
          <w:tcPr>
            <w:tcW w:w="3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BodyText"/>
            </w:pPr>
            <w:r w:rsidRPr="00F63E58">
              <w:rPr>
                <w:rStyle w:val="Emphasis"/>
              </w:rPr>
              <w:t>Perform fire pouring techniques</w:t>
            </w:r>
          </w:p>
        </w:tc>
      </w:tr>
    </w:tbl>
    <w:p w:rsidR="00000000" w:rsidRPr="00F63E58" w:rsidP="00F63E58">
      <w:pPr>
        <w:pStyle w:val="BodyText"/>
      </w:pPr>
    </w:p>
    <w:p w:rsidR="00000000" w:rsidRPr="00F63E58" w:rsidP="00F63E58">
      <w:pPr>
        <w:pStyle w:val="AllowPageBreak"/>
      </w:pPr>
    </w:p>
    <w:p w:rsidR="00000000" w:rsidRPr="00F63E58" w:rsidP="00F63E58">
      <w:pPr>
        <w:pStyle w:val="Heading1"/>
      </w:pPr>
      <w:bookmarkStart w:id="6" w:name="O_103591"/>
      <w:bookmarkEnd w:id="6"/>
      <w:r w:rsidRPr="00F63E58">
        <w:t>Employability Skills Information</w:t>
      </w:r>
    </w:p>
    <w:tbl>
      <w:tblPr>
        <w:tblW w:w="0" w:type="auto"/>
        <w:tblLayout w:type="fixed"/>
        <w:tblCellMar>
          <w:left w:w="62" w:type="dxa"/>
          <w:right w:w="62" w:type="dxa"/>
        </w:tblCellMar>
        <w:tblLook w:val="0000"/>
      </w:tblPr>
      <w:tblGrid>
        <w:gridCol w:w="2802"/>
        <w:gridCol w:w="5720"/>
      </w:tblGrid>
      <w:tr w:rsidTr="00C609D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BodyText"/>
            </w:pPr>
            <w:r w:rsidRPr="00F63E58">
              <w:t>This unit contains employability skills.</w:t>
            </w:r>
          </w:p>
        </w:tc>
      </w:tr>
    </w:tbl>
    <w:p w:rsidR="00000000" w:rsidRPr="00F63E58" w:rsidP="00F63E58">
      <w:pPr>
        <w:pStyle w:val="BodyText"/>
      </w:pPr>
    </w:p>
    <w:p w:rsidR="00000000" w:rsidRPr="00F63E58" w:rsidP="00F63E58">
      <w:pPr>
        <w:pStyle w:val="AllowPageBreak"/>
      </w:pPr>
    </w:p>
    <w:p w:rsidR="00000000" w:rsidRPr="00F63E58" w:rsidP="00F63E58">
      <w:pPr>
        <w:pStyle w:val="Heading1"/>
      </w:pPr>
      <w:bookmarkStart w:id="7" w:name="O_103593"/>
      <w:bookmarkEnd w:id="7"/>
      <w:r w:rsidRPr="00F63E58">
        <w:t>Elements and Performance Criteria Pre-Content</w:t>
      </w:r>
    </w:p>
    <w:tbl>
      <w:tblPr>
        <w:tblW w:w="0" w:type="auto"/>
        <w:tblLayout w:type="fixed"/>
        <w:tblCellMar>
          <w:left w:w="62" w:type="dxa"/>
          <w:right w:w="62" w:type="dxa"/>
        </w:tblCellMar>
        <w:tblLook w:val="0000"/>
      </w:tblPr>
      <w:tblGrid>
        <w:gridCol w:w="2621"/>
        <w:gridCol w:w="5901"/>
      </w:tblGrid>
      <w:tr w:rsidTr="00C609D5">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t>Elements describe the essential outcomes of a unit of competency.</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BodyText"/>
            </w:pPr>
            <w:r w:rsidRPr="00F63E58">
              <w:t>Performance criteria describe the performance needed to demonstrate achievement of the element. Where bold italicised text is used, further info</w:t>
            </w:r>
            <w:r w:rsidRPr="00F63E58">
              <w:t>rmation is detailed in the required skills and knowledge section and the range statement. Assessment of performance is to be consistent with the evidence guide.</w:t>
            </w:r>
          </w:p>
        </w:tc>
      </w:tr>
    </w:tbl>
    <w:p w:rsidR="00000000" w:rsidRPr="00F63E58" w:rsidP="00F63E58">
      <w:pPr>
        <w:pStyle w:val="BodyText"/>
      </w:pPr>
    </w:p>
    <w:p w:rsidR="00000000" w:rsidRPr="00F63E58" w:rsidP="00F63E58">
      <w:pPr>
        <w:pStyle w:val="AllowPageBreak"/>
      </w:pPr>
    </w:p>
    <w:p w:rsidR="00000000" w:rsidRPr="00F63E58" w:rsidP="00F63E58">
      <w:pPr>
        <w:pStyle w:val="Heading1"/>
      </w:pPr>
      <w:bookmarkStart w:id="8" w:name="O_103594"/>
      <w:bookmarkEnd w:id="8"/>
      <w:r w:rsidRPr="00F63E58">
        <w:t>Elements and Performance Criteria</w:t>
      </w:r>
    </w:p>
    <w:tbl>
      <w:tblPr>
        <w:tblW w:w="0" w:type="auto"/>
        <w:tblLayout w:type="fixed"/>
        <w:tblCellMar>
          <w:left w:w="62" w:type="dxa"/>
          <w:right w:w="62" w:type="dxa"/>
        </w:tblCellMar>
        <w:tblLook w:val="0000"/>
      </w:tblPr>
      <w:tblGrid>
        <w:gridCol w:w="2621"/>
        <w:gridCol w:w="5901"/>
      </w:tblGrid>
      <w:tr w:rsidTr="00C609D5">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BodyText"/>
            </w:pPr>
            <w:r w:rsidRPr="00F63E58">
              <w:rPr>
                <w:rStyle w:val="SpecialBold"/>
              </w:rPr>
              <w:t>ELEMENT</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SpecialBold"/>
              </w:rPr>
              <w:t>PERFORMANCE CRITERIA</w:t>
            </w:r>
          </w:p>
        </w:tc>
      </w:tr>
      <w:tr w:rsidTr="00C609D5">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List"/>
              <w:rPr>
                <w:lang w:val="en-NZ"/>
              </w:rPr>
            </w:pPr>
            <w:r w:rsidRPr="00F63E58">
              <w:t>1.</w:t>
            </w:r>
            <w:r w:rsidRPr="00F63E58">
              <w:tab/>
              <w:t>Cla</w:t>
            </w:r>
            <w:r w:rsidRPr="00F63E58">
              <w:t>ssify ore samples and select fluxing method</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List2"/>
            </w:pPr>
            <w:r w:rsidRPr="00F63E58">
              <w:t>1.1.</w:t>
            </w:r>
            <w:r w:rsidRPr="00F63E58">
              <w:tab/>
              <w:t>Review client request to identify sample/analysis requirements, preparation methods and equipment involved</w:t>
            </w:r>
          </w:p>
          <w:p w:rsidR="00000000" w:rsidRPr="00F63E58" w:rsidP="00F63E58">
            <w:pPr>
              <w:pStyle w:val="List2"/>
            </w:pPr>
            <w:r w:rsidRPr="00F63E58">
              <w:t>1.2.</w:t>
            </w:r>
            <w:r w:rsidRPr="00F63E58">
              <w:tab/>
              <w:t>Inspect samples, compare with specifications, record and report any discrepancies</w:t>
            </w:r>
          </w:p>
          <w:p w:rsidR="00000000" w:rsidRPr="00F63E58" w:rsidP="00F63E58">
            <w:pPr>
              <w:pStyle w:val="List2"/>
            </w:pPr>
            <w:r w:rsidRPr="00F63E58">
              <w:t>1.3.</w:t>
            </w:r>
            <w:r w:rsidRPr="00F63E58">
              <w:tab/>
              <w:t xml:space="preserve">Conduct </w:t>
            </w:r>
            <w:r w:rsidRPr="00F63E58">
              <w:t>visual and simple chemical tests to identify the type of sample and sulphide concentrations</w:t>
            </w:r>
          </w:p>
          <w:p w:rsidR="00000000" w:rsidRPr="00F63E58" w:rsidP="00F63E58">
            <w:pPr>
              <w:pStyle w:val="List2"/>
            </w:pPr>
            <w:r w:rsidRPr="00F63E58">
              <w:t>1.4.</w:t>
            </w:r>
            <w:r w:rsidRPr="00F63E58">
              <w:tab/>
              <w:t>Review client sample/analysis history and identify possible chemical interferences</w:t>
            </w:r>
          </w:p>
          <w:p w:rsidR="00000000" w:rsidRPr="00F63E58" w:rsidP="00F63E58">
            <w:pPr>
              <w:pStyle w:val="List2"/>
            </w:pPr>
            <w:r w:rsidRPr="00F63E58">
              <w:t>1.5.</w:t>
            </w:r>
            <w:r w:rsidRPr="00F63E58">
              <w:tab/>
              <w:t>Decide whether non-standard fluxing is required</w:t>
            </w:r>
          </w:p>
          <w:p w:rsidR="00000000" w:rsidP="00F63E58">
            <w:pPr>
              <w:pStyle w:val="List2"/>
              <w:rPr>
                <w:lang w:val="en-NZ"/>
              </w:rPr>
            </w:pPr>
            <w:r w:rsidRPr="00F63E58">
              <w:t>1.6.</w:t>
            </w:r>
            <w:r w:rsidRPr="00F63E58">
              <w:tab/>
              <w:t>Select sample weig</w:t>
            </w:r>
            <w:r w:rsidRPr="00F63E58">
              <w:t>ht and flux to optimise precious metal recovery and purity</w:t>
            </w:r>
          </w:p>
        </w:tc>
      </w:tr>
      <w:tr w:rsidTr="00C609D5">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List"/>
              <w:rPr>
                <w:lang w:val="en-NZ"/>
              </w:rPr>
            </w:pPr>
            <w:r w:rsidRPr="00F63E58">
              <w:t>2.</w:t>
            </w:r>
            <w:r w:rsidRPr="00F63E58">
              <w:tab/>
              <w:t>Prepare for precious metal recovery</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List2"/>
            </w:pPr>
            <w:r w:rsidRPr="00F63E58">
              <w:t>2.1.</w:t>
            </w:r>
            <w:r w:rsidRPr="00F63E58">
              <w:tab/>
              <w:t>Identify hazards and enterprise controls associated with the sample, preparation methods, reagents and equipment</w:t>
            </w:r>
          </w:p>
          <w:p w:rsidR="00000000" w:rsidRPr="00F63E58" w:rsidP="00F63E58">
            <w:pPr>
              <w:pStyle w:val="List2"/>
            </w:pPr>
            <w:r w:rsidRPr="00F63E58">
              <w:t>2.2.</w:t>
            </w:r>
            <w:r w:rsidRPr="00F63E58">
              <w:tab/>
            </w:r>
            <w:r w:rsidRPr="00F63E58">
              <w:t>Examine the recommended preparation method to identify the critical steps that will affect the quality of analytical results</w:t>
            </w:r>
          </w:p>
          <w:p w:rsidR="00000000" w:rsidRPr="00F63E58" w:rsidP="00F63E58">
            <w:pPr>
              <w:pStyle w:val="List2"/>
            </w:pPr>
            <w:r w:rsidRPr="00F63E58">
              <w:t>2.3.</w:t>
            </w:r>
            <w:r w:rsidRPr="00F63E58">
              <w:tab/>
              <w:t>Plan parallel work sequences to optimise the throughput of multiple sets of samples</w:t>
            </w:r>
          </w:p>
          <w:p w:rsidR="00000000" w:rsidP="00F63E58">
            <w:pPr>
              <w:pStyle w:val="List2"/>
              <w:rPr>
                <w:lang w:val="en-NZ"/>
              </w:rPr>
            </w:pPr>
            <w:r w:rsidRPr="00F63E58">
              <w:t>2.4.</w:t>
            </w:r>
            <w:r w:rsidRPr="00F63E58">
              <w:tab/>
              <w:t>Assemble all required equipments, mat</w:t>
            </w:r>
            <w:r w:rsidRPr="00F63E58">
              <w:t>erials, reagents and check they are fit for purpose</w:t>
            </w:r>
          </w:p>
        </w:tc>
      </w:tr>
      <w:tr w:rsidTr="00C609D5">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List"/>
              <w:rPr>
                <w:lang w:val="en-NZ"/>
              </w:rPr>
            </w:pPr>
            <w:r w:rsidRPr="00F63E58">
              <w:t>3.</w:t>
            </w:r>
            <w:r w:rsidRPr="00F63E58">
              <w:tab/>
              <w:t>Recover precious metals from ore sample</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List2"/>
            </w:pPr>
            <w:r w:rsidRPr="00F63E58">
              <w:t>3.1.</w:t>
            </w:r>
            <w:r w:rsidRPr="00F63E58">
              <w:tab/>
              <w:t>Weigh required amounts of sample and flux components to achieve an acceptable button and fluid slag</w:t>
            </w:r>
          </w:p>
          <w:p w:rsidR="00000000" w:rsidRPr="00F63E58" w:rsidP="00F63E58">
            <w:pPr>
              <w:pStyle w:val="List2"/>
            </w:pPr>
            <w:r w:rsidRPr="00F63E58">
              <w:t>3.2.</w:t>
            </w:r>
            <w:r w:rsidRPr="00F63E58">
              <w:tab/>
              <w:t>Select the type and size of pot to suit sample met</w:t>
            </w:r>
            <w:r w:rsidRPr="00F63E58">
              <w:t xml:space="preserve">hod and client requirements </w:t>
            </w:r>
          </w:p>
          <w:p w:rsidR="00000000" w:rsidRPr="00F63E58" w:rsidP="00F63E58">
            <w:pPr>
              <w:pStyle w:val="List2"/>
            </w:pPr>
            <w:r w:rsidRPr="00F63E58">
              <w:t>3.3.</w:t>
            </w:r>
            <w:r w:rsidRPr="00F63E58">
              <w:tab/>
              <w:t>Mix charge to ensure homogeneity and optimal collection of precious metal</w:t>
            </w:r>
          </w:p>
          <w:p w:rsidR="00000000" w:rsidRPr="00F63E58" w:rsidP="00F63E58">
            <w:pPr>
              <w:pStyle w:val="List2"/>
            </w:pPr>
            <w:r w:rsidRPr="00F63E58">
              <w:t>3.4.</w:t>
            </w:r>
            <w:r w:rsidRPr="00F63E58">
              <w:tab/>
              <w:t>Set and monitor furnace temperature/time to ensure complete fusion</w:t>
            </w:r>
          </w:p>
          <w:p w:rsidR="00000000" w:rsidRPr="00F63E58" w:rsidP="00F63E58">
            <w:pPr>
              <w:pStyle w:val="List2"/>
            </w:pPr>
            <w:r w:rsidRPr="00F63E58">
              <w:t>3.5.</w:t>
            </w:r>
            <w:r w:rsidRPr="00F63E58">
              <w:tab/>
              <w:t>Separate slag and button with minimal loss of lead collector</w:t>
            </w:r>
          </w:p>
          <w:p w:rsidR="00000000" w:rsidRPr="00F63E58" w:rsidP="00F63E58">
            <w:pPr>
              <w:pStyle w:val="List2"/>
            </w:pPr>
            <w:r w:rsidRPr="00F63E58">
              <w:t>3.6.</w:t>
            </w:r>
            <w:r w:rsidRPr="00F63E58">
              <w:tab/>
              <w:t>Maint</w:t>
            </w:r>
            <w:r w:rsidRPr="00F63E58">
              <w:t>ain sequencing in order to track samples, buttons and prills throughout the recovery process</w:t>
            </w:r>
          </w:p>
          <w:p w:rsidR="00000000" w:rsidRPr="00F63E58" w:rsidP="00F63E58">
            <w:pPr>
              <w:pStyle w:val="List2"/>
            </w:pPr>
            <w:r w:rsidRPr="00F63E58">
              <w:t>3.7.</w:t>
            </w:r>
            <w:r w:rsidRPr="00F63E58">
              <w:tab/>
              <w:t xml:space="preserve">Separate lead collector from the required precious metal and check for contamination, losses and evidence of other precious metals </w:t>
            </w:r>
          </w:p>
          <w:p w:rsidR="00000000" w:rsidRPr="00F63E58" w:rsidP="00F63E58">
            <w:pPr>
              <w:pStyle w:val="List2"/>
            </w:pPr>
            <w:r w:rsidRPr="00F63E58">
              <w:t>3.8.</w:t>
            </w:r>
            <w:r w:rsidRPr="00F63E58">
              <w:tab/>
              <w:t>Minimise personal exp</w:t>
            </w:r>
            <w:r w:rsidRPr="00F63E58">
              <w:t>osure to hazards and the release of collectors to the work environment</w:t>
            </w:r>
          </w:p>
          <w:p w:rsidR="00000000" w:rsidP="00F63E58">
            <w:pPr>
              <w:pStyle w:val="List2"/>
              <w:rPr>
                <w:lang w:val="en-NZ"/>
              </w:rPr>
            </w:pPr>
            <w:r w:rsidRPr="00F63E58">
              <w:t>3.9.</w:t>
            </w:r>
            <w:r w:rsidRPr="00F63E58">
              <w:tab/>
              <w:t>Collate laboratory documentation and the prepared sample and present for analysis</w:t>
            </w:r>
          </w:p>
        </w:tc>
      </w:tr>
      <w:tr w:rsidTr="00C609D5">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List"/>
              <w:rPr>
                <w:lang w:val="en-NZ"/>
              </w:rPr>
            </w:pPr>
            <w:r w:rsidRPr="00F63E58">
              <w:t>4.</w:t>
            </w:r>
            <w:r w:rsidRPr="00F63E58">
              <w:tab/>
              <w:t>Troubleshoot and correct failed recovery</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List2"/>
            </w:pPr>
            <w:r w:rsidRPr="00F63E58">
              <w:t>4.1.</w:t>
            </w:r>
            <w:r w:rsidRPr="00F63E58">
              <w:tab/>
              <w:t>Monitor all stages of recovery for indicators of</w:t>
            </w:r>
            <w:r w:rsidRPr="00F63E58">
              <w:t xml:space="preserve"> potential loss</w:t>
            </w:r>
          </w:p>
          <w:p w:rsidR="00000000" w:rsidRPr="00F63E58" w:rsidP="00F63E58">
            <w:pPr>
              <w:pStyle w:val="List2"/>
            </w:pPr>
            <w:r w:rsidRPr="00F63E58">
              <w:t>4.2.</w:t>
            </w:r>
            <w:r w:rsidRPr="00F63E58">
              <w:tab/>
              <w:t xml:space="preserve">Recognise undesirable recovery conditions and decide whether the process requires correction </w:t>
            </w:r>
          </w:p>
          <w:p w:rsidR="00000000" w:rsidRPr="00F63E58" w:rsidP="00F63E58">
            <w:pPr>
              <w:pStyle w:val="List2"/>
            </w:pPr>
            <w:r w:rsidRPr="00F63E58">
              <w:t>4.3.</w:t>
            </w:r>
            <w:r w:rsidRPr="00F63E58">
              <w:tab/>
              <w:t>Choose an appropriate corrective action and restart the process</w:t>
            </w:r>
          </w:p>
          <w:p w:rsidR="00000000" w:rsidRPr="00F63E58" w:rsidP="00F63E58">
            <w:pPr>
              <w:pStyle w:val="List2"/>
            </w:pPr>
            <w:r w:rsidRPr="00F63E58">
              <w:t>4.4.</w:t>
            </w:r>
            <w:r w:rsidRPr="00F63E58">
              <w:tab/>
            </w:r>
            <w:r w:rsidRPr="00F63E58">
              <w:t>Document any adjustments made to standard methods and re-sequencing of samples</w:t>
            </w:r>
          </w:p>
          <w:p w:rsidR="00000000" w:rsidP="00F63E58">
            <w:pPr>
              <w:pStyle w:val="List2"/>
              <w:rPr>
                <w:lang w:val="en-NZ"/>
              </w:rPr>
            </w:pPr>
            <w:r w:rsidRPr="00F63E58">
              <w:t>4.5.</w:t>
            </w:r>
            <w:r w:rsidRPr="00F63E58">
              <w:tab/>
              <w:t>Seek advice when problems are beyond scope of responsibility or knowledge</w:t>
            </w:r>
          </w:p>
        </w:tc>
      </w:tr>
      <w:tr w:rsidTr="00C609D5">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List"/>
              <w:rPr>
                <w:lang w:val="en-NZ"/>
              </w:rPr>
            </w:pPr>
            <w:r w:rsidRPr="00F63E58">
              <w:t>5.</w:t>
            </w:r>
            <w:r w:rsidRPr="00F63E58">
              <w:tab/>
              <w:t xml:space="preserve">Perform daily maintenance of assay equipment </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List2"/>
            </w:pPr>
            <w:r w:rsidRPr="00F63E58">
              <w:t>5.1.</w:t>
            </w:r>
            <w:r w:rsidRPr="00F63E58">
              <w:tab/>
              <w:t>Segregate and dispose of wastes in accordan</w:t>
            </w:r>
            <w:r w:rsidRPr="00F63E58">
              <w:t>ce with enterprise requirements</w:t>
            </w:r>
          </w:p>
          <w:p w:rsidR="00000000" w:rsidRPr="00F63E58" w:rsidP="00F63E58">
            <w:pPr>
              <w:pStyle w:val="List2"/>
            </w:pPr>
            <w:r w:rsidRPr="00F63E58">
              <w:t>5.2.</w:t>
            </w:r>
            <w:r w:rsidRPr="00F63E58">
              <w:tab/>
              <w:t>Grade and inspect pots using established criteria prior to storage for re-use</w:t>
            </w:r>
          </w:p>
          <w:p w:rsidR="00000000" w:rsidRPr="00F63E58" w:rsidP="00F63E58">
            <w:pPr>
              <w:pStyle w:val="List2"/>
            </w:pPr>
            <w:r w:rsidRPr="00F63E58">
              <w:t>5.3.</w:t>
            </w:r>
            <w:r w:rsidRPr="00F63E58">
              <w:tab/>
              <w:t>Inspect furnaces for cracks, unserviceable components and remove slag</w:t>
            </w:r>
          </w:p>
          <w:p w:rsidR="00000000" w:rsidRPr="00F63E58" w:rsidP="00F63E58">
            <w:pPr>
              <w:pStyle w:val="List2"/>
            </w:pPr>
            <w:r w:rsidRPr="00F63E58">
              <w:t>5.4.</w:t>
            </w:r>
            <w:r w:rsidRPr="00F63E58">
              <w:tab/>
              <w:t xml:space="preserve">Inspect and clean extractive systems </w:t>
            </w:r>
          </w:p>
          <w:p w:rsidR="00000000" w:rsidRPr="00F63E58" w:rsidP="00F63E58">
            <w:pPr>
              <w:pStyle w:val="List2"/>
            </w:pPr>
            <w:r w:rsidRPr="00F63E58">
              <w:t>5.5.</w:t>
            </w:r>
            <w:r w:rsidRPr="00F63E58">
              <w:tab/>
              <w:t>Report defective e</w:t>
            </w:r>
            <w:r w:rsidRPr="00F63E58">
              <w:t>quipment and consumable requirements to appropriate personnel</w:t>
            </w:r>
          </w:p>
        </w:tc>
      </w:tr>
    </w:tbl>
    <w:p w:rsidR="00000000" w:rsidRPr="00F63E58" w:rsidP="00F63E58">
      <w:pPr>
        <w:pStyle w:val="BodyText"/>
      </w:pPr>
    </w:p>
    <w:p w:rsidR="00000000" w:rsidRPr="00F63E58" w:rsidP="00F63E58">
      <w:pPr>
        <w:pStyle w:val="AllowPageBreak"/>
      </w:pPr>
    </w:p>
    <w:p w:rsidR="00000000" w:rsidRPr="00F63E58" w:rsidP="00F63E58">
      <w:pPr>
        <w:pStyle w:val="Heading1"/>
      </w:pPr>
      <w:bookmarkStart w:id="9" w:name="O_103595"/>
      <w:bookmarkEnd w:id="9"/>
      <w:r w:rsidRPr="00F63E58">
        <w:t>Required Skills and Knowledge</w:t>
      </w:r>
    </w:p>
    <w:tbl>
      <w:tblPr>
        <w:tblW w:w="0" w:type="auto"/>
        <w:tblLayout w:type="fixed"/>
        <w:tblCellMar>
          <w:left w:w="62" w:type="dxa"/>
          <w:right w:w="62" w:type="dxa"/>
        </w:tblCellMar>
        <w:tblLook w:val="0000"/>
      </w:tblPr>
      <w:tblGrid>
        <w:gridCol w:w="8522"/>
      </w:tblGrid>
      <w:tr w:rsidTr="00C609D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SpecialBold"/>
              </w:rPr>
              <w:t>REQUIRED SKILLS AND KNOWLEDGE</w:t>
            </w:r>
          </w:p>
        </w:tc>
      </w:tr>
      <w:tr w:rsidTr="00C609D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t>This section describes the skills and knowledge required for this unit.</w:t>
            </w:r>
          </w:p>
        </w:tc>
      </w:tr>
      <w:tr w:rsidTr="00C609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SpecialBold"/>
              </w:rPr>
              <w:t>Required skills</w:t>
            </w:r>
          </w:p>
        </w:tc>
      </w:tr>
      <w:tr w:rsidTr="00C609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BodyText"/>
            </w:pPr>
            <w:r w:rsidRPr="00F63E58">
              <w:t>Required skills include:</w:t>
            </w:r>
          </w:p>
          <w:p w:rsidR="00000000" w:rsidRPr="00F63E58" w:rsidP="00F63E58">
            <w:pPr>
              <w:pStyle w:val="ListBullet"/>
            </w:pPr>
            <w:r w:rsidRPr="00F63E58">
              <w:t>planning and optimising throughput of multiple samples</w:t>
            </w:r>
          </w:p>
          <w:p w:rsidR="00000000" w:rsidRPr="00F63E58" w:rsidP="00F63E58">
            <w:pPr>
              <w:pStyle w:val="ListBullet"/>
            </w:pPr>
            <w:r w:rsidRPr="00F63E58">
              <w:t>accurately weighing samples and flux components</w:t>
            </w:r>
          </w:p>
          <w:p w:rsidR="00000000" w:rsidRPr="00F63E58" w:rsidP="00F63E58">
            <w:pPr>
              <w:pStyle w:val="ListBullet"/>
            </w:pPr>
            <w:r w:rsidRPr="00F63E58">
              <w:t>safely handling heavy/hot items of equipment and hazardous chemicals</w:t>
            </w:r>
          </w:p>
          <w:p w:rsidR="00000000" w:rsidRPr="00F63E58" w:rsidP="00F63E58">
            <w:pPr>
              <w:pStyle w:val="ListBullet"/>
            </w:pPr>
            <w:r w:rsidRPr="00F63E58">
              <w:t>hand-eye coordination during pouring and knocking up buttons</w:t>
            </w:r>
          </w:p>
          <w:p w:rsidR="00000000" w:rsidRPr="00F63E58" w:rsidP="00F63E58">
            <w:pPr>
              <w:pStyle w:val="ListBullet"/>
            </w:pPr>
            <w:r w:rsidRPr="00F63E58">
              <w:t>recognising and identifying the cause of non-acceptable received and fused samples, buttons and prills</w:t>
            </w:r>
          </w:p>
          <w:p w:rsidR="00000000" w:rsidP="00F63E58">
            <w:pPr>
              <w:pStyle w:val="ListBullet"/>
              <w:rPr>
                <w:lang w:val="en-NZ"/>
              </w:rPr>
            </w:pPr>
            <w:r w:rsidRPr="00F63E58">
              <w:t>adjusting recovery methods to solve recovery and contamination problems</w:t>
            </w:r>
          </w:p>
        </w:tc>
      </w:tr>
      <w:tr w:rsidTr="00C609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SpecialBold"/>
              </w:rPr>
              <w:t>Required knowledge</w:t>
            </w:r>
          </w:p>
        </w:tc>
      </w:tr>
      <w:tr w:rsidTr="00C609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BodyText"/>
            </w:pPr>
            <w:r w:rsidRPr="00F63E58">
              <w:t>Required knowledge includes:</w:t>
            </w:r>
          </w:p>
          <w:p w:rsidR="00000000" w:rsidRPr="00F63E58" w:rsidP="00F63E58">
            <w:pPr>
              <w:pStyle w:val="ListBullet"/>
            </w:pPr>
            <w:r w:rsidRPr="00F63E58">
              <w:t>chemical and physical principl</w:t>
            </w:r>
            <w:r w:rsidRPr="00F63E58">
              <w:t>es relating to:</w:t>
            </w:r>
          </w:p>
          <w:p w:rsidR="00000000" w:rsidRPr="00F63E58" w:rsidP="00F63E58">
            <w:pPr>
              <w:pStyle w:val="ListBullet2"/>
            </w:pPr>
            <w:r w:rsidRPr="00F63E58">
              <w:t>fusion of mineral ores</w:t>
            </w:r>
          </w:p>
          <w:p w:rsidR="00000000" w:rsidRPr="00F63E58" w:rsidP="00F63E58">
            <w:pPr>
              <w:pStyle w:val="ListBullet2"/>
            </w:pPr>
            <w:r w:rsidRPr="00F63E58">
              <w:t>cupellation</w:t>
            </w:r>
          </w:p>
          <w:p w:rsidR="00000000" w:rsidRPr="00F63E58" w:rsidP="00F63E58">
            <w:pPr>
              <w:pStyle w:val="ListBullet2"/>
            </w:pPr>
            <w:r w:rsidRPr="00F63E58">
              <w:t>parting and digestion processes</w:t>
            </w:r>
          </w:p>
          <w:p w:rsidR="00000000" w:rsidRPr="00F63E58" w:rsidP="00F63E58">
            <w:pPr>
              <w:pStyle w:val="ListBullet"/>
            </w:pPr>
            <w:r w:rsidRPr="00F63E58">
              <w:t>expected physical and chemical properties of materials at each recovery stage</w:t>
            </w:r>
          </w:p>
          <w:p w:rsidR="00000000" w:rsidRPr="00F63E58" w:rsidP="00F63E58">
            <w:pPr>
              <w:pStyle w:val="ListBullet"/>
            </w:pPr>
            <w:r w:rsidRPr="00F63E58">
              <w:t>standard methods for the fire assay of a range of precious metal ores</w:t>
            </w:r>
          </w:p>
          <w:p w:rsidR="00000000" w:rsidRPr="00F63E58" w:rsidP="00F63E58">
            <w:pPr>
              <w:pStyle w:val="ListBullet"/>
            </w:pPr>
            <w:r w:rsidRPr="00F63E58">
              <w:t>hazards and effects of absorption of chemical reagents</w:t>
            </w:r>
          </w:p>
          <w:p w:rsidR="00000000" w:rsidRPr="00F63E58" w:rsidP="00F63E58">
            <w:pPr>
              <w:pStyle w:val="ListBullet"/>
            </w:pPr>
            <w:r w:rsidRPr="00F63E58">
              <w:t>control measures and operation of safety equipment</w:t>
            </w:r>
          </w:p>
          <w:p w:rsidR="00000000" w:rsidRPr="00F63E58" w:rsidP="00F63E58">
            <w:pPr>
              <w:pStyle w:val="ListBullet"/>
            </w:pPr>
            <w:r w:rsidRPr="00F63E58">
              <w:t>function and operation of assay/equipment</w:t>
            </w:r>
          </w:p>
          <w:p w:rsidR="00000000" w:rsidRPr="00F63E58" w:rsidP="00F63E58">
            <w:pPr>
              <w:pStyle w:val="ListBullet"/>
            </w:pPr>
            <w:r w:rsidRPr="00F63E58">
              <w:t>enterprise and/or legal traceability requirements</w:t>
            </w:r>
          </w:p>
          <w:p w:rsidR="00000000" w:rsidRPr="00F63E58" w:rsidP="00F63E58">
            <w:pPr>
              <w:pStyle w:val="ListBullet"/>
            </w:pPr>
            <w:r w:rsidRPr="00F63E58">
              <w:t>relevant health, safety and environment requirements</w:t>
            </w:r>
          </w:p>
        </w:tc>
      </w:tr>
    </w:tbl>
    <w:p w:rsidR="00000000" w:rsidRPr="00F63E58" w:rsidP="00F63E58">
      <w:pPr>
        <w:pStyle w:val="BodyText"/>
      </w:pPr>
    </w:p>
    <w:p w:rsidR="00000000" w:rsidRPr="00F63E58" w:rsidP="00F63E58">
      <w:pPr>
        <w:pStyle w:val="AllowPageBreak"/>
      </w:pPr>
    </w:p>
    <w:p w:rsidR="00000000" w:rsidRPr="00F63E58" w:rsidP="00F63E58">
      <w:pPr>
        <w:pStyle w:val="Heading1"/>
      </w:pPr>
      <w:bookmarkStart w:id="10" w:name="O_103596"/>
      <w:bookmarkEnd w:id="10"/>
      <w:r w:rsidRPr="00F63E58">
        <w:t>Evidence Guide</w:t>
      </w:r>
    </w:p>
    <w:tbl>
      <w:tblPr>
        <w:tblW w:w="9570" w:type="dxa"/>
        <w:tblLayout w:type="fixed"/>
        <w:tblCellMar>
          <w:left w:w="62" w:type="dxa"/>
          <w:right w:w="62" w:type="dxa"/>
        </w:tblCellMar>
        <w:tblLook w:val="0000"/>
      </w:tblPr>
      <w:tblGrid>
        <w:gridCol w:w="3908"/>
        <w:gridCol w:w="5662"/>
      </w:tblGrid>
      <w:tr w:rsidTr="00C609D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SpecialBold"/>
              </w:rPr>
              <w:t>EVIDENCE GUIDE</w:t>
            </w:r>
          </w:p>
        </w:tc>
      </w:tr>
      <w:tr w:rsidTr="00C609D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t>The Evidence Guide provides advice on assessment and must be read in conjunction with the performance criteria, required skills and knowledge, range statement and the Assessment Guidelines for the Training Pa</w:t>
            </w:r>
            <w:r w:rsidRPr="00F63E58">
              <w:t>ckage.</w:t>
            </w:r>
          </w:p>
        </w:tc>
      </w:tr>
      <w:tr w:rsidTr="00C609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p>
        </w:tc>
      </w:tr>
      <w:tr w:rsidTr="00C609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BodyText"/>
            </w:pPr>
            <w:r w:rsidRPr="00F63E58">
              <w:t>Assessors should ensure that candidates can:</w:t>
            </w:r>
          </w:p>
          <w:p w:rsidR="00000000" w:rsidRPr="00F63E58" w:rsidP="00F63E58">
            <w:pPr>
              <w:pStyle w:val="ListBullet"/>
            </w:pPr>
            <w:r w:rsidRPr="00F63E58">
              <w:t>recognise hazards and work safely at all times</w:t>
            </w:r>
          </w:p>
          <w:p w:rsidR="00000000" w:rsidRPr="00F63E58" w:rsidP="00F63E58">
            <w:pPr>
              <w:pStyle w:val="ListBullet"/>
            </w:pPr>
            <w:r w:rsidRPr="00F63E58">
              <w:t>interpret, follow and adjust (as necessary) standard recovery methods</w:t>
            </w:r>
          </w:p>
          <w:p w:rsidR="00000000" w:rsidRPr="00F63E58" w:rsidP="00F63E58">
            <w:pPr>
              <w:pStyle w:val="ListBullet"/>
            </w:pPr>
            <w:r w:rsidRPr="00F63E58">
              <w:t>maintain close attention to technical and safety requirements in a physically demanding/hazardous environment</w:t>
            </w:r>
          </w:p>
          <w:p w:rsidR="00000000" w:rsidRPr="00F63E58" w:rsidP="00F63E58">
            <w:pPr>
              <w:pStyle w:val="ListBullet"/>
            </w:pPr>
            <w:r w:rsidRPr="00F63E58">
              <w:t>maintain sequential control of samples through all recovery stages</w:t>
            </w:r>
          </w:p>
          <w:p w:rsidR="00000000" w:rsidRPr="00F63E58" w:rsidP="00F63E58">
            <w:pPr>
              <w:pStyle w:val="ListBullet"/>
            </w:pPr>
            <w:r w:rsidRPr="00F63E58">
              <w:t xml:space="preserve">optimise </w:t>
            </w:r>
            <w:r w:rsidRPr="00F63E58">
              <w:t>work flow to ensure efficiency of recovery for multiple client samples</w:t>
            </w:r>
          </w:p>
          <w:p w:rsidR="00000000" w:rsidRPr="00F63E58" w:rsidP="00F63E58">
            <w:pPr>
              <w:pStyle w:val="ListBullet"/>
            </w:pPr>
            <w:r w:rsidRPr="00F63E58">
              <w:t>identify indicators of poor recovery</w:t>
            </w:r>
          </w:p>
          <w:p w:rsidR="00000000" w:rsidRPr="00F63E58" w:rsidP="00F63E58">
            <w:pPr>
              <w:pStyle w:val="ListBullet"/>
            </w:pPr>
            <w:r w:rsidRPr="00F63E58">
              <w:t>apply a knowledge of mineral chemistry and fire assay techniques to select and implement logical corrective actions to improve recovery rates</w:t>
            </w:r>
          </w:p>
          <w:p w:rsidR="00000000" w:rsidRPr="00F63E58" w:rsidP="00F63E58">
            <w:pPr>
              <w:pStyle w:val="ListBullet"/>
            </w:pPr>
            <w:r w:rsidRPr="00F63E58">
              <w:t>minimi</w:t>
            </w:r>
            <w:r w:rsidRPr="00F63E58">
              <w:t>se rework, waste and environmental impacts</w:t>
            </w:r>
          </w:p>
          <w:p w:rsidR="00000000" w:rsidP="00F63E58">
            <w:pPr>
              <w:pStyle w:val="ListBullet"/>
              <w:rPr>
                <w:lang w:val="en-NZ"/>
              </w:rPr>
            </w:pPr>
            <w:r w:rsidRPr="00F63E58">
              <w:t>dispose of all waste responsibly.</w:t>
            </w:r>
          </w:p>
        </w:tc>
      </w:tr>
      <w:tr w:rsidTr="00C609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BodyText"/>
            </w:pPr>
            <w:r w:rsidRPr="00F63E58">
              <w:t xml:space="preserve">This unit of competency is to be assessed in the workplace or simulated workplace environment. </w:t>
            </w:r>
          </w:p>
          <w:p w:rsidR="00000000" w:rsidRPr="00F63E58" w:rsidP="00F63E58">
            <w:pPr>
              <w:pStyle w:val="BodyText"/>
            </w:pPr>
            <w:r w:rsidRPr="00F63E58">
              <w:t>This unit of competency may be assessed with:</w:t>
            </w:r>
          </w:p>
          <w:p w:rsidR="00000000" w:rsidRPr="00F63E58" w:rsidP="00F63E58">
            <w:pPr>
              <w:pStyle w:val="ListBullet"/>
            </w:pPr>
            <w:r w:rsidRPr="00F63E58">
              <w:rPr>
                <w:rStyle w:val="Emphasis"/>
              </w:rPr>
              <w:t>MSL975020A Apply routine spectrometric techniques</w:t>
            </w:r>
            <w:r w:rsidRPr="00F63E58">
              <w:t>.</w:t>
            </w:r>
          </w:p>
          <w:p w:rsidR="00000000" w:rsidRPr="00F63E58" w:rsidP="00F63E58">
            <w:pPr>
              <w:pStyle w:val="BodyText"/>
            </w:pPr>
            <w:r w:rsidRPr="00F63E58">
              <w:t>Resources may include:</w:t>
            </w:r>
          </w:p>
          <w:p w:rsidR="00000000" w:rsidRPr="00F63E58" w:rsidP="00F63E58">
            <w:pPr>
              <w:pStyle w:val="ListBullet"/>
            </w:pPr>
            <w:r w:rsidRPr="00F63E58">
              <w:t>a variety of precious metal ore samples</w:t>
            </w:r>
          </w:p>
          <w:p w:rsidR="00000000" w:rsidRPr="00F63E58" w:rsidP="00F63E58">
            <w:pPr>
              <w:pStyle w:val="ListBullet"/>
            </w:pPr>
            <w:r w:rsidRPr="00F63E58">
              <w:t>fire assay methods</w:t>
            </w:r>
          </w:p>
          <w:p w:rsidR="00000000" w:rsidRPr="00F63E58" w:rsidP="00F63E58">
            <w:pPr>
              <w:pStyle w:val="ListBullet"/>
            </w:pPr>
            <w:r w:rsidRPr="00F63E58">
              <w:t>fire assay equipment, materials and reagents</w:t>
            </w:r>
          </w:p>
          <w:p w:rsidR="00000000" w:rsidP="00F63E58">
            <w:pPr>
              <w:pStyle w:val="ListBullet"/>
              <w:rPr>
                <w:lang w:val="en-NZ"/>
              </w:rPr>
            </w:pPr>
            <w:r w:rsidRPr="00F63E58">
              <w:t>safety equipment.</w:t>
            </w:r>
          </w:p>
        </w:tc>
      </w:tr>
      <w:tr w:rsidTr="00C609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SpecialBold"/>
              </w:rPr>
              <w:t>Method of a</w:t>
            </w:r>
            <w:r w:rsidRPr="00F63E58">
              <w:rPr>
                <w:rStyle w:val="SpecialBold"/>
              </w:rPr>
              <w:t>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BodyText"/>
            </w:pPr>
            <w:r w:rsidRPr="00F63E58">
              <w:t>The following assessment methods are suggested:</w:t>
            </w:r>
          </w:p>
          <w:p w:rsidR="00000000" w:rsidRPr="00F63E58" w:rsidP="00F63E58">
            <w:pPr>
              <w:pStyle w:val="ListBullet"/>
            </w:pPr>
            <w:r w:rsidRPr="00F63E58">
              <w:t>review of quality control performance and analytical results traceable to assay samples prepared by the candidate</w:t>
            </w:r>
          </w:p>
          <w:p w:rsidR="00000000" w:rsidRPr="00F63E58" w:rsidP="00F63E58">
            <w:pPr>
              <w:pStyle w:val="ListBullet"/>
            </w:pPr>
            <w:r w:rsidRPr="00F63E58">
              <w:t>review of workplace documentation prepared by the candidate</w:t>
            </w:r>
          </w:p>
          <w:p w:rsidR="00000000" w:rsidRPr="00F63E58" w:rsidP="00F63E58">
            <w:pPr>
              <w:pStyle w:val="ListBullet"/>
            </w:pPr>
            <w:r w:rsidRPr="00F63E58">
              <w:t>feedback from peers, cl</w:t>
            </w:r>
            <w:r w:rsidRPr="00F63E58">
              <w:t>ients and supervisors</w:t>
            </w:r>
          </w:p>
          <w:p w:rsidR="00000000" w:rsidRPr="00F63E58" w:rsidP="00F63E58">
            <w:pPr>
              <w:pStyle w:val="ListBullet"/>
            </w:pPr>
            <w:r w:rsidRPr="00F63E58">
              <w:t>written/oral questioning about precious metal recovery steps, typical problems and corrective actions.</w:t>
            </w:r>
          </w:p>
          <w:p w:rsidR="00000000" w:rsidRPr="00F63E58" w:rsidP="00F63E58">
            <w:pPr>
              <w:pStyle w:val="BodyText"/>
            </w:pPr>
            <w:r w:rsidRPr="00F63E58">
              <w:t xml:space="preserve">In all cases, practical assessment should be supported by questions to assess underpinning knowledge and those aspects of competency which are difficult to assess directly. </w:t>
            </w:r>
          </w:p>
          <w:p w:rsidR="00000000" w:rsidRPr="00F63E58" w:rsidP="00F63E58">
            <w:pPr>
              <w:pStyle w:val="BodyText"/>
            </w:pPr>
            <w:r w:rsidRPr="00F63E58">
              <w:t>Where applicable, reasonable adjustment must be made to work environments and trai</w:t>
            </w:r>
            <w:r w:rsidRPr="00F63E58">
              <w:t xml:space="preserve">ning situations to accommodate ethnicity, age, gender, demographics and disability. </w:t>
            </w:r>
          </w:p>
          <w:p w:rsidR="00000000" w:rsidRPr="00F63E58" w:rsidP="00F63E58">
            <w:pPr>
              <w:pStyle w:val="BodyText"/>
            </w:pPr>
            <w:r w:rsidRPr="00F63E58">
              <w:t xml:space="preserve">Access must be provided to appropriate learning and/or assessment support when required. </w:t>
            </w:r>
          </w:p>
          <w:p w:rsidR="00000000" w:rsidP="00F63E58">
            <w:pPr>
              <w:pStyle w:val="BodyText"/>
              <w:rPr>
                <w:lang w:val="en-NZ"/>
              </w:rPr>
            </w:pPr>
            <w:r w:rsidRPr="00F63E58">
              <w:t>The language, literacy and numeracy demands of assessment should not be greater t</w:t>
            </w:r>
            <w:r w:rsidRPr="00F63E58">
              <w:t>han those required to undertake the unit of competency in a work like environment.</w:t>
            </w:r>
          </w:p>
        </w:tc>
      </w:tr>
      <w:tr w:rsidTr="00C609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BodyText"/>
            </w:pPr>
            <w:r w:rsidRPr="00F63E58">
              <w:t>Industry representatives have provided the case study below to illustrate the practical application of this unit of competency and show its rele</w:t>
            </w:r>
            <w:r w:rsidRPr="00F63E58">
              <w:t>vance in a workplace setting.</w:t>
            </w:r>
          </w:p>
          <w:p w:rsidR="00000000" w:rsidRPr="00F63E58" w:rsidP="00F63E58">
            <w:pPr>
              <w:pStyle w:val="BodyText"/>
            </w:pPr>
            <w:r w:rsidRPr="00F63E58">
              <w:rPr>
                <w:rStyle w:val="SpecialBold"/>
              </w:rPr>
              <w:t>Mineral processing</w:t>
            </w:r>
          </w:p>
          <w:p w:rsidR="00000000" w:rsidRPr="00F63E58" w:rsidP="00F63E58">
            <w:pPr>
              <w:pStyle w:val="BodyText"/>
            </w:pPr>
            <w:r w:rsidRPr="00F63E58">
              <w:t>A fire pourer has noticed a large amount of fine lead shot in the bottom of a pot and seeks advice from the fire assayer. The assayer examines the pot closely and notices a lime green slag colour on the insi</w:t>
            </w:r>
            <w:r w:rsidRPr="00F63E58">
              <w:t>de of the pot and on the lead button. He/she identifies this as a possible 'chromite' problem and explains that the darker the lime green colour is, the higher the chromium contamination. He/she explains to the pourer that there are two ways of dealing wit</w:t>
            </w:r>
            <w:r w:rsidRPr="00F63E58">
              <w:t>h this problem. The first is to reduce the sample weight to ~5g (for &amp;gt;10% chromite) or to develop its own special flux that has low litharge and silica to ensure that the sample is properly reduced. Because there is no history of regular chromite proble</w:t>
            </w:r>
            <w:r w:rsidRPr="00F63E58">
              <w:t xml:space="preserve">ms with this particular client's samples, he/she decides that a special flux is not warranted and tells the pourer to reduce the charge weight and to ensure that the components are very well mixed. He/she gives the pourer clear instructions for conducting </w:t>
            </w:r>
            <w:r w:rsidRPr="00F63E58">
              <w:t>the repeat assay and documents how the sample was treated.</w:t>
            </w:r>
          </w:p>
        </w:tc>
      </w:tr>
    </w:tbl>
    <w:p w:rsidR="00000000" w:rsidRPr="00F63E58" w:rsidP="00F63E58">
      <w:pPr>
        <w:pStyle w:val="BodyText"/>
      </w:pPr>
    </w:p>
    <w:p w:rsidR="00000000" w:rsidRPr="00F63E58" w:rsidP="00F63E58">
      <w:pPr>
        <w:pStyle w:val="AllowPageBreak"/>
      </w:pPr>
    </w:p>
    <w:p w:rsidR="00000000" w:rsidRPr="00F63E58" w:rsidP="00F63E58">
      <w:pPr>
        <w:pStyle w:val="Heading1"/>
      </w:pPr>
      <w:bookmarkStart w:id="11" w:name="O_103597"/>
      <w:bookmarkEnd w:id="11"/>
      <w:r w:rsidRPr="00F63E58">
        <w:t>Range Statement</w:t>
      </w:r>
    </w:p>
    <w:tbl>
      <w:tblPr>
        <w:tblW w:w="0" w:type="auto"/>
        <w:tblLayout w:type="fixed"/>
        <w:tblCellMar>
          <w:left w:w="62" w:type="dxa"/>
          <w:right w:w="62" w:type="dxa"/>
        </w:tblCellMar>
        <w:tblLook w:val="0000"/>
      </w:tblPr>
      <w:tblGrid>
        <w:gridCol w:w="3609"/>
        <w:gridCol w:w="4913"/>
      </w:tblGrid>
      <w:tr w:rsidTr="00C609D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SpecialBold"/>
              </w:rPr>
              <w:t>RANGE STATEMENT</w:t>
            </w:r>
          </w:p>
        </w:tc>
      </w:tr>
      <w:tr w:rsidTr="00C609D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t xml:space="preserve">The range statement relates to the unit of competency as a whole. It allows for different work environments and situations that may affect </w:t>
            </w:r>
            <w:r w:rsidRPr="00F63E58">
              <w:t>performance. Bold italicised wording, if used in the performance criteria, is detailed below. Essential operating conditions that may be present with training and assessment (depending on the work situation, needs of the candidate, accessibility of the ite</w:t>
            </w:r>
            <w:r w:rsidRPr="00F63E58">
              <w:t>m, and local industry and regional contexts) may also be included.</w:t>
            </w:r>
          </w:p>
        </w:tc>
      </w:tr>
      <w:tr w:rsidTr="00C609D5">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SpecialBold"/>
              </w:rPr>
              <w:t>Codes of practice</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t>Where reference is made to industry codes of practice, and/or Australian/international standards, it is expected the latest version will be used</w:t>
            </w:r>
          </w:p>
        </w:tc>
      </w:tr>
      <w:tr w:rsidTr="00C609D5">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SpecialBold"/>
              </w:rPr>
              <w:t>Standards</w:t>
            </w:r>
            <w:r w:rsidRPr="00F63E58">
              <w:t xml:space="preserve">, </w:t>
            </w:r>
            <w:r w:rsidRPr="00F63E58">
              <w:rPr>
                <w:rStyle w:val="SpecialBold"/>
              </w:rPr>
              <w:t>codes</w:t>
            </w:r>
            <w:r w:rsidRPr="00F63E58">
              <w:t xml:space="preserve">, </w:t>
            </w:r>
            <w:r w:rsidRPr="00F63E58">
              <w:rPr>
                <w:rStyle w:val="SpecialBold"/>
              </w:rPr>
              <w:t>proce</w:t>
            </w:r>
            <w:r w:rsidRPr="00F63E58">
              <w:rPr>
                <w:rStyle w:val="SpecialBold"/>
              </w:rPr>
              <w:t>dures and</w:t>
            </w:r>
            <w:r w:rsidRPr="00F63E58">
              <w:t>/</w:t>
            </w:r>
            <w:r w:rsidRPr="00F63E58">
              <w:rPr>
                <w:rStyle w:val="SpecialBold"/>
              </w:rPr>
              <w:t>or enterprise requirements</w:t>
            </w:r>
            <w:r w:rsidRPr="00F63E58">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BodyText"/>
            </w:pPr>
            <w:r w:rsidRPr="00F63E58">
              <w:t>Standards, codes, procedures and/or enterprise requirements may include:</w:t>
            </w:r>
          </w:p>
          <w:p w:rsidR="00000000" w:rsidRPr="00F63E58" w:rsidP="00F63E58">
            <w:pPr>
              <w:pStyle w:val="ListBullet"/>
            </w:pPr>
            <w:r w:rsidRPr="00F63E58">
              <w:t>Australian and international standards, such as:</w:t>
            </w:r>
          </w:p>
          <w:p w:rsidR="00000000" w:rsidRPr="00F63E58" w:rsidP="00F63E58">
            <w:pPr>
              <w:pStyle w:val="ListBullet2"/>
            </w:pPr>
            <w:r w:rsidRPr="00F63E58">
              <w:t xml:space="preserve">AS 3988-1991 Copper, lead, zinc, gold and silver ores - Guide to sample preparation for </w:t>
            </w:r>
            <w:r w:rsidRPr="00F63E58">
              <w:t>the determination of gold</w:t>
            </w:r>
          </w:p>
          <w:p w:rsidR="00000000" w:rsidRPr="00F63E58" w:rsidP="00F63E58">
            <w:pPr>
              <w:pStyle w:val="ListBullet2"/>
            </w:pPr>
            <w:r w:rsidRPr="00F63E58">
              <w:t>AS 3895.1-1991 Methods for the analysis of copper, lead, zinc, gold and silver ores - Determination of gold (Fire assay-Flame AAS method)</w:t>
            </w:r>
          </w:p>
          <w:p w:rsidR="00000000" w:rsidRPr="00F63E58" w:rsidP="00F63E58">
            <w:pPr>
              <w:pStyle w:val="ListBullet2"/>
            </w:pPr>
            <w:r w:rsidRPr="00F63E58">
              <w:t>AS ISO 17025-2005 General requirements for the competence of testing and calibration laborat</w:t>
            </w:r>
            <w:r w:rsidRPr="00F63E58">
              <w:t>ories</w:t>
            </w:r>
          </w:p>
          <w:p w:rsidR="00000000" w:rsidRPr="00F63E58" w:rsidP="00F63E58">
            <w:pPr>
              <w:pStyle w:val="ListBullet2"/>
            </w:pPr>
            <w:r w:rsidRPr="00F63E58">
              <w:t>AS/NZS ISO 14000 Set:2005 Environmental management standards set</w:t>
            </w:r>
          </w:p>
          <w:p w:rsidR="00000000" w:rsidRPr="00F63E58" w:rsidP="00F63E58">
            <w:pPr>
              <w:pStyle w:val="ListBullet2"/>
            </w:pPr>
            <w:r w:rsidRPr="00F63E58">
              <w:t>AS/NZS ISO 9000 Set:2008 Quality management systems set</w:t>
            </w:r>
          </w:p>
          <w:p w:rsidR="00000000" w:rsidRPr="00F63E58" w:rsidP="00F63E58">
            <w:pPr>
              <w:pStyle w:val="ListBullet"/>
            </w:pPr>
            <w:r w:rsidRPr="00F63E58">
              <w:t>calibration and maintenance schedules</w:t>
            </w:r>
          </w:p>
          <w:p w:rsidR="00000000" w:rsidRPr="00F63E58" w:rsidP="00F63E58">
            <w:pPr>
              <w:pStyle w:val="ListBullet"/>
            </w:pPr>
            <w:r w:rsidRPr="00F63E58">
              <w:t>enterprise recording and reporting procedures</w:t>
            </w:r>
          </w:p>
          <w:p w:rsidR="00000000" w:rsidRPr="00F63E58" w:rsidP="00F63E58">
            <w:pPr>
              <w:pStyle w:val="ListBullet"/>
            </w:pPr>
            <w:r w:rsidRPr="00F63E58">
              <w:t xml:space="preserve">enterprise sampling procedures for specific </w:t>
            </w:r>
            <w:r w:rsidRPr="00F63E58">
              <w:t>samples, sites and clients</w:t>
            </w:r>
          </w:p>
          <w:p w:rsidR="00000000" w:rsidRPr="00F63E58" w:rsidP="00F63E58">
            <w:pPr>
              <w:pStyle w:val="ListBullet"/>
            </w:pPr>
            <w:r w:rsidRPr="00F63E58">
              <w:t>environmental legislation and regulations</w:t>
            </w:r>
          </w:p>
          <w:p w:rsidR="00000000" w:rsidRPr="00F63E58" w:rsidP="00F63E58">
            <w:pPr>
              <w:pStyle w:val="ListBullet"/>
            </w:pPr>
            <w:r w:rsidRPr="00F63E58">
              <w:t>equipment manuals and warranties, supplier catalogues and handbooks</w:t>
            </w:r>
          </w:p>
          <w:p w:rsidR="00000000" w:rsidRPr="00F63E58" w:rsidP="00F63E58">
            <w:pPr>
              <w:pStyle w:val="ListBullet"/>
            </w:pPr>
            <w:r w:rsidRPr="00F63E58">
              <w:t>equipment startup, operation and shutdown procedures</w:t>
            </w:r>
          </w:p>
          <w:p w:rsidR="00000000" w:rsidRPr="00F63E58" w:rsidP="00F63E58">
            <w:pPr>
              <w:pStyle w:val="ListBullet"/>
            </w:pPr>
            <w:r w:rsidRPr="00F63E58">
              <w:t>industry codes of practice</w:t>
            </w:r>
          </w:p>
          <w:p w:rsidR="00000000" w:rsidRPr="00F63E58" w:rsidP="00F63E58">
            <w:pPr>
              <w:pStyle w:val="ListBullet"/>
            </w:pPr>
            <w:r w:rsidRPr="00F63E58">
              <w:t>material safety data sheets (MSDS)</w:t>
            </w:r>
          </w:p>
          <w:p w:rsidR="00000000" w:rsidRPr="00F63E58" w:rsidP="00F63E58">
            <w:pPr>
              <w:pStyle w:val="ListBullet"/>
            </w:pPr>
            <w:r w:rsidRPr="00F63E58">
              <w:t>occupational health and safety (OHS) national standards and codes of practice</w:t>
            </w:r>
          </w:p>
          <w:p w:rsidR="00000000" w:rsidRPr="00F63E58" w:rsidP="00F63E58">
            <w:pPr>
              <w:pStyle w:val="ListBullet"/>
            </w:pPr>
            <w:r w:rsidRPr="00F63E58">
              <w:t>principles of good laboratory practice (GLP)</w:t>
            </w:r>
          </w:p>
          <w:p w:rsidR="00000000" w:rsidRPr="00F63E58" w:rsidP="00F63E58">
            <w:pPr>
              <w:pStyle w:val="ListBullet"/>
            </w:pPr>
            <w:r w:rsidRPr="00F63E58">
              <w:t>production and laboratory schedules</w:t>
            </w:r>
          </w:p>
          <w:p w:rsidR="00000000" w:rsidRPr="00F63E58" w:rsidP="00F63E58">
            <w:pPr>
              <w:pStyle w:val="ListBullet"/>
            </w:pPr>
            <w:r w:rsidRPr="00F63E58">
              <w:t>quality manuals, training manuals and induction manuals</w:t>
            </w:r>
          </w:p>
          <w:p w:rsidR="00000000" w:rsidP="00F63E58">
            <w:pPr>
              <w:pStyle w:val="ListBullet"/>
              <w:rPr>
                <w:lang w:val="en-NZ"/>
              </w:rPr>
            </w:pPr>
            <w:r w:rsidRPr="00F63E58">
              <w:t xml:space="preserve">standard operating procedures (SOPs) and </w:t>
            </w:r>
            <w:r w:rsidRPr="00F63E58">
              <w:t>published preparation methods</w:t>
            </w:r>
          </w:p>
        </w:tc>
      </w:tr>
      <w:tr w:rsidTr="00C609D5">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SpecialBold"/>
              </w:rPr>
              <w:t>Samples</w:t>
            </w:r>
            <w:r w:rsidRPr="00F63E58">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BodyText"/>
            </w:pPr>
            <w:r w:rsidRPr="00F63E58">
              <w:t>Samples may include:</w:t>
            </w:r>
          </w:p>
          <w:p w:rsidR="00000000" w:rsidRPr="00F63E58" w:rsidP="00F63E58">
            <w:pPr>
              <w:pStyle w:val="ListBullet"/>
            </w:pPr>
            <w:r w:rsidRPr="00F63E58">
              <w:t>solids, such as rocks, minerals, soils, sands and stream sediments</w:t>
            </w:r>
          </w:p>
          <w:p w:rsidR="00000000" w:rsidRPr="00F63E58" w:rsidP="00F63E58">
            <w:pPr>
              <w:pStyle w:val="ListBullet"/>
            </w:pPr>
            <w:r w:rsidRPr="00F63E58">
              <w:t>core and other drill samples (rotary air blast (RAB), reverse circulation (RC) and aircore)</w:t>
            </w:r>
          </w:p>
          <w:p w:rsidR="00000000" w:rsidRPr="00F63E58" w:rsidP="00F63E58">
            <w:pPr>
              <w:pStyle w:val="ListBullet"/>
            </w:pPr>
            <w:r w:rsidRPr="00F63E58">
              <w:t>slurries, powder concentrates and m</w:t>
            </w:r>
            <w:r w:rsidRPr="00F63E58">
              <w:t>etallurgical solutions</w:t>
            </w:r>
          </w:p>
          <w:p w:rsidR="00000000" w:rsidP="00F63E58">
            <w:pPr>
              <w:pStyle w:val="ListBullet"/>
              <w:rPr>
                <w:lang w:val="en-NZ"/>
              </w:rPr>
            </w:pPr>
            <w:r w:rsidRPr="00F63E58">
              <w:t>dump samples and grab samples</w:t>
            </w:r>
          </w:p>
        </w:tc>
      </w:tr>
      <w:tr w:rsidTr="00C609D5">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SpecialBold"/>
              </w:rPr>
              <w:t>Client requests</w:t>
            </w:r>
            <w:r w:rsidRPr="00F63E58">
              <w:t>/</w:t>
            </w:r>
            <w:r w:rsidRPr="00F63E58">
              <w:rPr>
                <w:rStyle w:val="SpecialBold"/>
              </w:rPr>
              <w:t>documentation</w:t>
            </w:r>
            <w:r w:rsidRPr="00F63E58">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BodyText"/>
            </w:pPr>
            <w:r w:rsidRPr="00F63E58">
              <w:t>Client requests/documentation may include:</w:t>
            </w:r>
          </w:p>
          <w:p w:rsidR="00000000" w:rsidRPr="00F63E58" w:rsidP="00F63E58">
            <w:pPr>
              <w:pStyle w:val="ListBullet"/>
            </w:pPr>
            <w:r w:rsidRPr="00F63E58">
              <w:t>client profile, sample identification, sample receipt, storage and analyses</w:t>
            </w:r>
          </w:p>
          <w:p w:rsidR="00000000" w:rsidP="00F63E58">
            <w:pPr>
              <w:pStyle w:val="ListBullet"/>
              <w:rPr>
                <w:lang w:val="en-NZ"/>
              </w:rPr>
            </w:pPr>
            <w:r w:rsidRPr="00F63E58">
              <w:t>required preparation method/and service charges</w:t>
            </w:r>
          </w:p>
        </w:tc>
      </w:tr>
      <w:tr w:rsidTr="00C609D5">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SpecialBold"/>
              </w:rPr>
              <w:t>Assay equipment</w:t>
            </w:r>
            <w:r w:rsidRPr="00F63E58">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BodyText"/>
            </w:pPr>
            <w:r w:rsidRPr="00F63E58">
              <w:t>Assay equipment may include:</w:t>
            </w:r>
          </w:p>
          <w:p w:rsidR="00000000" w:rsidRPr="00F63E58" w:rsidP="00F63E58">
            <w:pPr>
              <w:pStyle w:val="ListBullet"/>
            </w:pPr>
            <w:r w:rsidRPr="00F63E58">
              <w:t>mixing equipment and balances</w:t>
            </w:r>
          </w:p>
          <w:p w:rsidR="00000000" w:rsidRPr="00F63E58" w:rsidP="00F63E58">
            <w:pPr>
              <w:pStyle w:val="ListBullet"/>
            </w:pPr>
            <w:r w:rsidRPr="00F63E58">
              <w:t>fusion and muffle furnaces and associated spares</w:t>
            </w:r>
          </w:p>
          <w:p w:rsidR="00000000" w:rsidRPr="00F63E58" w:rsidP="00F63E58">
            <w:pPr>
              <w:pStyle w:val="ListBullet"/>
            </w:pPr>
            <w:r w:rsidRPr="00F63E58">
              <w:t>temperature sensors and hotplates</w:t>
            </w:r>
          </w:p>
          <w:p w:rsidR="00000000" w:rsidRPr="00F63E58" w:rsidP="00F63E58">
            <w:pPr>
              <w:pStyle w:val="ListBullet"/>
            </w:pPr>
            <w:r w:rsidRPr="00F63E58">
              <w:t>compressed air service, extraction systems and fuel supply lines</w:t>
            </w:r>
          </w:p>
          <w:p w:rsidR="00000000" w:rsidP="00F63E58">
            <w:pPr>
              <w:pStyle w:val="ListBullet"/>
              <w:rPr>
                <w:lang w:val="en-NZ"/>
              </w:rPr>
            </w:pPr>
            <w:r w:rsidRPr="00F63E58">
              <w:t>pots, cupels, pouring equipment</w:t>
            </w:r>
            <w:r w:rsidRPr="00F63E58">
              <w:t>, pot loader, trolleys, moulds, tongs and hammers</w:t>
            </w:r>
          </w:p>
        </w:tc>
      </w:tr>
      <w:tr w:rsidTr="00C609D5">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SpecialBold"/>
              </w:rPr>
              <w:t>Hazards</w:t>
            </w:r>
            <w:r w:rsidRPr="00F63E58">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BodyText"/>
            </w:pPr>
            <w:r w:rsidRPr="00F63E58">
              <w:t>Hazards may include:</w:t>
            </w:r>
          </w:p>
          <w:p w:rsidR="00000000" w:rsidRPr="00F63E58" w:rsidP="00F63E58">
            <w:pPr>
              <w:pStyle w:val="ListBullet"/>
            </w:pPr>
            <w:r w:rsidRPr="00F63E58">
              <w:t>dust, silica, slag, glass shards and molten flux</w:t>
            </w:r>
          </w:p>
          <w:p w:rsidR="00000000" w:rsidRPr="00F63E58" w:rsidP="00F63E58">
            <w:pPr>
              <w:pStyle w:val="ListBullet"/>
            </w:pPr>
            <w:r w:rsidRPr="00F63E58">
              <w:t>chemicals, such as hydrofluoric acid, bromine, perchloric acid, aqua regia, cyanide, lead-based compounds, free-mercury and nickel compounds</w:t>
            </w:r>
          </w:p>
          <w:p w:rsidR="00000000" w:rsidRPr="00F63E58" w:rsidP="00F63E58">
            <w:pPr>
              <w:pStyle w:val="ListBullet"/>
            </w:pPr>
            <w:r w:rsidRPr="00F63E58">
              <w:t>noise and vibration</w:t>
            </w:r>
          </w:p>
          <w:p w:rsidR="00000000" w:rsidRPr="00F63E58" w:rsidP="00F63E58">
            <w:pPr>
              <w:pStyle w:val="ListBullet"/>
            </w:pPr>
            <w:r w:rsidRPr="00F63E58">
              <w:t>crushing, entanglement and cuts associated with moving machinery</w:t>
            </w:r>
          </w:p>
          <w:p w:rsidR="00000000" w:rsidRPr="00F63E58" w:rsidP="00F63E58">
            <w:pPr>
              <w:pStyle w:val="ListBullet"/>
            </w:pPr>
            <w:r w:rsidRPr="00F63E58">
              <w:t>manual handling of heavy loads</w:t>
            </w:r>
            <w:r w:rsidRPr="00F63E58">
              <w:t>, such as pots, racks and trolleys</w:t>
            </w:r>
          </w:p>
          <w:p w:rsidR="00000000" w:rsidP="00F63E58">
            <w:pPr>
              <w:pStyle w:val="ListBullet"/>
              <w:rPr>
                <w:lang w:val="en-NZ"/>
              </w:rPr>
            </w:pPr>
            <w:r w:rsidRPr="00F63E58">
              <w:t>heat exhaustion/stress and fatigue</w:t>
            </w:r>
          </w:p>
        </w:tc>
      </w:tr>
      <w:tr w:rsidTr="00C609D5">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SpecialBold"/>
              </w:rPr>
              <w:t>Safety equipment and procedures</w:t>
            </w:r>
            <w:r w:rsidRPr="00F63E58">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BodyText"/>
            </w:pPr>
            <w:r w:rsidRPr="00F63E58">
              <w:t>Safety equipment and procedures may include:</w:t>
            </w:r>
          </w:p>
          <w:p w:rsidR="00000000" w:rsidRPr="00F63E58" w:rsidP="00F63E58">
            <w:pPr>
              <w:pStyle w:val="ListBullet"/>
            </w:pPr>
            <w:r w:rsidRPr="00F63E58">
              <w:t xml:space="preserve">ensuring access to service shut-off points, fire extinguishers/fire hose, safety shower/eye wash stations </w:t>
            </w:r>
            <w:r w:rsidRPr="00F63E58">
              <w:t>and first aid station</w:t>
            </w:r>
          </w:p>
          <w:p w:rsidR="00000000" w:rsidRPr="00F63E58" w:rsidP="00F63E58">
            <w:pPr>
              <w:pStyle w:val="ListBullet"/>
            </w:pPr>
            <w:r w:rsidRPr="00F63E58">
              <w:t>recognising and observing hazard warnings and safety signs</w:t>
            </w:r>
          </w:p>
          <w:p w:rsidR="00000000" w:rsidRPr="00F63E58" w:rsidP="00F63E58">
            <w:pPr>
              <w:pStyle w:val="ListBullet"/>
            </w:pPr>
            <w:r w:rsidRPr="00F63E58">
              <w:t>labelling of samples, reagents and hazardous materials</w:t>
            </w:r>
          </w:p>
          <w:p w:rsidR="00000000" w:rsidRPr="00F63E58" w:rsidP="00F63E58">
            <w:pPr>
              <w:pStyle w:val="ListBullet"/>
            </w:pPr>
            <w:r w:rsidRPr="00F63E58">
              <w:t>direct extraction and fumehoods</w:t>
            </w:r>
          </w:p>
          <w:p w:rsidR="00000000" w:rsidRPr="00F63E58" w:rsidP="00F63E58">
            <w:pPr>
              <w:pStyle w:val="ListBullet"/>
            </w:pPr>
            <w:r w:rsidRPr="00F63E58">
              <w:t>guards for moving machinery parts</w:t>
            </w:r>
          </w:p>
          <w:p w:rsidR="00000000" w:rsidRPr="00F63E58" w:rsidP="00F63E58">
            <w:pPr>
              <w:pStyle w:val="ListBullet"/>
            </w:pPr>
            <w:r w:rsidRPr="00F63E58">
              <w:t xml:space="preserve">noise insulation </w:t>
            </w:r>
          </w:p>
          <w:p w:rsidR="00000000" w:rsidRPr="00F63E58" w:rsidP="00F63E58">
            <w:pPr>
              <w:pStyle w:val="ListBullet"/>
            </w:pPr>
            <w:r w:rsidRPr="00F63E58">
              <w:t>using personal protective equipment, such as dust masks, heat resistant mittens, safety face shields with tinted visor, coats, ear muffs, safety boots, heat reflective clothing and latex gloves for flux handling</w:t>
            </w:r>
          </w:p>
          <w:p w:rsidR="00000000" w:rsidRPr="00F63E58" w:rsidP="00F63E58">
            <w:pPr>
              <w:pStyle w:val="ListBullet"/>
            </w:pPr>
            <w:r w:rsidRPr="00F63E58">
              <w:t>following established manual handling proced</w:t>
            </w:r>
            <w:r w:rsidRPr="00F63E58">
              <w:t>ures</w:t>
            </w:r>
          </w:p>
          <w:p w:rsidR="00000000" w:rsidRPr="00F63E58" w:rsidP="00F63E58">
            <w:pPr>
              <w:pStyle w:val="ListBullet"/>
            </w:pPr>
            <w:r w:rsidRPr="00F63E58">
              <w:t>regular cleaning of equipment and work areas using enterprise procedures</w:t>
            </w:r>
          </w:p>
          <w:p w:rsidR="00000000" w:rsidP="00F63E58">
            <w:pPr>
              <w:pStyle w:val="ListBullet"/>
              <w:rPr>
                <w:lang w:val="en-NZ"/>
              </w:rPr>
            </w:pPr>
            <w:r w:rsidRPr="00F63E58">
              <w:t>reporting of abnormal emissions, discharges and airborne contaminants, such as noise, light, solids, liquids, water/waste water, gasses, smoke, vapour, fumes, odour and particula</w:t>
            </w:r>
            <w:r w:rsidRPr="00F63E58">
              <w:t>rs to appropriate personnel</w:t>
            </w:r>
          </w:p>
        </w:tc>
      </w:tr>
      <w:tr w:rsidTr="00C609D5">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SpecialBold"/>
              </w:rPr>
              <w:t>Fluxes</w:t>
            </w:r>
            <w:r w:rsidRPr="00F63E58">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BodyText"/>
            </w:pPr>
            <w:r w:rsidRPr="00F63E58">
              <w:t>Fluxes may include:</w:t>
            </w:r>
          </w:p>
          <w:p w:rsidR="00000000" w:rsidRPr="00F63E58" w:rsidP="00F63E58">
            <w:pPr>
              <w:pStyle w:val="ListBullet"/>
            </w:pPr>
            <w:r w:rsidRPr="00F63E58">
              <w:t>bulk fluxes containing PbO, borax, soda ash, silica, silver nitrate and flour</w:t>
            </w:r>
          </w:p>
          <w:p w:rsidR="00000000" w:rsidRPr="00F63E58" w:rsidP="00F63E58">
            <w:pPr>
              <w:pStyle w:val="ListBullet"/>
            </w:pPr>
            <w:r w:rsidRPr="00F63E58">
              <w:t>non-standard flux additives:</w:t>
            </w:r>
          </w:p>
          <w:p w:rsidR="00000000" w:rsidRPr="00F63E58" w:rsidP="00F63E58">
            <w:pPr>
              <w:pStyle w:val="ListBullet2"/>
            </w:pPr>
            <w:r w:rsidRPr="00F63E58">
              <w:t>flour (oxidising samples)</w:t>
            </w:r>
          </w:p>
          <w:p w:rsidR="00000000" w:rsidRPr="00F63E58" w:rsidP="00F63E58">
            <w:pPr>
              <w:pStyle w:val="ListBullet2"/>
            </w:pPr>
            <w:r w:rsidRPr="00F63E58">
              <w:t>nitre (reducing samples, sulphides)</w:t>
            </w:r>
          </w:p>
          <w:p w:rsidR="00000000" w:rsidRPr="00F63E58" w:rsidP="00F63E58">
            <w:pPr>
              <w:pStyle w:val="ListBullet2"/>
            </w:pPr>
            <w:r w:rsidRPr="00F63E58">
              <w:t>silica (basic ores)</w:t>
            </w:r>
          </w:p>
          <w:p w:rsidR="00000000" w:rsidRPr="00F63E58" w:rsidP="00F63E58">
            <w:pPr>
              <w:pStyle w:val="ListBullet2"/>
            </w:pPr>
            <w:r w:rsidRPr="00F63E58">
              <w:t>PbO (siliceous ores)</w:t>
            </w:r>
          </w:p>
          <w:p w:rsidR="00000000" w:rsidRPr="00F63E58" w:rsidP="00F63E58">
            <w:pPr>
              <w:pStyle w:val="ListBullet"/>
            </w:pPr>
            <w:r w:rsidRPr="00F63E58">
              <w:t>exotic additives, such as CaF</w:t>
            </w:r>
            <w:r w:rsidRPr="00F63E58">
              <w:rPr>
                <w:rStyle w:val="Subscript"/>
              </w:rPr>
              <w:t>2</w:t>
            </w:r>
            <w:r w:rsidRPr="00F63E58">
              <w:t xml:space="preserve"> (refractory ores)</w:t>
            </w:r>
          </w:p>
          <w:p w:rsidR="00000000" w:rsidP="00F63E58">
            <w:pPr>
              <w:pStyle w:val="ListBullet"/>
              <w:rPr>
                <w:lang w:val="en-NZ"/>
              </w:rPr>
            </w:pPr>
            <w:r w:rsidRPr="00F63E58">
              <w:t>NiS (NiCO</w:t>
            </w:r>
            <w:r w:rsidRPr="00F63E58">
              <w:rPr>
                <w:rStyle w:val="Subscript"/>
              </w:rPr>
              <w:t>3,</w:t>
            </w:r>
            <w:r w:rsidRPr="00F63E58">
              <w:t xml:space="preserve"> sulphur, borax and soda ash)</w:t>
            </w:r>
          </w:p>
        </w:tc>
      </w:tr>
      <w:tr w:rsidTr="00C609D5">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SpecialBold"/>
              </w:rPr>
              <w:t>Pots</w:t>
            </w:r>
            <w:r w:rsidRPr="00F63E58">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BodyText"/>
            </w:pPr>
            <w:r w:rsidRPr="00F63E58">
              <w:t>Pots may include:</w:t>
            </w:r>
          </w:p>
          <w:p w:rsidR="00000000" w:rsidP="00F63E58">
            <w:pPr>
              <w:pStyle w:val="ListBullet"/>
              <w:rPr>
                <w:lang w:val="en-NZ"/>
              </w:rPr>
            </w:pPr>
            <w:r w:rsidRPr="00F63E58">
              <w:t>ceramic, acidic/basic, alumina, zirconia and graphite</w:t>
            </w:r>
          </w:p>
        </w:tc>
      </w:tr>
      <w:tr w:rsidTr="00C609D5">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SpecialBold"/>
              </w:rPr>
              <w:t>Sequencing of pots in a rack</w:t>
            </w:r>
            <w:r w:rsidRPr="00F63E58">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BodyText"/>
            </w:pPr>
            <w:r w:rsidRPr="00F63E58">
              <w:t>Sequencing of pots in a rack may include:</w:t>
            </w:r>
          </w:p>
          <w:p w:rsidR="00000000" w:rsidRPr="00F63E58" w:rsidP="00F63E58">
            <w:pPr>
              <w:pStyle w:val="ListBullet"/>
            </w:pPr>
            <w:r w:rsidRPr="00F63E58">
              <w:t>addition of silver wire</w:t>
            </w:r>
          </w:p>
          <w:p w:rsidR="00000000" w:rsidRPr="00F63E58" w:rsidP="00F63E58">
            <w:pPr>
              <w:pStyle w:val="ListBullet"/>
            </w:pPr>
            <w:r w:rsidRPr="00F63E58">
              <w:t>addition of coloured salts (e.g. copper (Cu))</w:t>
            </w:r>
          </w:p>
          <w:p w:rsidR="00000000" w:rsidP="00F63E58">
            <w:pPr>
              <w:pStyle w:val="ListBullet"/>
              <w:rPr>
                <w:lang w:val="en-NZ"/>
              </w:rPr>
            </w:pPr>
            <w:r w:rsidRPr="00F63E58">
              <w:t>position of reagent blanks, standards, check samples</w:t>
            </w:r>
          </w:p>
        </w:tc>
      </w:tr>
      <w:tr w:rsidTr="00C609D5">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SpecialBold"/>
              </w:rPr>
              <w:t>Collectors</w:t>
            </w:r>
            <w:r w:rsidRPr="00F63E58">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BodyText"/>
            </w:pPr>
            <w:r w:rsidRPr="00F63E58">
              <w:t>Collectors may include:</w:t>
            </w:r>
          </w:p>
          <w:p w:rsidR="00000000" w:rsidP="00F63E58">
            <w:pPr>
              <w:pStyle w:val="ListBullet"/>
              <w:rPr>
                <w:lang w:val="en-NZ"/>
              </w:rPr>
            </w:pPr>
            <w:r w:rsidRPr="00F63E58">
              <w:t>lead (Pb), nickel sulphide (NiS), bismuth (Bi) and t</w:t>
            </w:r>
            <w:r w:rsidRPr="00F63E58">
              <w:t>in (Sn)</w:t>
            </w:r>
          </w:p>
        </w:tc>
      </w:tr>
      <w:tr w:rsidTr="00C609D5">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SpecialBold"/>
              </w:rPr>
              <w:t>Criteria for an</w:t>
            </w:r>
            <w:r w:rsidRPr="00F63E58">
              <w:t xml:space="preserve"> '</w:t>
            </w:r>
            <w:r w:rsidRPr="00F63E58">
              <w:rPr>
                <w:rStyle w:val="SpecialBold"/>
              </w:rPr>
              <w:t>acceptable' button</w:t>
            </w:r>
            <w:r w:rsidRPr="00F63E58">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BodyText"/>
            </w:pPr>
            <w:r w:rsidRPr="00F63E58">
              <w:t>Criteria for an 'acceptable' button could include:</w:t>
            </w:r>
          </w:p>
          <w:p w:rsidR="00000000" w:rsidRPr="00F63E58" w:rsidP="00F63E58">
            <w:pPr>
              <w:pStyle w:val="ListBullet"/>
            </w:pPr>
            <w:r w:rsidRPr="00F63E58">
              <w:t>one piece, mass &gt;20g and &lt;50g</w:t>
            </w:r>
          </w:p>
          <w:p w:rsidR="00000000" w:rsidRPr="00F63E58" w:rsidP="00F63E58">
            <w:pPr>
              <w:pStyle w:val="ListBullet"/>
            </w:pPr>
            <w:r w:rsidRPr="00F63E58">
              <w:t>malleable</w:t>
            </w:r>
          </w:p>
          <w:p w:rsidR="00000000" w:rsidRPr="00F63E58" w:rsidP="00F63E58">
            <w:pPr>
              <w:pStyle w:val="ListBullet"/>
            </w:pPr>
            <w:r w:rsidRPr="00F63E58">
              <w:t>separates cleanly from slag</w:t>
            </w:r>
          </w:p>
          <w:p w:rsidR="00000000" w:rsidP="00F63E58">
            <w:pPr>
              <w:pStyle w:val="ListBullet"/>
              <w:rPr>
                <w:lang w:val="en-NZ"/>
              </w:rPr>
            </w:pPr>
            <w:r w:rsidRPr="00F63E58">
              <w:t>free of undecomposed ore, matte and speiss</w:t>
            </w:r>
          </w:p>
        </w:tc>
      </w:tr>
      <w:tr w:rsidTr="00C609D5">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SpecialBold"/>
              </w:rPr>
              <w:t>Separation of collectors</w:t>
            </w:r>
            <w:r w:rsidRPr="00F63E58">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BodyText"/>
            </w:pPr>
            <w:r w:rsidRPr="00F63E58">
              <w:t>Separation of collectors may include:</w:t>
            </w:r>
          </w:p>
          <w:p w:rsidR="00000000" w:rsidRPr="00F63E58" w:rsidP="00F63E58">
            <w:pPr>
              <w:pStyle w:val="ListBullet"/>
            </w:pPr>
            <w:r w:rsidRPr="00F63E58">
              <w:t>cupellation</w:t>
            </w:r>
          </w:p>
          <w:p w:rsidR="00000000" w:rsidRPr="00F63E58" w:rsidP="00F63E58">
            <w:pPr>
              <w:pStyle w:val="ListBullet"/>
            </w:pPr>
            <w:r w:rsidRPr="00F63E58">
              <w:t>digestion</w:t>
            </w:r>
          </w:p>
          <w:p w:rsidR="00000000" w:rsidP="00F63E58">
            <w:pPr>
              <w:pStyle w:val="ListBullet"/>
              <w:rPr>
                <w:lang w:val="en-NZ"/>
              </w:rPr>
            </w:pPr>
            <w:r w:rsidRPr="00F63E58">
              <w:t>parting, annealing and weighing for a gravimetric finish</w:t>
            </w:r>
          </w:p>
        </w:tc>
      </w:tr>
      <w:tr w:rsidTr="00C609D5">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SpecialBold"/>
              </w:rPr>
              <w:t>Contamination</w:t>
            </w:r>
            <w:r w:rsidRPr="00F63E58">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BodyText"/>
            </w:pPr>
            <w:r w:rsidRPr="00F63E58">
              <w:t>Contamination may be caused by:</w:t>
            </w:r>
          </w:p>
          <w:p w:rsidR="00000000" w:rsidRPr="00F63E58" w:rsidP="00F63E58">
            <w:pPr>
              <w:pStyle w:val="ListBullet"/>
            </w:pPr>
            <w:r w:rsidRPr="00F63E58">
              <w:t>poorly made cupels</w:t>
            </w:r>
          </w:p>
          <w:p w:rsidR="00000000" w:rsidRPr="00F63E58" w:rsidP="00F63E58">
            <w:pPr>
              <w:pStyle w:val="ListBullet"/>
            </w:pPr>
            <w:r w:rsidRPr="00F63E58">
              <w:t>base metals (copper (Cu), nickel (Ni), zinc (Zn) and bismuth (Bi))</w:t>
            </w:r>
          </w:p>
          <w:p w:rsidR="00000000" w:rsidRPr="00F63E58" w:rsidP="00F63E58">
            <w:pPr>
              <w:pStyle w:val="ListBullet"/>
            </w:pPr>
            <w:r w:rsidRPr="00F63E58">
              <w:t>arsenic (As), sulphur (S), antimony (Sb), selenium (Se), tellurium (Te) and chromium (Cr)</w:t>
            </w:r>
          </w:p>
          <w:p w:rsidR="00000000" w:rsidRPr="00F63E58" w:rsidP="00F63E58">
            <w:pPr>
              <w:pStyle w:val="ListBullet"/>
            </w:pPr>
            <w:r w:rsidRPr="00F63E58">
              <w:t>scoria</w:t>
            </w:r>
          </w:p>
          <w:p w:rsidR="00000000" w:rsidP="00F63E58">
            <w:pPr>
              <w:pStyle w:val="ListBullet"/>
              <w:rPr>
                <w:lang w:val="en-NZ"/>
              </w:rPr>
            </w:pPr>
            <w:r w:rsidRPr="00F63E58">
              <w:t>sprouting</w:t>
            </w:r>
          </w:p>
        </w:tc>
      </w:tr>
      <w:tr w:rsidTr="00C609D5">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SpecialBold"/>
              </w:rPr>
              <w:t>Documentation</w:t>
            </w:r>
            <w:r w:rsidRPr="00F63E58">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BodyText"/>
            </w:pPr>
            <w:r w:rsidRPr="00F63E58">
              <w:t>Documentation may include:</w:t>
            </w:r>
          </w:p>
          <w:p w:rsidR="00000000" w:rsidRPr="00F63E58" w:rsidP="00F63E58">
            <w:pPr>
              <w:pStyle w:val="ListBullet"/>
            </w:pPr>
            <w:r w:rsidRPr="00F63E58">
              <w:t>pour sheets (date, time, client, pour number and preparation method)</w:t>
            </w:r>
          </w:p>
          <w:p w:rsidR="00000000" w:rsidRPr="00F63E58" w:rsidP="00F63E58">
            <w:pPr>
              <w:pStyle w:val="ListBullet"/>
            </w:pPr>
            <w:r w:rsidRPr="00F63E58">
              <w:t>number of pots, positions of sample,</w:t>
            </w:r>
            <w:r w:rsidRPr="00F63E58">
              <w:t xml:space="preserve"> blank and check in rack</w:t>
            </w:r>
          </w:p>
          <w:p w:rsidR="00000000" w:rsidRPr="00F63E58" w:rsidP="00F63E58">
            <w:pPr>
              <w:pStyle w:val="ListBullet"/>
            </w:pPr>
            <w:r w:rsidRPr="00F63E58">
              <w:t>adjustments made to standard preparation methods for specific samples</w:t>
            </w:r>
          </w:p>
          <w:p w:rsidR="00000000" w:rsidRPr="00F63E58" w:rsidP="00F63E58">
            <w:pPr>
              <w:pStyle w:val="ListBullet"/>
            </w:pPr>
            <w:r w:rsidRPr="00F63E58">
              <w:t>analytical method</w:t>
            </w:r>
          </w:p>
          <w:p w:rsidR="00000000" w:rsidP="00F63E58">
            <w:pPr>
              <w:pStyle w:val="ListBullet"/>
              <w:rPr>
                <w:lang w:val="en-NZ"/>
              </w:rPr>
            </w:pPr>
            <w:r w:rsidRPr="00F63E58">
              <w:t>assay data</w:t>
            </w:r>
          </w:p>
        </w:tc>
      </w:tr>
      <w:tr w:rsidTr="00C609D5">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SpecialBold"/>
              </w:rPr>
              <w:t>Indicators of potential loss and the corrective action</w:t>
            </w:r>
            <w:r w:rsidRPr="00F63E58">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BodyText"/>
            </w:pPr>
            <w:r w:rsidRPr="00F63E58">
              <w:t>Indicators of potential loss and the corrective action may include:</w:t>
            </w:r>
          </w:p>
          <w:p w:rsidR="00000000" w:rsidRPr="00F63E58" w:rsidP="00F63E58">
            <w:pPr>
              <w:pStyle w:val="ListBullet"/>
            </w:pPr>
            <w:r w:rsidRPr="00F63E58">
              <w:t>viscou</w:t>
            </w:r>
            <w:r w:rsidRPr="00F63E58">
              <w:t>s slag - check furnace temperature, adjust flux and lower charge weight</w:t>
            </w:r>
          </w:p>
          <w:p w:rsidR="00000000" w:rsidRPr="00F63E58" w:rsidP="00F63E58">
            <w:pPr>
              <w:pStyle w:val="ListBullet"/>
            </w:pPr>
            <w:r w:rsidRPr="00F63E58">
              <w:t>lead shotting - adjust flux and lower charge weight to compensate for high oxides, silicates and chromites</w:t>
            </w:r>
          </w:p>
          <w:p w:rsidR="00000000" w:rsidRPr="00F63E58" w:rsidP="00F63E58">
            <w:pPr>
              <w:pStyle w:val="ListBullet"/>
            </w:pPr>
            <w:r w:rsidRPr="00F63E58">
              <w:t>sulphides - adjust fusion time and adjust sample weight and/or flux</w:t>
            </w:r>
          </w:p>
          <w:p w:rsidR="00000000" w:rsidRPr="00F63E58" w:rsidP="00F63E58">
            <w:pPr>
              <w:pStyle w:val="ListBullet"/>
            </w:pPr>
            <w:r w:rsidRPr="00F63E58">
              <w:t>matte, speiss - adjust sample weight and flux</w:t>
            </w:r>
          </w:p>
          <w:p w:rsidR="00000000" w:rsidRPr="00F63E58" w:rsidP="00F63E58">
            <w:pPr>
              <w:pStyle w:val="ListBullet"/>
            </w:pPr>
            <w:r w:rsidRPr="00F63E58">
              <w:t>incomplete fusion - adjust sample weight and/or flux</w:t>
            </w:r>
          </w:p>
          <w:p w:rsidR="00000000" w:rsidRPr="00F63E58" w:rsidP="00F63E58">
            <w:pPr>
              <w:pStyle w:val="ListBullet"/>
            </w:pPr>
            <w:r w:rsidRPr="00F63E58">
              <w:t>unacceptable button - adjust sample weight and/or flux</w:t>
            </w:r>
          </w:p>
          <w:p w:rsidR="00000000" w:rsidP="00F63E58">
            <w:pPr>
              <w:pStyle w:val="ListBullet"/>
              <w:rPr>
                <w:lang w:val="en-NZ"/>
              </w:rPr>
            </w:pPr>
            <w:r w:rsidRPr="00F63E58">
              <w:t>inquartation - add 3 parts silver (Ag) to prill, wrap in lead foil and re-cupel</w:t>
            </w:r>
          </w:p>
        </w:tc>
      </w:tr>
      <w:tr w:rsidTr="00C609D5">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SpecialBold"/>
              </w:rPr>
              <w:t>Waste</w:t>
            </w:r>
            <w:r w:rsidRPr="00F63E58">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BodyText"/>
            </w:pPr>
            <w:r w:rsidRPr="00F63E58">
              <w:t>Waste may incl</w:t>
            </w:r>
            <w:r w:rsidRPr="00F63E58">
              <w:t>ude:</w:t>
            </w:r>
          </w:p>
          <w:p w:rsidR="00000000" w:rsidRPr="00F63E58" w:rsidP="00F63E58">
            <w:pPr>
              <w:pStyle w:val="ListBullet"/>
            </w:pPr>
            <w:r w:rsidRPr="00F63E58">
              <w:t>rejected pots and cupels</w:t>
            </w:r>
          </w:p>
          <w:p w:rsidR="00000000" w:rsidRPr="00F63E58" w:rsidP="00F63E58">
            <w:pPr>
              <w:pStyle w:val="ListBullet"/>
            </w:pPr>
            <w:r w:rsidRPr="00F63E58">
              <w:t>slag and furnace material</w:t>
            </w:r>
          </w:p>
          <w:p w:rsidR="00000000" w:rsidP="00F63E58">
            <w:pPr>
              <w:pStyle w:val="ListBullet"/>
              <w:rPr>
                <w:lang w:val="en-NZ"/>
              </w:rPr>
            </w:pPr>
            <w:r w:rsidRPr="00F63E58">
              <w:t>disposable personal protective equipment</w:t>
            </w:r>
          </w:p>
        </w:tc>
      </w:tr>
      <w:tr w:rsidTr="00C609D5">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SpecialBold"/>
              </w:rPr>
              <w:t>Occupational health and safety</w:t>
            </w:r>
            <w:r w:rsidRPr="00F63E58">
              <w:t xml:space="preserve"> (</w:t>
            </w:r>
            <w:r w:rsidRPr="00F63E58">
              <w:rPr>
                <w:rStyle w:val="SpecialBold"/>
              </w:rPr>
              <w:t>OHS</w:t>
            </w:r>
            <w:r w:rsidRPr="00F63E58">
              <w:t xml:space="preserve">) </w:t>
            </w:r>
            <w:r w:rsidRPr="00F63E58">
              <w:rPr>
                <w:rStyle w:val="SpecialBold"/>
              </w:rPr>
              <w:t>and environmental management requirements</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BodyText"/>
            </w:pPr>
            <w:r w:rsidRPr="00F63E58">
              <w:t>OHS and environmental management requirements:</w:t>
            </w:r>
          </w:p>
          <w:p w:rsidR="00000000" w:rsidRPr="00F63E58" w:rsidP="00F63E58">
            <w:pPr>
              <w:pStyle w:val="ListBullet"/>
            </w:pPr>
            <w:r w:rsidRPr="00F63E58">
              <w:t>all operations must comply with enterprise OHS and environmental management requirements, which may be imposed through state/territory or federal legislation - these requirements must not be compromised at any time</w:t>
            </w:r>
          </w:p>
          <w:p w:rsidR="00000000" w:rsidRPr="00F63E58" w:rsidP="00F63E58">
            <w:pPr>
              <w:pStyle w:val="ListBullet"/>
            </w:pPr>
            <w:r w:rsidRPr="00F63E58">
              <w:t>all operations assume the potentially haz</w:t>
            </w:r>
            <w:r w:rsidRPr="00F63E58">
              <w:t>ardous nature of samples and require standard precautions to be applied</w:t>
            </w:r>
          </w:p>
          <w:p w:rsidR="00000000" w:rsidRPr="00F63E58" w:rsidP="00F63E58">
            <w:pPr>
              <w:pStyle w:val="ListBullet"/>
            </w:pPr>
            <w:r w:rsidRPr="00F63E58">
              <w:t>where relevant, users should access and apply current industry understanding of infection control issued by the National Health and Medical Research Council (NHMRC) and State and Terri</w:t>
            </w:r>
            <w:r w:rsidRPr="00F63E58">
              <w:t>tory Departments of Health</w:t>
            </w:r>
          </w:p>
        </w:tc>
      </w:tr>
    </w:tbl>
    <w:p w:rsidR="00C609D5" w:rsidP="00F63E58">
      <w:pPr>
        <w:pStyle w:val="BodyText"/>
      </w:pPr>
    </w:p>
    <w:p w:rsidR="00C609D5" w:rsidP="00F63E58">
      <w:pPr>
        <w:pStyle w:val="BodyText"/>
      </w:pPr>
    </w:p>
    <w:p w:rsidR="00000000" w:rsidRPr="00F63E58" w:rsidP="00F63E58">
      <w:pPr>
        <w:pStyle w:val="Heading1"/>
      </w:pPr>
      <w:bookmarkStart w:id="12" w:name="O_103598"/>
      <w:bookmarkEnd w:id="12"/>
      <w:r w:rsidRPr="00F63E58">
        <w:t>Unit Sector(s)</w:t>
      </w:r>
    </w:p>
    <w:tbl>
      <w:tblPr>
        <w:tblW w:w="0" w:type="auto"/>
        <w:tblLayout w:type="fixed"/>
        <w:tblCellMar>
          <w:left w:w="62" w:type="dxa"/>
          <w:right w:w="62" w:type="dxa"/>
        </w:tblCellMar>
        <w:tblLook w:val="0000"/>
      </w:tblPr>
      <w:tblGrid>
        <w:gridCol w:w="2619"/>
        <w:gridCol w:w="5903"/>
      </w:tblGrid>
      <w:tr w:rsidTr="00C609D5">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BodyText"/>
            </w:pPr>
            <w:r w:rsidRPr="00F63E58">
              <w:t>Testing</w:t>
            </w:r>
          </w:p>
        </w:tc>
      </w:tr>
    </w:tbl>
    <w:p w:rsidR="00000000" w:rsidRPr="00F63E58" w:rsidP="00F63E58">
      <w:pPr>
        <w:pStyle w:val="BodyText"/>
      </w:pPr>
    </w:p>
    <w:p w:rsidR="00000000" w:rsidRPr="00F63E58" w:rsidP="00F63E58">
      <w:pPr>
        <w:pStyle w:val="AllowPageBreak"/>
      </w:pPr>
    </w:p>
    <w:p w:rsidR="00000000" w:rsidRPr="00F63E58" w:rsidP="00F63E58">
      <w:pPr>
        <w:pStyle w:val="Heading1"/>
      </w:pPr>
      <w:bookmarkStart w:id="13" w:name="O_159580"/>
      <w:bookmarkEnd w:id="13"/>
      <w:r w:rsidRPr="00F63E58">
        <w:t>Competency field</w:t>
      </w:r>
    </w:p>
    <w:tbl>
      <w:tblPr>
        <w:tblW w:w="0" w:type="auto"/>
        <w:tblLayout w:type="fixed"/>
        <w:tblCellMar>
          <w:left w:w="62" w:type="dxa"/>
          <w:right w:w="62" w:type="dxa"/>
        </w:tblCellMar>
        <w:tblLook w:val="0000"/>
      </w:tblPr>
      <w:tblGrid>
        <w:gridCol w:w="2784"/>
        <w:gridCol w:w="5738"/>
      </w:tblGrid>
      <w:tr w:rsidTr="00C609D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BodyText"/>
            </w:pPr>
          </w:p>
        </w:tc>
      </w:tr>
    </w:tbl>
    <w:p w:rsidR="00000000" w:rsidRPr="00F63E58" w:rsidP="00F63E58">
      <w:pPr>
        <w:pStyle w:val="BodyText"/>
      </w:pPr>
    </w:p>
    <w:p w:rsidR="00000000" w:rsidRPr="00F63E58" w:rsidP="00F63E58">
      <w:pPr>
        <w:pStyle w:val="AllowPageBreak"/>
      </w:pPr>
    </w:p>
    <w:p w:rsidR="00000000" w:rsidRPr="00F63E58" w:rsidP="00F63E58">
      <w:pPr>
        <w:pStyle w:val="Heading1"/>
      </w:pPr>
      <w:bookmarkStart w:id="14" w:name="O_159579"/>
      <w:bookmarkEnd w:id="14"/>
      <w:r w:rsidRPr="00F63E58">
        <w:t>Co-requisite units</w:t>
      </w:r>
    </w:p>
    <w:tbl>
      <w:tblPr>
        <w:tblW w:w="0" w:type="auto"/>
        <w:tblLayout w:type="fixed"/>
        <w:tblCellMar>
          <w:left w:w="62" w:type="dxa"/>
          <w:right w:w="62" w:type="dxa"/>
        </w:tblCellMar>
        <w:tblLook w:val="0000"/>
      </w:tblPr>
      <w:tblGrid>
        <w:gridCol w:w="2641"/>
        <w:gridCol w:w="1322"/>
        <w:gridCol w:w="4559"/>
      </w:tblGrid>
      <w:tr w:rsidTr="00C609D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r w:rsidRPr="00F63E5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p>
        </w:tc>
      </w:tr>
      <w:tr w:rsidTr="00C609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E58">
            <w:pPr>
              <w:pStyle w:val="BodyText"/>
              <w:rPr>
                <w:lang w:val="en-NZ"/>
              </w:rPr>
            </w:pPr>
          </w:p>
        </w:tc>
      </w:tr>
      <w:tr w:rsidTr="00C609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E58" w:rsidP="00F63E58">
            <w:pPr>
              <w:pStyle w:val="BodyText"/>
            </w:pPr>
          </w:p>
        </w:tc>
      </w:tr>
    </w:tbl>
    <w:p w:rsidR="00000000" w:rsidRPr="00F63E58" w:rsidP="00F63E58">
      <w:pPr>
        <w:pStyle w:val="BodyText"/>
      </w:pPr>
    </w:p>
    <w:p w:rsidR="00000000" w:rsidRPr="00F63E58" w:rsidP="00F63E58"/>
    <w:sectPr w:rsidSect="00F63E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E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09D5" w:rsidP="00C609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E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9D5" w:rsidP="00F63E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609D5" w:rsidP="00F63E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609D5" w:rsidP="00F63E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E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09D5" w:rsidP="00C609D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E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9D5" w:rsidP="00F63E58">
    <w:pPr>
      <w:pStyle w:val="Header"/>
      <w:framePr w:wrap="around"/>
    </w:pPr>
    <w:r>
      <w:fldChar w:fldCharType="begin"/>
    </w:r>
    <w:r>
      <w:instrText xml:space="preserve"> TITLE   \* MERGEFORMAT </w:instrText>
    </w:r>
    <w:r>
      <w:fldChar w:fldCharType="separate"/>
    </w:r>
    <w:r>
      <w:t>MSL975010A Perform fire assay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609D5" w:rsidP="00F63E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2CED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20D6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3EBC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E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3E58"/>
    <w:pPr>
      <w:spacing w:before="360" w:after="60"/>
      <w:outlineLvl w:val="0"/>
    </w:pPr>
    <w:rPr>
      <w:sz w:val="32"/>
    </w:rPr>
  </w:style>
  <w:style w:type="paragraph" w:styleId="Heading2">
    <w:name w:val="heading 2"/>
    <w:basedOn w:val="HeadingBase"/>
    <w:next w:val="BodyText"/>
    <w:link w:val="Heading2Char"/>
    <w:qFormat/>
    <w:rsid w:val="00F63E58"/>
    <w:pPr>
      <w:keepLines/>
      <w:spacing w:before="240" w:after="120"/>
      <w:outlineLvl w:val="1"/>
    </w:pPr>
    <w:rPr>
      <w:sz w:val="28"/>
      <w:szCs w:val="40"/>
    </w:rPr>
  </w:style>
  <w:style w:type="paragraph" w:styleId="Heading3">
    <w:name w:val="heading 3"/>
    <w:basedOn w:val="HeadingBase"/>
    <w:next w:val="BodyText"/>
    <w:link w:val="Heading3Char"/>
    <w:qFormat/>
    <w:rsid w:val="00F63E58"/>
    <w:pPr>
      <w:spacing w:before="180" w:after="120"/>
      <w:outlineLvl w:val="2"/>
    </w:pPr>
    <w:rPr>
      <w:spacing w:val="-10"/>
      <w:kern w:val="32"/>
    </w:rPr>
  </w:style>
  <w:style w:type="paragraph" w:styleId="Heading4">
    <w:name w:val="heading 4"/>
    <w:basedOn w:val="HeadingBase"/>
    <w:next w:val="BodyText"/>
    <w:link w:val="Heading4Char"/>
    <w:qFormat/>
    <w:rsid w:val="00F63E58"/>
    <w:pPr>
      <w:spacing w:before="160" w:after="120"/>
      <w:outlineLvl w:val="3"/>
    </w:pPr>
    <w:rPr>
      <w:sz w:val="22"/>
    </w:rPr>
  </w:style>
  <w:style w:type="paragraph" w:styleId="Heading5">
    <w:name w:val="heading 5"/>
    <w:basedOn w:val="HeadingBase"/>
    <w:next w:val="Normal"/>
    <w:link w:val="Heading5Char"/>
    <w:qFormat/>
    <w:rsid w:val="00F63E58"/>
    <w:pPr>
      <w:spacing w:before="80"/>
      <w:outlineLvl w:val="4"/>
    </w:pPr>
    <w:rPr>
      <w:color w:val="918585"/>
      <w:sz w:val="20"/>
    </w:rPr>
  </w:style>
  <w:style w:type="paragraph" w:styleId="Heading6">
    <w:name w:val="heading 6"/>
    <w:basedOn w:val="HeadingBase"/>
    <w:next w:val="Normal"/>
    <w:link w:val="Heading6Char"/>
    <w:qFormat/>
    <w:rsid w:val="00F63E58"/>
    <w:pPr>
      <w:spacing w:before="60"/>
      <w:outlineLvl w:val="5"/>
    </w:pPr>
    <w:rPr>
      <w:color w:val="918585"/>
      <w:sz w:val="20"/>
    </w:rPr>
  </w:style>
  <w:style w:type="paragraph" w:styleId="Heading7">
    <w:name w:val="heading 7"/>
    <w:basedOn w:val="Normal"/>
    <w:next w:val="Normal"/>
    <w:link w:val="Heading7Char"/>
    <w:qFormat/>
    <w:rsid w:val="00F63E58"/>
    <w:pPr>
      <w:ind w:left="720"/>
      <w:outlineLvl w:val="6"/>
    </w:pPr>
    <w:rPr>
      <w:i/>
    </w:rPr>
  </w:style>
  <w:style w:type="paragraph" w:styleId="Heading8">
    <w:name w:val="heading 8"/>
    <w:basedOn w:val="Normal"/>
    <w:next w:val="Normal"/>
    <w:link w:val="Heading8Char"/>
    <w:qFormat/>
    <w:rsid w:val="00F63E58"/>
    <w:pPr>
      <w:ind w:left="720"/>
      <w:outlineLvl w:val="7"/>
    </w:pPr>
    <w:rPr>
      <w:i/>
    </w:rPr>
  </w:style>
  <w:style w:type="paragraph" w:styleId="Heading9">
    <w:name w:val="heading 9"/>
    <w:basedOn w:val="Normal"/>
    <w:next w:val="Normal"/>
    <w:link w:val="Heading9Char"/>
    <w:qFormat/>
    <w:rsid w:val="00F63E58"/>
    <w:pPr>
      <w:ind w:left="720"/>
      <w:outlineLvl w:val="8"/>
    </w:pPr>
    <w:rPr>
      <w:i/>
    </w:rPr>
  </w:style>
  <w:style w:type="character" w:default="1" w:styleId="DefaultParagraphFont">
    <w:name w:val="Default Paragraph Font"/>
    <w:uiPriority w:val="1"/>
    <w:unhideWhenUsed/>
    <w:rsid w:val="00F63E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3E58"/>
  </w:style>
  <w:style w:type="character" w:customStyle="1" w:styleId="Heading1Char">
    <w:name w:val="Heading 1 Char"/>
    <w:link w:val="Heading1"/>
    <w:rsid w:val="00F63E58"/>
    <w:rPr>
      <w:rFonts w:ascii="Times New Roman" w:eastAsia="Times New Roman" w:hAnsi="Times New Roman" w:cs="Times New Roman"/>
      <w:b/>
      <w:sz w:val="32"/>
      <w:szCs w:val="20"/>
      <w:lang w:eastAsia="en-US"/>
    </w:rPr>
  </w:style>
  <w:style w:type="paragraph" w:styleId="BodyText">
    <w:name w:val="Body Text"/>
    <w:basedOn w:val="Normal"/>
    <w:link w:val="BodyTextChar"/>
    <w:rsid w:val="00F63E58"/>
    <w:pPr>
      <w:spacing w:before="120" w:after="120"/>
      <w:contextualSpacing/>
    </w:pPr>
    <w:rPr>
      <w:rFonts w:ascii="Times New Roman" w:hAnsi="Times New Roman"/>
      <w:sz w:val="24"/>
      <w:szCs w:val="22"/>
    </w:rPr>
  </w:style>
  <w:style w:type="character" w:customStyle="1" w:styleId="BodyTextChar">
    <w:name w:val="Body Text Char"/>
    <w:link w:val="BodyText"/>
    <w:rsid w:val="00F63E58"/>
    <w:rPr>
      <w:rFonts w:ascii="Times New Roman" w:eastAsia="Times New Roman" w:hAnsi="Times New Roman" w:cs="Times New Roman"/>
      <w:sz w:val="24"/>
      <w:lang w:val="en-US" w:eastAsia="en-US"/>
    </w:rPr>
  </w:style>
  <w:style w:type="paragraph" w:styleId="Footer">
    <w:name w:val="footer"/>
    <w:basedOn w:val="Normal"/>
    <w:link w:val="FooterChar"/>
    <w:rsid w:val="00F63E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63E58"/>
    <w:rPr>
      <w:rFonts w:ascii="Times New Roman" w:eastAsia="Times New Roman" w:hAnsi="Times New Roman" w:cs="Times New Roman"/>
      <w:sz w:val="16"/>
      <w:lang w:val="en-US" w:eastAsia="en-US"/>
    </w:rPr>
  </w:style>
  <w:style w:type="paragraph" w:styleId="List">
    <w:name w:val="List"/>
    <w:basedOn w:val="BodyText"/>
    <w:next w:val="BodyText"/>
    <w:rsid w:val="00F63E58"/>
    <w:pPr>
      <w:tabs>
        <w:tab w:val="left" w:pos="340"/>
      </w:tabs>
      <w:spacing w:before="60" w:after="60"/>
      <w:ind w:left="340" w:hanging="340"/>
    </w:pPr>
  </w:style>
  <w:style w:type="paragraph" w:styleId="ListBullet">
    <w:name w:val="List Bullet"/>
    <w:basedOn w:val="List"/>
    <w:rsid w:val="00F63E58"/>
    <w:pPr>
      <w:numPr>
        <w:numId w:val="13"/>
      </w:numPr>
      <w:tabs>
        <w:tab w:val="clear" w:pos="340"/>
      </w:tabs>
      <w:spacing w:before="40" w:after="40"/>
    </w:pPr>
  </w:style>
  <w:style w:type="character" w:customStyle="1" w:styleId="SpecialBold">
    <w:name w:val="Special Bold"/>
    <w:rsid w:val="00F63E58"/>
    <w:rPr>
      <w:b/>
      <w:spacing w:val="0"/>
    </w:rPr>
  </w:style>
  <w:style w:type="paragraph" w:styleId="ListBullet2">
    <w:name w:val="List Bullet 2"/>
    <w:basedOn w:val="List2"/>
    <w:rsid w:val="00F63E58"/>
    <w:pPr>
      <w:numPr>
        <w:numId w:val="14"/>
      </w:numPr>
      <w:tabs>
        <w:tab w:val="clear" w:pos="680"/>
      </w:tabs>
    </w:pPr>
  </w:style>
  <w:style w:type="paragraph" w:styleId="Header">
    <w:name w:val="header"/>
    <w:basedOn w:val="Normal"/>
    <w:link w:val="HeaderChar"/>
    <w:rsid w:val="00F63E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63E58"/>
    <w:rPr>
      <w:rFonts w:ascii="Times New Roman" w:eastAsia="Times New Roman" w:hAnsi="Times New Roman" w:cs="Times New Roman"/>
      <w:sz w:val="16"/>
      <w:szCs w:val="20"/>
      <w:lang w:val="en-GB" w:eastAsia="en-US"/>
    </w:rPr>
  </w:style>
  <w:style w:type="character" w:styleId="Emphasis">
    <w:name w:val="Emphasis"/>
    <w:qFormat/>
    <w:rsid w:val="00F63E58"/>
    <w:rPr>
      <w:i/>
    </w:rPr>
  </w:style>
  <w:style w:type="paragraph" w:customStyle="1" w:styleId="SuperHeading">
    <w:name w:val="SuperHeading"/>
    <w:basedOn w:val="Normal"/>
    <w:rsid w:val="00F63E58"/>
    <w:pPr>
      <w:spacing w:before="240" w:after="120"/>
      <w:outlineLvl w:val="0"/>
    </w:pPr>
    <w:rPr>
      <w:rFonts w:ascii="Times New Roman" w:hAnsi="Times New Roman"/>
      <w:b/>
      <w:sz w:val="28"/>
    </w:rPr>
  </w:style>
  <w:style w:type="paragraph" w:customStyle="1" w:styleId="AllowPageBreak">
    <w:name w:val="AllowPageBreak"/>
    <w:rsid w:val="00F63E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3E58"/>
    <w:pPr>
      <w:tabs>
        <w:tab w:val="left" w:pos="680"/>
      </w:tabs>
      <w:spacing w:before="60" w:after="60"/>
      <w:ind w:left="680" w:hanging="340"/>
    </w:pPr>
  </w:style>
  <w:style w:type="character" w:customStyle="1" w:styleId="Subscript">
    <w:name w:val="Subscript"/>
    <w:rsid w:val="00F63E58"/>
    <w:rPr>
      <w:sz w:val="16"/>
      <w:vertAlign w:val="subscript"/>
    </w:rPr>
  </w:style>
  <w:style w:type="character" w:customStyle="1" w:styleId="BoldandItalics">
    <w:name w:val="Bold and Italics"/>
    <w:qFormat/>
    <w:rsid w:val="00F63E58"/>
    <w:rPr>
      <w:b/>
      <w:i/>
      <w:u w:val="none"/>
    </w:rPr>
  </w:style>
  <w:style w:type="character" w:customStyle="1" w:styleId="Heading2Char">
    <w:name w:val="Heading 2 Char"/>
    <w:link w:val="Heading2"/>
    <w:rsid w:val="00F63E58"/>
    <w:rPr>
      <w:rFonts w:ascii="Times New Roman" w:eastAsia="Times New Roman" w:hAnsi="Times New Roman" w:cs="Times New Roman"/>
      <w:b/>
      <w:sz w:val="28"/>
      <w:szCs w:val="40"/>
      <w:lang w:eastAsia="en-US"/>
    </w:rPr>
  </w:style>
  <w:style w:type="character" w:customStyle="1" w:styleId="Heading3Char">
    <w:name w:val="Heading 3 Char"/>
    <w:link w:val="Heading3"/>
    <w:rsid w:val="00F63E5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63E58"/>
    <w:rPr>
      <w:rFonts w:ascii="Times New Roman" w:eastAsia="Times New Roman" w:hAnsi="Times New Roman" w:cs="Times New Roman"/>
      <w:b/>
      <w:szCs w:val="20"/>
      <w:lang w:eastAsia="en-US"/>
    </w:rPr>
  </w:style>
  <w:style w:type="character" w:customStyle="1" w:styleId="Heading5Char">
    <w:name w:val="Heading 5 Char"/>
    <w:link w:val="Heading5"/>
    <w:rsid w:val="00F63E5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63E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3E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3E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3E58"/>
    <w:rPr>
      <w:rFonts w:ascii="Courier New" w:eastAsia="Times New Roman" w:hAnsi="Courier New" w:cs="Times New Roman"/>
      <w:i/>
      <w:szCs w:val="20"/>
      <w:lang w:val="en-US" w:eastAsia="en-US"/>
    </w:rPr>
  </w:style>
  <w:style w:type="paragraph" w:customStyle="1" w:styleId="HeadingBase">
    <w:name w:val="Heading Base"/>
    <w:rsid w:val="00F63E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3E58"/>
    <w:pPr>
      <w:tabs>
        <w:tab w:val="right" w:leader="dot" w:pos="9072"/>
      </w:tabs>
      <w:ind w:left="567"/>
    </w:pPr>
    <w:rPr>
      <w:szCs w:val="22"/>
    </w:rPr>
  </w:style>
  <w:style w:type="paragraph" w:customStyle="1" w:styleId="TOCBase">
    <w:name w:val="TOC Base"/>
    <w:rsid w:val="00F63E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3E58"/>
    <w:pPr>
      <w:tabs>
        <w:tab w:val="right" w:leader="dot" w:pos="9072"/>
      </w:tabs>
      <w:spacing w:before="40" w:after="40"/>
      <w:ind w:left="284"/>
    </w:pPr>
    <w:rPr>
      <w:rFonts w:ascii="Times New Roman" w:hAnsi="Times New Roman"/>
    </w:rPr>
  </w:style>
  <w:style w:type="paragraph" w:styleId="TOC1">
    <w:name w:val="toc 1"/>
    <w:basedOn w:val="TOCBase"/>
    <w:next w:val="Normal"/>
    <w:rsid w:val="00F63E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3E58"/>
    <w:pPr>
      <w:spacing w:before="5040"/>
      <w:jc w:val="center"/>
    </w:pPr>
    <w:rPr>
      <w:sz w:val="48"/>
      <w:szCs w:val="72"/>
      <w:lang w:val="en-US"/>
    </w:rPr>
  </w:style>
  <w:style w:type="character" w:customStyle="1" w:styleId="TitleChar">
    <w:name w:val="Title Char"/>
    <w:link w:val="Title"/>
    <w:rsid w:val="00F63E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3E58"/>
    <w:pPr>
      <w:tabs>
        <w:tab w:val="left" w:pos="3600"/>
        <w:tab w:val="left" w:pos="3958"/>
      </w:tabs>
    </w:pPr>
  </w:style>
  <w:style w:type="paragraph" w:customStyle="1" w:styleId="Note">
    <w:name w:val="Note"/>
    <w:basedOn w:val="BodyText"/>
    <w:rsid w:val="00F63E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3E58"/>
    <w:pPr>
      <w:framePr w:wrap="auto" w:hAnchor="text" w:y="6049"/>
    </w:pPr>
    <w:rPr>
      <w:color w:val="000000"/>
      <w:sz w:val="40"/>
    </w:rPr>
  </w:style>
  <w:style w:type="paragraph" w:customStyle="1" w:styleId="TOCTitle">
    <w:name w:val="TOCTitle"/>
    <w:basedOn w:val="Heading1"/>
    <w:rsid w:val="00F63E58"/>
    <w:pPr>
      <w:spacing w:after="240"/>
      <w:jc w:val="center"/>
      <w:outlineLvl w:val="9"/>
    </w:pPr>
    <w:rPr>
      <w:caps/>
    </w:rPr>
  </w:style>
  <w:style w:type="paragraph" w:customStyle="1" w:styleId="Version">
    <w:name w:val="Version"/>
    <w:rsid w:val="00F63E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3E58"/>
    <w:pPr>
      <w:keepNext w:val="0"/>
      <w:tabs>
        <w:tab w:val="right" w:pos="4176"/>
      </w:tabs>
      <w:ind w:left="198" w:hanging="198"/>
    </w:pPr>
    <w:rPr>
      <w:rFonts w:ascii="Garamond" w:hAnsi="Garamond"/>
    </w:rPr>
  </w:style>
  <w:style w:type="paragraph" w:styleId="IndexHeading">
    <w:name w:val="index heading"/>
    <w:basedOn w:val="Normal"/>
    <w:next w:val="Index1"/>
    <w:semiHidden/>
    <w:rsid w:val="00F63E58"/>
    <w:pPr>
      <w:spacing w:before="120" w:after="120"/>
    </w:pPr>
    <w:rPr>
      <w:rFonts w:ascii="Arial" w:hAnsi="Arial"/>
      <w:b/>
      <w:color w:val="918585"/>
      <w:sz w:val="24"/>
    </w:rPr>
  </w:style>
  <w:style w:type="paragraph" w:customStyle="1" w:styleId="Chapter">
    <w:name w:val="Chapter"/>
    <w:basedOn w:val="Normal"/>
    <w:rsid w:val="00F63E58"/>
    <w:pPr>
      <w:spacing w:before="240"/>
    </w:pPr>
    <w:rPr>
      <w:rFonts w:ascii="Times New Roman" w:hAnsi="Times New Roman"/>
      <w:smallCaps/>
      <w:spacing w:val="80"/>
      <w:sz w:val="28"/>
    </w:rPr>
  </w:style>
  <w:style w:type="paragraph" w:customStyle="1" w:styleId="InChapter">
    <w:name w:val="InChapter"/>
    <w:basedOn w:val="Heading3"/>
    <w:rsid w:val="00F63E58"/>
    <w:pPr>
      <w:spacing w:after="240"/>
      <w:outlineLvl w:val="9"/>
    </w:pPr>
    <w:rPr>
      <w:noProof/>
    </w:rPr>
  </w:style>
  <w:style w:type="paragraph" w:styleId="Index2">
    <w:name w:val="index 2"/>
    <w:basedOn w:val="Normal"/>
    <w:next w:val="Normal"/>
    <w:semiHidden/>
    <w:rsid w:val="00F63E58"/>
    <w:pPr>
      <w:tabs>
        <w:tab w:val="right" w:pos="4176"/>
      </w:tabs>
      <w:ind w:left="568" w:hanging="284"/>
    </w:pPr>
    <w:rPr>
      <w:rFonts w:ascii="Garamond" w:hAnsi="Garamond"/>
    </w:rPr>
  </w:style>
  <w:style w:type="paragraph" w:customStyle="1" w:styleId="Byline">
    <w:name w:val="Byline"/>
    <w:rsid w:val="00F63E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3E58"/>
    <w:pPr>
      <w:tabs>
        <w:tab w:val="clear" w:pos="3600"/>
        <w:tab w:val="clear" w:pos="3958"/>
      </w:tabs>
      <w:jc w:val="right"/>
    </w:pPr>
  </w:style>
  <w:style w:type="paragraph" w:styleId="Caption">
    <w:name w:val="caption"/>
    <w:basedOn w:val="BodyText"/>
    <w:next w:val="Normal"/>
    <w:qFormat/>
    <w:rsid w:val="00F63E58"/>
    <w:pPr>
      <w:framePr w:w="2268" w:hSpace="181" w:vSpace="181" w:wrap="around" w:vAnchor="text" w:hAnchor="page" w:x="1135" w:y="285" w:anchorLock="1"/>
    </w:pPr>
    <w:rPr>
      <w:i/>
    </w:rPr>
  </w:style>
  <w:style w:type="paragraph" w:customStyle="1" w:styleId="MiniTOCTitle">
    <w:name w:val="MiniTOCTitle"/>
    <w:basedOn w:val="Heading4"/>
    <w:rsid w:val="00F63E58"/>
    <w:pPr>
      <w:spacing w:before="240"/>
      <w:outlineLvl w:val="9"/>
    </w:pPr>
    <w:rPr>
      <w:noProof/>
      <w:sz w:val="24"/>
    </w:rPr>
  </w:style>
  <w:style w:type="paragraph" w:customStyle="1" w:styleId="MiniTOCItem">
    <w:name w:val="MiniTOCItem"/>
    <w:basedOn w:val="ListBullet"/>
    <w:rsid w:val="00F63E58"/>
    <w:pPr>
      <w:numPr>
        <w:numId w:val="0"/>
      </w:numPr>
      <w:tabs>
        <w:tab w:val="right" w:leader="dot" w:pos="6521"/>
      </w:tabs>
      <w:spacing w:before="0" w:after="0"/>
    </w:pPr>
  </w:style>
  <w:style w:type="paragraph" w:customStyle="1" w:styleId="TOFTitle">
    <w:name w:val="TOFTitle"/>
    <w:basedOn w:val="TOCTitle"/>
    <w:rsid w:val="00F63E58"/>
  </w:style>
  <w:style w:type="paragraph" w:styleId="TableofFigures">
    <w:name w:val="table of figures"/>
    <w:basedOn w:val="Normal"/>
    <w:next w:val="Normal"/>
    <w:semiHidden/>
    <w:rsid w:val="00F63E58"/>
    <w:pPr>
      <w:tabs>
        <w:tab w:val="right" w:leader="dot" w:pos="9072"/>
      </w:tabs>
      <w:ind w:left="970" w:hanging="403"/>
    </w:pPr>
    <w:rPr>
      <w:rFonts w:ascii="Times New Roman" w:hAnsi="Times New Roman"/>
      <w:b/>
    </w:rPr>
  </w:style>
  <w:style w:type="paragraph" w:styleId="ListNumber">
    <w:name w:val="List Number"/>
    <w:basedOn w:val="List"/>
    <w:rsid w:val="00F63E58"/>
    <w:pPr>
      <w:numPr>
        <w:numId w:val="11"/>
      </w:numPr>
    </w:pPr>
  </w:style>
  <w:style w:type="character" w:customStyle="1" w:styleId="WingdingSymbols">
    <w:name w:val="Wingding Symbols"/>
    <w:rsid w:val="00F63E58"/>
    <w:rPr>
      <w:rFonts w:ascii="Wingdings" w:hAnsi="Wingdings"/>
    </w:rPr>
  </w:style>
  <w:style w:type="paragraph" w:customStyle="1" w:styleId="TableHeading">
    <w:name w:val="Table Heading"/>
    <w:basedOn w:val="HeadingBase"/>
    <w:rsid w:val="00F63E58"/>
    <w:pPr>
      <w:keepLines/>
      <w:pBdr>
        <w:bottom w:val="single" w:sz="6" w:space="1" w:color="918585"/>
      </w:pBdr>
      <w:spacing w:before="240"/>
    </w:pPr>
  </w:style>
  <w:style w:type="character" w:customStyle="1" w:styleId="HotSpot">
    <w:name w:val="HotSpot"/>
    <w:rsid w:val="00F63E58"/>
    <w:rPr>
      <w:color w:val="0033CC"/>
      <w:u w:val="none"/>
    </w:rPr>
  </w:style>
  <w:style w:type="paragraph" w:customStyle="1" w:styleId="BodyTextRight">
    <w:name w:val="Body Text Right"/>
    <w:basedOn w:val="BodyText"/>
    <w:rsid w:val="00F63E58"/>
    <w:pPr>
      <w:spacing w:before="0" w:after="0"/>
      <w:jc w:val="right"/>
    </w:pPr>
  </w:style>
  <w:style w:type="paragraph" w:styleId="Index3">
    <w:name w:val="index 3"/>
    <w:basedOn w:val="ListNumber2"/>
    <w:next w:val="Normal"/>
    <w:semiHidden/>
    <w:rsid w:val="00F63E58"/>
    <w:pPr>
      <w:numPr>
        <w:numId w:val="0"/>
      </w:numPr>
      <w:tabs>
        <w:tab w:val="right" w:leader="dot" w:pos="4176"/>
      </w:tabs>
    </w:pPr>
  </w:style>
  <w:style w:type="paragraph" w:styleId="ListNumber2">
    <w:name w:val="List Number 2"/>
    <w:basedOn w:val="List2"/>
    <w:rsid w:val="00F63E58"/>
    <w:pPr>
      <w:numPr>
        <w:numId w:val="10"/>
      </w:numPr>
      <w:tabs>
        <w:tab w:val="clear" w:pos="1060"/>
      </w:tabs>
    </w:pPr>
  </w:style>
  <w:style w:type="paragraph" w:customStyle="1" w:styleId="MarginNote">
    <w:name w:val="Margin Note"/>
    <w:basedOn w:val="BodyText"/>
    <w:rsid w:val="00F63E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3E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63E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3E58"/>
    <w:rPr>
      <w:sz w:val="32"/>
    </w:rPr>
  </w:style>
  <w:style w:type="paragraph" w:customStyle="1" w:styleId="HeadingProcedure">
    <w:name w:val="Heading Procedure"/>
    <w:basedOn w:val="HeadingBase"/>
    <w:next w:val="Normal"/>
    <w:rsid w:val="00F63E58"/>
    <w:pPr>
      <w:tabs>
        <w:tab w:val="left" w:pos="0"/>
      </w:tabs>
      <w:spacing w:before="120" w:after="60"/>
    </w:pPr>
    <w:rPr>
      <w:i/>
      <w:color w:val="918585"/>
      <w:sz w:val="22"/>
    </w:rPr>
  </w:style>
  <w:style w:type="paragraph" w:customStyle="1" w:styleId="TableBodyText">
    <w:name w:val="Table Body Text"/>
    <w:basedOn w:val="BodyText"/>
    <w:rsid w:val="00F63E58"/>
    <w:pPr>
      <w:spacing w:before="60" w:after="60"/>
    </w:pPr>
  </w:style>
  <w:style w:type="paragraph" w:styleId="ListContinue">
    <w:name w:val="List Continue"/>
    <w:basedOn w:val="List"/>
    <w:rsid w:val="00F63E58"/>
    <w:pPr>
      <w:ind w:firstLine="0"/>
    </w:pPr>
  </w:style>
  <w:style w:type="paragraph" w:customStyle="1" w:styleId="ListNote">
    <w:name w:val="List Note"/>
    <w:basedOn w:val="List"/>
    <w:rsid w:val="00F63E58"/>
    <w:pPr>
      <w:pBdr>
        <w:top w:val="single" w:sz="6" w:space="2" w:color="918585"/>
        <w:bottom w:val="single" w:sz="6" w:space="2" w:color="918585"/>
      </w:pBdr>
      <w:tabs>
        <w:tab w:val="left" w:pos="1021"/>
      </w:tabs>
      <w:ind w:firstLine="0"/>
    </w:pPr>
  </w:style>
  <w:style w:type="paragraph" w:customStyle="1" w:styleId="Warning">
    <w:name w:val="Warning"/>
    <w:basedOn w:val="BodyText"/>
    <w:rsid w:val="00F63E58"/>
    <w:pPr>
      <w:shd w:val="clear" w:color="auto" w:fill="D9D9D9"/>
      <w:tabs>
        <w:tab w:val="left" w:pos="992"/>
      </w:tabs>
      <w:ind w:left="119" w:right="119"/>
    </w:pPr>
    <w:rPr>
      <w:sz w:val="20"/>
    </w:rPr>
  </w:style>
  <w:style w:type="paragraph" w:customStyle="1" w:styleId="MarginIcons">
    <w:name w:val="Margin Icons"/>
    <w:basedOn w:val="BodyText"/>
    <w:rsid w:val="00F63E5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63E58"/>
    <w:rPr>
      <w:rFonts w:ascii="Courier New" w:hAnsi="Courier New"/>
    </w:rPr>
  </w:style>
  <w:style w:type="paragraph" w:customStyle="1" w:styleId="NoteBullet">
    <w:name w:val="Note Bullet"/>
    <w:basedOn w:val="Note"/>
    <w:rsid w:val="00F63E58"/>
    <w:pPr>
      <w:tabs>
        <w:tab w:val="clear" w:pos="680"/>
      </w:tabs>
      <w:spacing w:before="60" w:after="60"/>
    </w:pPr>
  </w:style>
  <w:style w:type="paragraph" w:customStyle="1" w:styleId="SubHeading2">
    <w:name w:val="SubHeading2"/>
    <w:basedOn w:val="HeadingBase"/>
    <w:rsid w:val="00F63E58"/>
    <w:pPr>
      <w:spacing w:before="240" w:after="60"/>
    </w:pPr>
    <w:rPr>
      <w:sz w:val="20"/>
    </w:rPr>
  </w:style>
  <w:style w:type="paragraph" w:customStyle="1" w:styleId="SubHeading1">
    <w:name w:val="SubHeading1"/>
    <w:basedOn w:val="HeadingBase"/>
    <w:rsid w:val="00F63E58"/>
    <w:pPr>
      <w:spacing w:before="240" w:after="60"/>
    </w:pPr>
    <w:rPr>
      <w:color w:val="918585"/>
      <w:sz w:val="22"/>
    </w:rPr>
  </w:style>
  <w:style w:type="paragraph" w:customStyle="1" w:styleId="SideHeading">
    <w:name w:val="Side Heading"/>
    <w:basedOn w:val="HeadingBase"/>
    <w:rsid w:val="00F63E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3E58"/>
    <w:pPr>
      <w:numPr>
        <w:numId w:val="12"/>
      </w:numPr>
    </w:pPr>
  </w:style>
  <w:style w:type="paragraph" w:styleId="PlainText">
    <w:name w:val="Plain Text"/>
    <w:basedOn w:val="Normal"/>
    <w:link w:val="PlainTextChar"/>
    <w:rsid w:val="00F63E58"/>
    <w:rPr>
      <w:sz w:val="20"/>
    </w:rPr>
  </w:style>
  <w:style w:type="character" w:customStyle="1" w:styleId="PlainTextChar">
    <w:name w:val="Plain Text Char"/>
    <w:basedOn w:val="DefaultParagraphFont"/>
    <w:link w:val="PlainText"/>
    <w:rsid w:val="00F63E58"/>
    <w:rPr>
      <w:rFonts w:ascii="Courier New" w:eastAsia="Times New Roman" w:hAnsi="Courier New" w:cs="Times New Roman"/>
      <w:sz w:val="20"/>
      <w:szCs w:val="20"/>
      <w:lang w:val="en-US" w:eastAsia="en-US"/>
    </w:rPr>
  </w:style>
  <w:style w:type="character" w:customStyle="1" w:styleId="MenuOption">
    <w:name w:val="Menu Option"/>
    <w:rsid w:val="00F63E58"/>
    <w:rPr>
      <w:b/>
      <w:smallCaps/>
    </w:rPr>
  </w:style>
  <w:style w:type="paragraph" w:customStyle="1" w:styleId="TableListNumber">
    <w:name w:val="Table List Number"/>
    <w:basedOn w:val="ListNumber"/>
    <w:rsid w:val="00F63E58"/>
    <w:pPr>
      <w:numPr>
        <w:numId w:val="0"/>
      </w:numPr>
    </w:pPr>
  </w:style>
  <w:style w:type="paragraph" w:styleId="TOC4">
    <w:name w:val="toc 4"/>
    <w:basedOn w:val="TOCBase"/>
    <w:next w:val="Normal"/>
    <w:semiHidden/>
    <w:rsid w:val="00F63E58"/>
    <w:pPr>
      <w:tabs>
        <w:tab w:val="right" w:leader="dot" w:pos="9071"/>
      </w:tabs>
      <w:ind w:left="1701"/>
    </w:pPr>
  </w:style>
  <w:style w:type="paragraph" w:customStyle="1" w:styleId="ListAlpha">
    <w:name w:val="List Alpha"/>
    <w:basedOn w:val="List"/>
    <w:rsid w:val="00F63E58"/>
    <w:pPr>
      <w:numPr>
        <w:numId w:val="9"/>
      </w:numPr>
    </w:pPr>
  </w:style>
  <w:style w:type="paragraph" w:customStyle="1" w:styleId="ListAlpha2">
    <w:name w:val="List Alpha 2"/>
    <w:basedOn w:val="List2"/>
    <w:rsid w:val="00F63E58"/>
    <w:pPr>
      <w:numPr>
        <w:numId w:val="8"/>
      </w:numPr>
    </w:pPr>
  </w:style>
  <w:style w:type="paragraph" w:styleId="List3">
    <w:name w:val="List 3"/>
    <w:basedOn w:val="BodyText"/>
    <w:rsid w:val="00F63E58"/>
    <w:pPr>
      <w:tabs>
        <w:tab w:val="left" w:pos="1021"/>
      </w:tabs>
      <w:spacing w:before="60" w:after="60"/>
      <w:ind w:left="1020" w:hanging="340"/>
    </w:pPr>
  </w:style>
  <w:style w:type="paragraph" w:styleId="List4">
    <w:name w:val="List 4"/>
    <w:basedOn w:val="BodyText"/>
    <w:rsid w:val="00F63E58"/>
    <w:pPr>
      <w:tabs>
        <w:tab w:val="left" w:pos="1361"/>
      </w:tabs>
      <w:spacing w:before="60" w:after="60"/>
      <w:ind w:left="1361" w:hanging="340"/>
    </w:pPr>
  </w:style>
  <w:style w:type="paragraph" w:styleId="List5">
    <w:name w:val="List 5"/>
    <w:basedOn w:val="BodyText"/>
    <w:rsid w:val="00F63E58"/>
    <w:pPr>
      <w:tabs>
        <w:tab w:val="left" w:pos="1701"/>
      </w:tabs>
      <w:spacing w:before="60" w:after="60"/>
      <w:ind w:left="1701" w:hanging="340"/>
    </w:pPr>
  </w:style>
  <w:style w:type="paragraph" w:styleId="ListBullet3">
    <w:name w:val="List Bullet 3"/>
    <w:basedOn w:val="List3"/>
    <w:rsid w:val="00F63E58"/>
    <w:pPr>
      <w:numPr>
        <w:numId w:val="15"/>
      </w:numPr>
      <w:tabs>
        <w:tab w:val="clear" w:pos="1021"/>
      </w:tabs>
      <w:ind w:left="1037" w:hanging="357"/>
    </w:pPr>
  </w:style>
  <w:style w:type="paragraph" w:styleId="ListBullet4">
    <w:name w:val="List Bullet 4"/>
    <w:basedOn w:val="List4"/>
    <w:rsid w:val="00F63E58"/>
    <w:pPr>
      <w:numPr>
        <w:numId w:val="3"/>
      </w:numPr>
    </w:pPr>
  </w:style>
  <w:style w:type="paragraph" w:styleId="ListBullet5">
    <w:name w:val="List Bullet 5"/>
    <w:basedOn w:val="List5"/>
    <w:rsid w:val="00F63E58"/>
    <w:pPr>
      <w:numPr>
        <w:numId w:val="4"/>
      </w:numPr>
    </w:pPr>
  </w:style>
  <w:style w:type="paragraph" w:styleId="ListContinue2">
    <w:name w:val="List Continue 2"/>
    <w:basedOn w:val="List2"/>
    <w:rsid w:val="00F63E58"/>
    <w:pPr>
      <w:ind w:firstLine="0"/>
    </w:pPr>
  </w:style>
  <w:style w:type="paragraph" w:styleId="ListContinue3">
    <w:name w:val="List Continue 3"/>
    <w:basedOn w:val="List3"/>
    <w:rsid w:val="00F63E58"/>
    <w:pPr>
      <w:ind w:left="1021" w:firstLine="0"/>
    </w:pPr>
  </w:style>
  <w:style w:type="paragraph" w:styleId="ListContinue4">
    <w:name w:val="List Continue 4"/>
    <w:basedOn w:val="List4"/>
    <w:rsid w:val="00F63E58"/>
    <w:pPr>
      <w:ind w:firstLine="0"/>
    </w:pPr>
  </w:style>
  <w:style w:type="paragraph" w:styleId="ListContinue5">
    <w:name w:val="List Continue 5"/>
    <w:basedOn w:val="List5"/>
    <w:rsid w:val="00F63E58"/>
    <w:pPr>
      <w:ind w:firstLine="0"/>
    </w:pPr>
  </w:style>
  <w:style w:type="paragraph" w:styleId="ListNumber3">
    <w:name w:val="List Number 3"/>
    <w:basedOn w:val="List3"/>
    <w:rsid w:val="00F63E58"/>
    <w:pPr>
      <w:numPr>
        <w:numId w:val="5"/>
      </w:numPr>
    </w:pPr>
  </w:style>
  <w:style w:type="paragraph" w:styleId="ListNumber4">
    <w:name w:val="List Number 4"/>
    <w:basedOn w:val="List4"/>
    <w:rsid w:val="00F63E58"/>
    <w:pPr>
      <w:numPr>
        <w:numId w:val="6"/>
      </w:numPr>
    </w:pPr>
  </w:style>
  <w:style w:type="paragraph" w:styleId="ListNumber5">
    <w:name w:val="List Number 5"/>
    <w:basedOn w:val="List5"/>
    <w:rsid w:val="00F63E58"/>
    <w:pPr>
      <w:numPr>
        <w:numId w:val="7"/>
      </w:numPr>
    </w:pPr>
  </w:style>
  <w:style w:type="paragraph" w:styleId="BlockText">
    <w:name w:val="Block Text"/>
    <w:basedOn w:val="Normal"/>
    <w:rsid w:val="00F63E58"/>
    <w:pPr>
      <w:spacing w:after="120"/>
      <w:ind w:left="1440" w:right="1440"/>
    </w:pPr>
  </w:style>
  <w:style w:type="character" w:customStyle="1" w:styleId="Superscript">
    <w:name w:val="Superscript"/>
    <w:rsid w:val="00F63E58"/>
    <w:rPr>
      <w:sz w:val="16"/>
      <w:vertAlign w:val="superscript"/>
    </w:rPr>
  </w:style>
  <w:style w:type="character" w:customStyle="1" w:styleId="Symbols">
    <w:name w:val="Symbols"/>
    <w:rsid w:val="00F63E58"/>
    <w:rPr>
      <w:rFonts w:ascii="Symbol" w:hAnsi="Symbol"/>
    </w:rPr>
  </w:style>
  <w:style w:type="character" w:customStyle="1" w:styleId="MenuOptions">
    <w:name w:val="Menu Options"/>
    <w:rsid w:val="00F63E58"/>
    <w:rPr>
      <w:rFonts w:ascii="Arial Narrow" w:hAnsi="Arial Narrow"/>
      <w:smallCaps/>
    </w:rPr>
  </w:style>
  <w:style w:type="character" w:customStyle="1" w:styleId="Buttons">
    <w:name w:val="Buttons"/>
    <w:rsid w:val="00F63E58"/>
    <w:rPr>
      <w:b/>
    </w:rPr>
  </w:style>
  <w:style w:type="character" w:customStyle="1" w:styleId="Underlined">
    <w:name w:val="Underlined"/>
    <w:rsid w:val="00F63E58"/>
    <w:rPr>
      <w:u w:val="single"/>
    </w:rPr>
  </w:style>
  <w:style w:type="paragraph" w:customStyle="1" w:styleId="TableBodyTextRight">
    <w:name w:val="Table Body Text Right"/>
    <w:basedOn w:val="TableBodyText"/>
    <w:rsid w:val="00F63E58"/>
    <w:pPr>
      <w:widowControl w:val="0"/>
      <w:autoSpaceDE w:val="0"/>
      <w:autoSpaceDN w:val="0"/>
      <w:adjustRightInd w:val="0"/>
      <w:jc w:val="right"/>
    </w:pPr>
    <w:rPr>
      <w:rFonts w:cs="Arial"/>
      <w:szCs w:val="18"/>
    </w:rPr>
  </w:style>
  <w:style w:type="paragraph" w:customStyle="1" w:styleId="CopyrightText">
    <w:name w:val="Copyright Text"/>
    <w:basedOn w:val="BodyText"/>
    <w:rsid w:val="00F63E58"/>
    <w:rPr>
      <w:sz w:val="18"/>
    </w:rPr>
  </w:style>
  <w:style w:type="paragraph" w:customStyle="1" w:styleId="BodySmallRight">
    <w:name w:val="Body Small Right"/>
    <w:basedOn w:val="BodyTextRight"/>
    <w:rsid w:val="00F63E58"/>
    <w:rPr>
      <w:sz w:val="18"/>
      <w:szCs w:val="18"/>
    </w:rPr>
  </w:style>
  <w:style w:type="paragraph" w:customStyle="1" w:styleId="MarginEdition">
    <w:name w:val="Margin Edition"/>
    <w:basedOn w:val="MarginNote"/>
    <w:rsid w:val="00F63E58"/>
    <w:pPr>
      <w:spacing w:before="0" w:after="0"/>
    </w:pPr>
    <w:rPr>
      <w:rFonts w:ascii="Times New Roman" w:hAnsi="Times New Roman"/>
      <w:color w:val="999999"/>
    </w:rPr>
  </w:style>
  <w:style w:type="paragraph" w:customStyle="1" w:styleId="Spacer">
    <w:name w:val="Spacer"/>
    <w:basedOn w:val="Normal"/>
    <w:rsid w:val="00F63E58"/>
    <w:rPr>
      <w:sz w:val="2"/>
      <w:szCs w:val="2"/>
    </w:rPr>
  </w:style>
  <w:style w:type="character" w:customStyle="1" w:styleId="Small">
    <w:name w:val="Small"/>
    <w:rsid w:val="00F63E58"/>
    <w:rPr>
      <w:sz w:val="16"/>
    </w:rPr>
  </w:style>
  <w:style w:type="paragraph" w:customStyle="1" w:styleId="WideTable">
    <w:name w:val="Wide Table"/>
    <w:basedOn w:val="Normal"/>
    <w:rsid w:val="00F63E58"/>
    <w:pPr>
      <w:ind w:left="-1418"/>
    </w:pPr>
    <w:rPr>
      <w:sz w:val="2"/>
      <w:szCs w:val="2"/>
    </w:rPr>
  </w:style>
  <w:style w:type="character" w:styleId="PageNumber">
    <w:name w:val="page number"/>
    <w:rsid w:val="00F63E58"/>
  </w:style>
  <w:style w:type="paragraph" w:styleId="Quote">
    <w:name w:val="Quote"/>
    <w:basedOn w:val="Heading1"/>
    <w:link w:val="QuoteChar"/>
    <w:qFormat/>
    <w:rsid w:val="00F63E58"/>
    <w:rPr>
      <w:b w:val="0"/>
      <w:sz w:val="72"/>
      <w:szCs w:val="72"/>
      <w:lang w:val="en-NZ"/>
    </w:rPr>
  </w:style>
  <w:style w:type="character" w:customStyle="1" w:styleId="QuoteChar">
    <w:name w:val="Quote Char"/>
    <w:link w:val="Quote"/>
    <w:rsid w:val="00F63E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3E58"/>
    <w:pPr>
      <w:pageBreakBefore/>
    </w:pPr>
  </w:style>
  <w:style w:type="paragraph" w:customStyle="1" w:styleId="Border">
    <w:name w:val="Border"/>
    <w:basedOn w:val="Normal"/>
    <w:qFormat/>
    <w:rsid w:val="00F63E58"/>
    <w:pPr>
      <w:pBdr>
        <w:top w:val="single" w:sz="18" w:space="1" w:color="auto"/>
      </w:pBdr>
    </w:pPr>
    <w:rPr>
      <w:rFonts w:ascii="Times New Roman" w:hAnsi="Times New Roman"/>
      <w:color w:val="FFFFFF"/>
      <w:sz w:val="2"/>
    </w:rPr>
  </w:style>
  <w:style w:type="character" w:styleId="IntenseEmphasis">
    <w:name w:val="Intense Emphasis"/>
    <w:uiPriority w:val="21"/>
    <w:qFormat/>
    <w:rsid w:val="00F63E58"/>
    <w:rPr>
      <w:b/>
      <w:bCs/>
      <w:i/>
      <w:iCs/>
      <w:color w:val="auto"/>
    </w:rPr>
  </w:style>
  <w:style w:type="paragraph" w:styleId="IntenseQuote">
    <w:name w:val="Intense Quote"/>
    <w:basedOn w:val="Normal"/>
    <w:next w:val="Normal"/>
    <w:link w:val="IntenseQuoteChar"/>
    <w:uiPriority w:val="30"/>
    <w:qFormat/>
    <w:rsid w:val="00F63E5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63E58"/>
    <w:rPr>
      <w:rFonts w:ascii="Courier New" w:eastAsia="Times New Roman" w:hAnsi="Courier New" w:cs="Times New Roman"/>
      <w:b/>
      <w:bCs/>
      <w:i/>
      <w:iCs/>
      <w:szCs w:val="20"/>
      <w:lang w:val="en-US" w:eastAsia="en-US"/>
    </w:rPr>
  </w:style>
  <w:style w:type="character" w:styleId="SubtleReference">
    <w:name w:val="Subtle Reference"/>
    <w:uiPriority w:val="31"/>
    <w:qFormat/>
    <w:rsid w:val="00F63E58"/>
    <w:rPr>
      <w:smallCaps/>
      <w:color w:val="auto"/>
      <w:u w:val="single"/>
    </w:rPr>
  </w:style>
  <w:style w:type="character" w:styleId="IntenseReference">
    <w:name w:val="Intense Reference"/>
    <w:uiPriority w:val="32"/>
    <w:qFormat/>
    <w:rsid w:val="00F63E58"/>
    <w:rPr>
      <w:b/>
      <w:bCs/>
      <w:smallCaps/>
      <w:color w:val="auto"/>
      <w:spacing w:val="5"/>
      <w:u w:val="single"/>
    </w:rPr>
  </w:style>
  <w:style w:type="paragraph" w:customStyle="1" w:styleId="2ColumnHeading">
    <w:name w:val="2Column Heading"/>
    <w:basedOn w:val="BodyText"/>
    <w:qFormat/>
    <w:rsid w:val="00F63E58"/>
    <w:pPr>
      <w:spacing w:after="60"/>
      <w:ind w:left="-2268"/>
    </w:pPr>
    <w:rPr>
      <w:b/>
    </w:rPr>
  </w:style>
  <w:style w:type="paragraph" w:customStyle="1" w:styleId="Heading1TOC">
    <w:name w:val="Heading1 TOC"/>
    <w:basedOn w:val="Normal"/>
    <w:qFormat/>
    <w:rsid w:val="00F63E58"/>
    <w:pPr>
      <w:spacing w:before="240" w:after="120"/>
    </w:pPr>
    <w:rPr>
      <w:rFonts w:ascii="Times New Roman" w:hAnsi="Times New Roman"/>
      <w:b/>
      <w:sz w:val="32"/>
    </w:rPr>
  </w:style>
  <w:style w:type="paragraph" w:customStyle="1" w:styleId="Heading2TOC">
    <w:name w:val="Heading2 TOC"/>
    <w:basedOn w:val="Normal"/>
    <w:qFormat/>
    <w:rsid w:val="00F63E58"/>
    <w:pPr>
      <w:spacing w:before="240" w:after="60"/>
    </w:pPr>
    <w:rPr>
      <w:rFonts w:ascii="Times New Roman" w:hAnsi="Times New Roman"/>
      <w:b/>
      <w:sz w:val="28"/>
    </w:rPr>
  </w:style>
  <w:style w:type="character" w:customStyle="1" w:styleId="Underline">
    <w:name w:val="Underline"/>
    <w:qFormat/>
    <w:rsid w:val="00F63E58"/>
    <w:rPr>
      <w:u w:val="single"/>
    </w:rPr>
  </w:style>
  <w:style w:type="paragraph" w:styleId="BalloonText">
    <w:name w:val="Balloon Text"/>
    <w:basedOn w:val="Normal"/>
    <w:link w:val="BalloonTextChar"/>
    <w:rsid w:val="00F63E58"/>
    <w:rPr>
      <w:rFonts w:ascii="Tahoma" w:hAnsi="Tahoma" w:cs="Tahoma"/>
      <w:sz w:val="16"/>
      <w:szCs w:val="16"/>
    </w:rPr>
  </w:style>
  <w:style w:type="character" w:customStyle="1" w:styleId="BalloonTextChar">
    <w:name w:val="Balloon Text Char"/>
    <w:link w:val="BalloonText"/>
    <w:rsid w:val="00F63E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3E5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63E5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2317</Words>
  <Characters>14151</Characters>
  <Application>Microsoft Office Word</Application>
  <DocSecurity>0</DocSecurity>
  <Lines>502</Lines>
  <Paragraphs>261</Paragraphs>
  <ScaleCrop>false</ScaleCrop>
  <Company>Author-it Software Corporation Ltd.</Company>
  <LinksUpToDate>false</LinksUpToDate>
  <CharactersWithSpaces>16356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MSL975010A Perform fire assay techniques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2012-05-26T18:37:00Z</dcterms:created>
  <dcterms:modified xsi:type="dcterms:W3CDTF">2012-05-26T18:37:00Z</dcterms:modified>
</cp:coreProperties>
</file>