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CA1" w:rsidP="001B4CA1">
      <w:pPr>
        <w:pStyle w:val="Title"/>
      </w:pPr>
      <w:r>
        <w:fldChar w:fldCharType="begin"/>
      </w:r>
      <w:r>
        <w:instrText xml:space="preserve"> TITLE   \* MERGEFORMAT </w:instrText>
      </w:r>
      <w:r>
        <w:fldChar w:fldCharType="separate"/>
      </w:r>
      <w:r>
        <w:t>MSL974006A Perform biological procedures</w:t>
      </w:r>
      <w:r>
        <w:fldChar w:fldCharType="end"/>
      </w:r>
    </w:p>
    <w:p w:rsidR="001B4CA1" w:rsidP="001B4CA1">
      <w:pPr>
        <w:pStyle w:val="Version"/>
        <w:sectPr w:rsidSect="002E6F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6FEC" w:rsidP="002E6FEC">
      <w:pPr>
        <w:pStyle w:val="SuperHeading"/>
      </w:pPr>
      <w:r w:rsidRPr="002E6FEC">
        <w:t>MSL974006A Perform biological procedures</w:t>
      </w:r>
    </w:p>
    <w:p w:rsidR="00000000" w:rsidRPr="002E6FEC" w:rsidP="002E6FEC">
      <w:pPr>
        <w:pStyle w:val="SuperHeading"/>
      </w:pPr>
    </w:p>
    <w:p w:rsidR="00000000" w:rsidRPr="002E6FEC" w:rsidP="002E6FEC">
      <w:pPr>
        <w:pStyle w:val="Heading1"/>
      </w:pPr>
      <w:bookmarkStart w:id="1" w:name="O_103383"/>
      <w:bookmarkEnd w:id="1"/>
      <w:r w:rsidRPr="002E6FEC">
        <w:t>Modification History</w:t>
      </w:r>
    </w:p>
    <w:p w:rsidR="00000000" w:rsidRPr="002E6FEC" w:rsidP="002E6FEC">
      <w:pPr>
        <w:pStyle w:val="BodyText"/>
      </w:pPr>
      <w:r w:rsidRPr="002E6FEC">
        <w:t>Not applicable.</w:t>
      </w:r>
    </w:p>
    <w:p w:rsidR="00000000" w:rsidRPr="002E6FEC" w:rsidP="002E6FEC">
      <w:pPr>
        <w:pStyle w:val="AllowPageBreak"/>
      </w:pPr>
    </w:p>
    <w:p w:rsidR="00000000" w:rsidRPr="002E6FEC" w:rsidP="002E6FEC">
      <w:pPr>
        <w:pStyle w:val="Heading1"/>
      </w:pPr>
      <w:bookmarkStart w:id="2" w:name="O_103384"/>
      <w:bookmarkEnd w:id="2"/>
      <w:r w:rsidRPr="002E6FEC">
        <w:t>Unit Descriptor</w:t>
      </w:r>
    </w:p>
    <w:tbl>
      <w:tblPr>
        <w:tblW w:w="0" w:type="auto"/>
        <w:tblLayout w:type="fixed"/>
        <w:tblCellMar>
          <w:left w:w="62" w:type="dxa"/>
          <w:right w:w="62" w:type="dxa"/>
        </w:tblCellMar>
        <w:tblLook w:val="0000"/>
      </w:tblPr>
      <w:tblGrid>
        <w:gridCol w:w="2664"/>
        <w:gridCol w:w="5858"/>
      </w:tblGrid>
      <w:tr w:rsidTr="001B4CA1">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 xml:space="preserve">This unit of competency covers the ability to interpret work requirements, prepare samples, conduct pre-use </w:t>
            </w:r>
            <w:r w:rsidRPr="002E6FEC">
              <w:t>and calibration checks on equipment and perform routine biological procedures, including sample preparation. These procedures may involve several steps and are used to classify cell types, species and biologically active compounds by analysing their biolog</w:t>
            </w:r>
            <w:r w:rsidRPr="002E6FEC">
              <w:t>ical and chemical characteristics. This unit includes data processing, interpretation of results and troubleshooting obvious departures from standard procedures.</w:t>
            </w:r>
          </w:p>
        </w:tc>
      </w:tr>
    </w:tbl>
    <w:p w:rsidR="00000000" w:rsidRPr="002E6FEC" w:rsidP="002E6FEC">
      <w:pPr>
        <w:pStyle w:val="BodyText"/>
      </w:pPr>
    </w:p>
    <w:p w:rsidR="00000000" w:rsidRPr="002E6FEC" w:rsidP="002E6FEC">
      <w:pPr>
        <w:pStyle w:val="AllowPageBreak"/>
      </w:pPr>
    </w:p>
    <w:p w:rsidR="00000000" w:rsidRPr="002E6FEC" w:rsidP="002E6FEC">
      <w:pPr>
        <w:pStyle w:val="Heading1"/>
      </w:pPr>
      <w:bookmarkStart w:id="3" w:name="O_103385"/>
      <w:bookmarkEnd w:id="3"/>
      <w:r w:rsidRPr="002E6FEC">
        <w:t>Application of the Unit</w:t>
      </w:r>
    </w:p>
    <w:tbl>
      <w:tblPr>
        <w:tblW w:w="0" w:type="auto"/>
        <w:tblLayout w:type="fixed"/>
        <w:tblCellMar>
          <w:left w:w="62" w:type="dxa"/>
          <w:right w:w="62" w:type="dxa"/>
        </w:tblCellMar>
        <w:tblLook w:val="0000"/>
      </w:tblPr>
      <w:tblGrid>
        <w:gridCol w:w="2752"/>
        <w:gridCol w:w="5770"/>
      </w:tblGrid>
      <w:tr w:rsidTr="001B4CA1">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This unit of competency is applicable to technical assistants working in the biomedical, environmental, biotechnology and education industry sectors.</w:t>
            </w:r>
          </w:p>
          <w:p w:rsidR="00000000" w:rsidRPr="002E6FEC" w:rsidP="002E6FEC">
            <w:pPr>
              <w:pStyle w:val="BodyText"/>
            </w:pPr>
            <w:r w:rsidRPr="002E6FEC">
              <w:t>Industry representatives have provided case studies to illustrate the practical application of this unit o</w:t>
            </w:r>
            <w:r w:rsidRPr="002E6FEC">
              <w:t>f competency and to show its relevance in a workplace setting. These are found at the end of this unit of competency under the section 'This competency in practice'.</w:t>
            </w:r>
          </w:p>
        </w:tc>
      </w:tr>
    </w:tbl>
    <w:p w:rsidR="00000000" w:rsidRPr="002E6FEC" w:rsidP="002E6FEC">
      <w:pPr>
        <w:pStyle w:val="BodyText"/>
      </w:pPr>
    </w:p>
    <w:p w:rsidR="00000000" w:rsidRPr="002E6FEC" w:rsidP="002E6FEC">
      <w:pPr>
        <w:pStyle w:val="AllowPageBreak"/>
      </w:pPr>
    </w:p>
    <w:p w:rsidR="00000000" w:rsidRPr="002E6FEC" w:rsidP="002E6FEC">
      <w:pPr>
        <w:pStyle w:val="Heading1"/>
      </w:pPr>
      <w:bookmarkStart w:id="4" w:name="O_103386"/>
      <w:bookmarkEnd w:id="4"/>
      <w:r w:rsidRPr="002E6FEC">
        <w:t>Licensing/Regulatory Information</w:t>
      </w:r>
    </w:p>
    <w:p w:rsidR="00000000" w:rsidRPr="002E6FEC" w:rsidP="002E6FEC">
      <w:pPr>
        <w:pStyle w:val="BodyText"/>
      </w:pPr>
      <w:r w:rsidRPr="002E6FEC">
        <w:t>Not applicable.</w:t>
      </w:r>
    </w:p>
    <w:p w:rsidR="00000000" w:rsidRPr="002E6FEC" w:rsidP="002E6FEC">
      <w:pPr>
        <w:pStyle w:val="AllowPageBreak"/>
      </w:pPr>
    </w:p>
    <w:p w:rsidR="00000000" w:rsidRPr="002E6FEC" w:rsidP="002E6FEC">
      <w:pPr>
        <w:pStyle w:val="Heading1"/>
      </w:pPr>
      <w:bookmarkStart w:id="5" w:name="O_103387"/>
      <w:bookmarkEnd w:id="5"/>
      <w:r w:rsidRPr="002E6FEC">
        <w:t>Pre-Requisites</w:t>
      </w:r>
    </w:p>
    <w:tbl>
      <w:tblPr>
        <w:tblW w:w="0" w:type="auto"/>
        <w:tblLayout w:type="fixed"/>
        <w:tblCellMar>
          <w:left w:w="62" w:type="dxa"/>
          <w:right w:w="62" w:type="dxa"/>
        </w:tblCellMar>
        <w:tblLook w:val="0000"/>
      </w:tblPr>
      <w:tblGrid>
        <w:gridCol w:w="2673"/>
        <w:gridCol w:w="2785"/>
        <w:gridCol w:w="3064"/>
      </w:tblGrid>
      <w:tr w:rsidTr="001B4CA1">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Prerequisite units</w:t>
            </w:r>
          </w:p>
        </w:tc>
        <w:tc>
          <w:tcPr>
            <w:tcW w:w="584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p>
        </w:tc>
      </w:tr>
      <w:tr w:rsidTr="001B4CA1">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rPr>
                <w:rStyle w:val="Emphasis"/>
              </w:rPr>
              <w:t>MSL973004A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Emphasis"/>
              </w:rPr>
              <w:t>Perform aseptic techniques</w:t>
            </w:r>
          </w:p>
        </w:tc>
      </w:tr>
      <w:tr w:rsidTr="001B4CA1">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rPr>
                <w:rStyle w:val="Emphasis"/>
              </w:rPr>
              <w:t>MSL973007A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rPr>
                <w:rStyle w:val="Emphasis"/>
              </w:rPr>
              <w:t>Perform microscopic examination</w:t>
            </w:r>
          </w:p>
        </w:tc>
      </w:tr>
    </w:tbl>
    <w:p w:rsidR="00000000" w:rsidRPr="002E6FEC" w:rsidP="002E6FEC">
      <w:pPr>
        <w:pStyle w:val="BodyText"/>
      </w:pPr>
    </w:p>
    <w:p w:rsidR="00000000" w:rsidRPr="002E6FEC" w:rsidP="002E6FEC">
      <w:pPr>
        <w:pStyle w:val="AllowPageBreak"/>
      </w:pPr>
    </w:p>
    <w:p w:rsidR="00000000" w:rsidRPr="002E6FEC" w:rsidP="002E6FEC">
      <w:pPr>
        <w:pStyle w:val="Heading1"/>
      </w:pPr>
      <w:bookmarkStart w:id="6" w:name="O_103388"/>
      <w:bookmarkEnd w:id="6"/>
      <w:r w:rsidRPr="002E6FEC">
        <w:t>Employability Skills Information</w:t>
      </w:r>
    </w:p>
    <w:tbl>
      <w:tblPr>
        <w:tblW w:w="0" w:type="auto"/>
        <w:tblLayout w:type="fixed"/>
        <w:tblCellMar>
          <w:left w:w="62" w:type="dxa"/>
          <w:right w:w="62" w:type="dxa"/>
        </w:tblCellMar>
        <w:tblLook w:val="0000"/>
      </w:tblPr>
      <w:tblGrid>
        <w:gridCol w:w="2802"/>
        <w:gridCol w:w="5720"/>
      </w:tblGrid>
      <w:tr w:rsidTr="001B4CA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This unit contains employability skills.</w:t>
            </w:r>
          </w:p>
        </w:tc>
      </w:tr>
    </w:tbl>
    <w:p w:rsidR="00000000" w:rsidRPr="002E6FEC" w:rsidP="002E6FEC">
      <w:pPr>
        <w:pStyle w:val="BodyText"/>
      </w:pPr>
    </w:p>
    <w:p w:rsidR="00000000" w:rsidRPr="002E6FEC" w:rsidP="002E6FEC">
      <w:pPr>
        <w:pStyle w:val="AllowPageBreak"/>
      </w:pPr>
    </w:p>
    <w:p w:rsidR="00000000" w:rsidRPr="002E6FEC" w:rsidP="002E6FEC">
      <w:pPr>
        <w:pStyle w:val="Heading1"/>
      </w:pPr>
      <w:bookmarkStart w:id="7" w:name="O_103389"/>
      <w:bookmarkEnd w:id="7"/>
      <w:r w:rsidRPr="002E6FEC">
        <w:t>Elements and Performance Criteria Pre-Content</w:t>
      </w:r>
    </w:p>
    <w:tbl>
      <w:tblPr>
        <w:tblW w:w="0" w:type="auto"/>
        <w:tblLayout w:type="fixed"/>
        <w:tblCellMar>
          <w:left w:w="62" w:type="dxa"/>
          <w:right w:w="62" w:type="dxa"/>
        </w:tblCellMar>
        <w:tblLook w:val="0000"/>
      </w:tblPr>
      <w:tblGrid>
        <w:gridCol w:w="2490"/>
        <w:gridCol w:w="6032"/>
      </w:tblGrid>
      <w:tr w:rsidTr="001B4CA1">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t>Elements describe the essential outcomes of a unit of competency.</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Performance criteria describe the performance needed to demonstrate achievement of the element. Where bold italicised text is used, further info</w:t>
            </w:r>
            <w:r w:rsidRPr="002E6FEC">
              <w:t>rmation is detailed in the required skills and knowledge section and the range statement. Assessment of performance is to be consistent with the evidence guide.</w:t>
            </w:r>
          </w:p>
        </w:tc>
      </w:tr>
    </w:tbl>
    <w:p w:rsidR="00000000" w:rsidRPr="002E6FEC" w:rsidP="002E6FEC">
      <w:pPr>
        <w:pStyle w:val="BodyText"/>
      </w:pPr>
    </w:p>
    <w:p w:rsidR="00000000" w:rsidRPr="002E6FEC" w:rsidP="002E6FEC">
      <w:pPr>
        <w:pStyle w:val="AllowPageBreak"/>
      </w:pPr>
    </w:p>
    <w:p w:rsidR="00000000" w:rsidRPr="002E6FEC" w:rsidP="002E6FEC">
      <w:pPr>
        <w:pStyle w:val="Heading1"/>
      </w:pPr>
      <w:bookmarkStart w:id="8" w:name="O_103390"/>
      <w:bookmarkEnd w:id="8"/>
      <w:r w:rsidRPr="002E6FEC">
        <w:t>Elements and Performance Criteria</w:t>
      </w:r>
    </w:p>
    <w:tbl>
      <w:tblPr>
        <w:tblW w:w="0" w:type="auto"/>
        <w:tblLayout w:type="fixed"/>
        <w:tblCellMar>
          <w:left w:w="62" w:type="dxa"/>
          <w:right w:w="62" w:type="dxa"/>
        </w:tblCellMar>
        <w:tblLook w:val="0000"/>
      </w:tblPr>
      <w:tblGrid>
        <w:gridCol w:w="2490"/>
        <w:gridCol w:w="6032"/>
      </w:tblGrid>
      <w:tr w:rsidTr="001B4CA1">
        <w:tblPrEx>
          <w:tblW w:w="0" w:type="auto"/>
          <w:tblLayout w:type="fixed"/>
          <w:tblCellMar>
            <w:left w:w="62" w:type="dxa"/>
            <w:right w:w="62" w:type="dxa"/>
          </w:tblCellMar>
          <w:tblLook w:val="0000"/>
        </w:tblPrEx>
        <w:trPr>
          <w:tblHeader/>
        </w:trPr>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rPr>
                <w:rStyle w:val="SpecialBold"/>
              </w:rPr>
              <w:t>ELEMENT</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PERFORMANCE CRITERIA</w:t>
            </w:r>
          </w:p>
        </w:tc>
      </w:tr>
      <w:tr w:rsidTr="001B4CA1">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List"/>
              <w:rPr>
                <w:lang w:val="en-NZ"/>
              </w:rPr>
            </w:pPr>
            <w:r w:rsidRPr="002E6FEC">
              <w:t>1.</w:t>
            </w:r>
            <w:r w:rsidRPr="002E6FEC">
              <w:tab/>
            </w:r>
            <w:r w:rsidRPr="002E6FEC">
              <w:t>Interpret and schedule work requirements</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List2"/>
            </w:pPr>
            <w:r w:rsidRPr="002E6FEC">
              <w:t>1.1.</w:t>
            </w:r>
            <w:r w:rsidRPr="002E6FEC">
              <w:tab/>
              <w:t>Review work request to identify samples, required procedures and materials/equipment/instruments involved</w:t>
            </w:r>
          </w:p>
          <w:p w:rsidR="00000000" w:rsidRPr="002E6FEC" w:rsidP="002E6FEC">
            <w:pPr>
              <w:pStyle w:val="List2"/>
            </w:pPr>
            <w:r w:rsidRPr="002E6FEC">
              <w:t>1.2.</w:t>
            </w:r>
            <w:r w:rsidRPr="002E6FEC">
              <w:tab/>
              <w:t>Identify hazards and enterprise control measures associated with the sample, preparation methods, r</w:t>
            </w:r>
            <w:r w:rsidRPr="002E6FEC">
              <w:t>eagents and/or equipment</w:t>
            </w:r>
          </w:p>
          <w:p w:rsidR="00000000" w:rsidP="002E6FEC">
            <w:pPr>
              <w:pStyle w:val="List2"/>
              <w:rPr>
                <w:lang w:val="en-NZ"/>
              </w:rPr>
            </w:pPr>
            <w:r w:rsidRPr="002E6FEC">
              <w:t>1.3.</w:t>
            </w:r>
            <w:r w:rsidRPr="002E6FEC">
              <w:tab/>
              <w:t>Plan parallel work sequences to optimise throughput of multiple sets of samples, if appropriate</w:t>
            </w:r>
          </w:p>
        </w:tc>
      </w:tr>
      <w:tr w:rsidTr="001B4CA1">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List"/>
              <w:rPr>
                <w:lang w:val="en-NZ"/>
              </w:rPr>
            </w:pPr>
            <w:r w:rsidRPr="002E6FEC">
              <w:t>2.</w:t>
            </w:r>
            <w:r w:rsidRPr="002E6FEC">
              <w:tab/>
              <w:t>Receive and prepare biological samples</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List2"/>
            </w:pPr>
            <w:r w:rsidRPr="002E6FEC">
              <w:t>2.1.</w:t>
            </w:r>
            <w:r w:rsidRPr="002E6FEC">
              <w:tab/>
              <w:t>Log samples using standard operating procedures (SOPs)</w:t>
            </w:r>
          </w:p>
          <w:p w:rsidR="00000000" w:rsidRPr="002E6FEC" w:rsidP="002E6FEC">
            <w:pPr>
              <w:pStyle w:val="List2"/>
            </w:pPr>
            <w:r w:rsidRPr="002E6FEC">
              <w:t>2.2.</w:t>
            </w:r>
            <w:r w:rsidRPr="002E6FEC">
              <w:tab/>
              <w:t>Record sample descript</w:t>
            </w:r>
            <w:r w:rsidRPr="002E6FEC">
              <w:t>ion, compare with specification and note and report discrepancies</w:t>
            </w:r>
          </w:p>
          <w:p w:rsidR="00000000" w:rsidRPr="002E6FEC" w:rsidP="002E6FEC">
            <w:pPr>
              <w:pStyle w:val="List2"/>
            </w:pPr>
            <w:r w:rsidRPr="002E6FEC">
              <w:t>2.3.</w:t>
            </w:r>
            <w:r w:rsidRPr="002E6FEC">
              <w:tab/>
              <w:t>Prepare samples in accordance with testing requirements</w:t>
            </w:r>
          </w:p>
          <w:p w:rsidR="00000000" w:rsidP="002E6FEC">
            <w:pPr>
              <w:pStyle w:val="List2"/>
              <w:rPr>
                <w:lang w:val="en-NZ"/>
              </w:rPr>
            </w:pPr>
            <w:r w:rsidRPr="002E6FEC">
              <w:t>2.4.</w:t>
            </w:r>
            <w:r w:rsidRPr="002E6FEC">
              <w:tab/>
              <w:t xml:space="preserve">Ensure traceability of sample from receipt to reporting of results </w:t>
            </w:r>
          </w:p>
        </w:tc>
      </w:tr>
      <w:tr w:rsidTr="001B4CA1">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List"/>
              <w:rPr>
                <w:lang w:val="en-NZ"/>
              </w:rPr>
            </w:pPr>
            <w:r w:rsidRPr="002E6FEC">
              <w:t>3.</w:t>
            </w:r>
            <w:r w:rsidRPr="002E6FEC">
              <w:tab/>
              <w:t>Perform techniques that assist in the classification</w:t>
            </w:r>
            <w:r w:rsidRPr="002E6FEC">
              <w:t xml:space="preserve"> of a cell or species</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List2"/>
            </w:pPr>
            <w:r w:rsidRPr="002E6FEC">
              <w:t>3.1.</w:t>
            </w:r>
            <w:r w:rsidRPr="002E6FEC">
              <w:tab/>
              <w:t>Select suitable techniques in accordance with enterprise requirements and methods</w:t>
            </w:r>
          </w:p>
          <w:p w:rsidR="00000000" w:rsidRPr="002E6FEC" w:rsidP="002E6FEC">
            <w:pPr>
              <w:pStyle w:val="List2"/>
            </w:pPr>
            <w:r w:rsidRPr="002E6FEC">
              <w:t>3.2.</w:t>
            </w:r>
            <w:r w:rsidRPr="002E6FEC">
              <w:tab/>
              <w:t>Set up and use equipment and reagents in accordance with the method</w:t>
            </w:r>
          </w:p>
          <w:p w:rsidR="00000000" w:rsidP="002E6FEC">
            <w:pPr>
              <w:pStyle w:val="List2"/>
              <w:rPr>
                <w:lang w:val="en-NZ"/>
              </w:rPr>
            </w:pPr>
            <w:r w:rsidRPr="002E6FEC">
              <w:t>3.3.</w:t>
            </w:r>
            <w:r w:rsidRPr="002E6FEC">
              <w:tab/>
              <w:t>Perform techniques in accordance with the method</w:t>
            </w:r>
          </w:p>
        </w:tc>
      </w:tr>
      <w:tr w:rsidTr="001B4CA1">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List"/>
              <w:rPr>
                <w:lang w:val="en-NZ"/>
              </w:rPr>
            </w:pPr>
            <w:r w:rsidRPr="002E6FEC">
              <w:t>4.</w:t>
            </w:r>
            <w:r w:rsidRPr="002E6FEC">
              <w:tab/>
            </w:r>
            <w:r w:rsidRPr="002E6FEC">
              <w:t>Perform techniques that analyse biological activity</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List2"/>
            </w:pPr>
            <w:r w:rsidRPr="002E6FEC">
              <w:t>4.1.</w:t>
            </w:r>
            <w:r w:rsidRPr="002E6FEC">
              <w:tab/>
              <w:t>Select suitable techniques in accordance with enterprise requirements and methods</w:t>
            </w:r>
          </w:p>
          <w:p w:rsidR="00000000" w:rsidRPr="002E6FEC" w:rsidP="002E6FEC">
            <w:pPr>
              <w:pStyle w:val="List2"/>
            </w:pPr>
            <w:r w:rsidRPr="002E6FEC">
              <w:t>4.2.</w:t>
            </w:r>
            <w:r w:rsidRPr="002E6FEC">
              <w:tab/>
              <w:t>Set up and use equipment and reagents in accordance with the method</w:t>
            </w:r>
          </w:p>
          <w:p w:rsidR="00000000" w:rsidP="002E6FEC">
            <w:pPr>
              <w:pStyle w:val="List2"/>
              <w:rPr>
                <w:lang w:val="en-NZ"/>
              </w:rPr>
            </w:pPr>
            <w:r w:rsidRPr="002E6FEC">
              <w:t>4.3.</w:t>
            </w:r>
            <w:r w:rsidRPr="002E6FEC">
              <w:tab/>
              <w:t>Perform techniques in accordance with t</w:t>
            </w:r>
            <w:r w:rsidRPr="002E6FEC">
              <w:t xml:space="preserve">he method </w:t>
            </w:r>
          </w:p>
        </w:tc>
      </w:tr>
      <w:tr w:rsidTr="001B4CA1">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List"/>
              <w:rPr>
                <w:lang w:val="en-NZ"/>
              </w:rPr>
            </w:pPr>
            <w:r w:rsidRPr="002E6FEC">
              <w:t>5.</w:t>
            </w:r>
            <w:r w:rsidRPr="002E6FEC">
              <w:tab/>
              <w:t>Process and interpret data</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List2"/>
            </w:pPr>
            <w:r w:rsidRPr="002E6FEC">
              <w:t>5.1.</w:t>
            </w:r>
            <w:r w:rsidRPr="002E6FEC">
              <w:tab/>
              <w:t>Record test data noting atypical observations</w:t>
            </w:r>
          </w:p>
          <w:p w:rsidR="00000000" w:rsidRPr="002E6FEC" w:rsidP="002E6FEC">
            <w:pPr>
              <w:pStyle w:val="List2"/>
            </w:pPr>
            <w:r w:rsidRPr="002E6FEC">
              <w:t>5.2.</w:t>
            </w:r>
            <w:r w:rsidRPr="002E6FEC">
              <w:tab/>
              <w:t>Construct calibration graphs, if appropriate, and compute results for all samples from these graphs</w:t>
            </w:r>
          </w:p>
          <w:p w:rsidR="00000000" w:rsidRPr="002E6FEC" w:rsidP="002E6FEC">
            <w:pPr>
              <w:pStyle w:val="List2"/>
            </w:pPr>
            <w:r w:rsidRPr="002E6FEC">
              <w:t>5.3.</w:t>
            </w:r>
            <w:r w:rsidRPr="002E6FEC">
              <w:tab/>
              <w:t>Ensure calculated values are consistent with expectat</w:t>
            </w:r>
            <w:r w:rsidRPr="002E6FEC">
              <w:t>ions</w:t>
            </w:r>
          </w:p>
          <w:p w:rsidR="00000000" w:rsidRPr="002E6FEC" w:rsidP="002E6FEC">
            <w:pPr>
              <w:pStyle w:val="List2"/>
            </w:pPr>
            <w:r w:rsidRPr="002E6FEC">
              <w:t>5.4.</w:t>
            </w:r>
            <w:r w:rsidRPr="002E6FEC">
              <w:tab/>
              <w:t>Record and report results in accordance with enterprise procedures</w:t>
            </w:r>
          </w:p>
          <w:p w:rsidR="00000000" w:rsidRPr="002E6FEC" w:rsidP="002E6FEC">
            <w:pPr>
              <w:pStyle w:val="List2"/>
            </w:pPr>
            <w:r w:rsidRPr="002E6FEC">
              <w:t>5.5.</w:t>
            </w:r>
            <w:r w:rsidRPr="002E6FEC">
              <w:tab/>
              <w:t>Estimate and document uncertainty of measurement in accordance with enterprise procedures, if required</w:t>
            </w:r>
          </w:p>
          <w:p w:rsidR="00000000" w:rsidRPr="002E6FEC" w:rsidP="002E6FEC">
            <w:pPr>
              <w:pStyle w:val="List2"/>
            </w:pPr>
            <w:r w:rsidRPr="002E6FEC">
              <w:t>5.6.</w:t>
            </w:r>
            <w:r w:rsidRPr="002E6FEC">
              <w:tab/>
              <w:t>Interpret trends in data and/or results and report out of specific</w:t>
            </w:r>
            <w:r w:rsidRPr="002E6FEC">
              <w:t>ation or atypical results promptly to appropriate personnel</w:t>
            </w:r>
          </w:p>
          <w:p w:rsidR="00000000" w:rsidP="002E6FEC">
            <w:pPr>
              <w:pStyle w:val="List2"/>
              <w:rPr>
                <w:lang w:val="en-NZ"/>
              </w:rPr>
            </w:pPr>
            <w:r w:rsidRPr="002E6FEC">
              <w:t>5.7.</w:t>
            </w:r>
            <w:r w:rsidRPr="002E6FEC">
              <w:tab/>
              <w:t xml:space="preserve">Determine if obvious procedure or equipment </w:t>
            </w:r>
            <w:r w:rsidRPr="002E6FEC">
              <w:t>problems have led to atypical data or results</w:t>
            </w:r>
          </w:p>
        </w:tc>
      </w:tr>
      <w:tr w:rsidTr="001B4CA1">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List"/>
              <w:rPr>
                <w:lang w:val="en-NZ"/>
              </w:rPr>
            </w:pPr>
            <w:r w:rsidRPr="002E6FEC">
              <w:t>6.</w:t>
            </w:r>
            <w:r w:rsidRPr="002E6FEC">
              <w:tab/>
              <w:t>Maintain a safe work environment</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List2"/>
            </w:pPr>
            <w:r w:rsidRPr="002E6FEC">
              <w:t>6.1.</w:t>
            </w:r>
            <w:r w:rsidRPr="002E6FEC">
              <w:tab/>
              <w:t>Use established safe work practices and personal protective</w:t>
            </w:r>
            <w:r w:rsidRPr="002E6FEC">
              <w:t xml:space="preserve"> equipment to ensure personal safety and that of other laboratory personnel</w:t>
            </w:r>
          </w:p>
          <w:p w:rsidR="00000000" w:rsidRPr="002E6FEC" w:rsidP="002E6FEC">
            <w:pPr>
              <w:pStyle w:val="List2"/>
            </w:pPr>
            <w:r w:rsidRPr="002E6FEC">
              <w:t>6.2.</w:t>
            </w:r>
            <w:r w:rsidRPr="002E6FEC">
              <w:tab/>
              <w:t>Minimise the generation of wastes</w:t>
            </w:r>
          </w:p>
          <w:p w:rsidR="00000000" w:rsidRPr="002E6FEC" w:rsidP="002E6FEC">
            <w:pPr>
              <w:pStyle w:val="List2"/>
            </w:pPr>
            <w:r w:rsidRPr="002E6FEC">
              <w:t>6.3.</w:t>
            </w:r>
            <w:r w:rsidRPr="002E6FEC">
              <w:tab/>
              <w:t>Ensure the safe disposal of biohazardous wastes</w:t>
            </w:r>
          </w:p>
          <w:p w:rsidR="00000000" w:rsidP="002E6FEC">
            <w:pPr>
              <w:pStyle w:val="List2"/>
              <w:rPr>
                <w:lang w:val="en-NZ"/>
              </w:rPr>
            </w:pPr>
            <w:r w:rsidRPr="002E6FEC">
              <w:t>6.4.</w:t>
            </w:r>
            <w:r w:rsidRPr="002E6FEC">
              <w:tab/>
              <w:t>Clean, care for and store equipment and reagents as required</w:t>
            </w:r>
          </w:p>
        </w:tc>
      </w:tr>
      <w:tr w:rsidTr="001B4CA1">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List"/>
              <w:rPr>
                <w:lang w:val="en-NZ"/>
              </w:rPr>
            </w:pPr>
            <w:r w:rsidRPr="002E6FEC">
              <w:t>7.</w:t>
            </w:r>
            <w:r w:rsidRPr="002E6FEC">
              <w:tab/>
            </w:r>
            <w:r w:rsidRPr="002E6FEC">
              <w:t>Maintain laboratory records</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List2"/>
            </w:pPr>
            <w:r w:rsidRPr="002E6FEC">
              <w:t>7.1.</w:t>
            </w:r>
            <w:r w:rsidRPr="002E6FEC">
              <w:tab/>
              <w:t>Record approved data into enterprise system</w:t>
            </w:r>
          </w:p>
          <w:p w:rsidR="00000000" w:rsidRPr="002E6FEC" w:rsidP="002E6FEC">
            <w:pPr>
              <w:pStyle w:val="List2"/>
            </w:pPr>
            <w:r w:rsidRPr="002E6FEC">
              <w:t>7.2.</w:t>
            </w:r>
            <w:r w:rsidRPr="002E6FEC">
              <w:tab/>
              <w:t>Maintain confidentiality and security of enterprise information and laboratory data</w:t>
            </w:r>
          </w:p>
          <w:p w:rsidR="00000000" w:rsidRPr="002E6FEC" w:rsidP="002E6FEC">
            <w:pPr>
              <w:pStyle w:val="List2"/>
            </w:pPr>
            <w:r w:rsidRPr="002E6FEC">
              <w:t>7.3.</w:t>
            </w:r>
            <w:r w:rsidRPr="002E6FEC">
              <w:tab/>
              <w:t>Maintain equipment and calibration logs in accordance with enterprise procedures</w:t>
            </w:r>
          </w:p>
        </w:tc>
      </w:tr>
    </w:tbl>
    <w:p w:rsidR="00000000" w:rsidRPr="002E6FEC" w:rsidP="002E6FEC">
      <w:pPr>
        <w:pStyle w:val="BodyText"/>
      </w:pPr>
    </w:p>
    <w:p w:rsidR="00000000" w:rsidRPr="002E6FEC" w:rsidP="002E6FEC">
      <w:pPr>
        <w:pStyle w:val="AllowPageBreak"/>
      </w:pPr>
    </w:p>
    <w:p w:rsidR="00000000" w:rsidRPr="002E6FEC" w:rsidP="002E6FEC">
      <w:pPr>
        <w:pStyle w:val="Heading1"/>
      </w:pPr>
      <w:bookmarkStart w:id="9" w:name="O_103391"/>
      <w:bookmarkEnd w:id="9"/>
      <w:r w:rsidRPr="002E6FEC">
        <w:t>Required Skills and Knowledge</w:t>
      </w:r>
    </w:p>
    <w:tbl>
      <w:tblPr>
        <w:tblW w:w="0" w:type="auto"/>
        <w:tblLayout w:type="fixed"/>
        <w:tblCellMar>
          <w:left w:w="62" w:type="dxa"/>
          <w:right w:w="62" w:type="dxa"/>
        </w:tblCellMar>
        <w:tblLook w:val="0000"/>
      </w:tblPr>
      <w:tblGrid>
        <w:gridCol w:w="8522"/>
      </w:tblGrid>
      <w:tr w:rsidTr="001B4C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REQUIRED SKILLS AND KNOWLEDGE</w:t>
            </w:r>
          </w:p>
        </w:tc>
      </w:tr>
      <w:tr w:rsidTr="001B4CA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t>This section describes the skills and knowledge required for this unit.</w:t>
            </w:r>
          </w:p>
        </w:tc>
      </w:tr>
      <w:tr w:rsidTr="001B4C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Required skills</w:t>
            </w:r>
          </w:p>
        </w:tc>
      </w:tr>
      <w:tr w:rsidTr="001B4C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Required skills include:</w:t>
            </w:r>
          </w:p>
          <w:p w:rsidR="00000000" w:rsidRPr="002E6FEC" w:rsidP="002E6FEC">
            <w:pPr>
              <w:pStyle w:val="ListBullet"/>
            </w:pPr>
            <w:r w:rsidRPr="002E6FEC">
              <w:t>using instruments for qualitative and/or quantitative analysis</w:t>
            </w:r>
          </w:p>
          <w:p w:rsidR="00000000" w:rsidRPr="002E6FEC" w:rsidP="002E6FEC">
            <w:pPr>
              <w:pStyle w:val="ListBullet"/>
            </w:pPr>
            <w:r w:rsidRPr="002E6FEC">
              <w:t xml:space="preserve">sample preparation and separation techniques </w:t>
            </w:r>
          </w:p>
          <w:p w:rsidR="00000000" w:rsidRPr="002E6FEC" w:rsidP="002E6FEC">
            <w:pPr>
              <w:pStyle w:val="ListBullet"/>
            </w:pPr>
            <w:r w:rsidRPr="002E6FEC">
              <w:t>performing calibration checks</w:t>
            </w:r>
          </w:p>
          <w:p w:rsidR="00000000" w:rsidRPr="002E6FEC" w:rsidP="002E6FEC">
            <w:pPr>
              <w:pStyle w:val="ListBullet"/>
            </w:pPr>
            <w:r w:rsidRPr="002E6FEC">
              <w:t>metrology techniques underpinning test/procedure including estimating uncertainty</w:t>
            </w:r>
          </w:p>
          <w:p w:rsidR="00000000" w:rsidRPr="002E6FEC" w:rsidP="002E6FEC">
            <w:pPr>
              <w:pStyle w:val="ListBullet"/>
            </w:pPr>
            <w:r w:rsidRPr="002E6FEC">
              <w:t>maintaining and evaluating reagents</w:t>
            </w:r>
          </w:p>
          <w:p w:rsidR="00000000" w:rsidRPr="002E6FEC" w:rsidP="002E6FEC">
            <w:pPr>
              <w:pStyle w:val="ListBullet"/>
            </w:pPr>
            <w:r w:rsidRPr="002E6FEC">
              <w:t xml:space="preserve">troubleshooting basic equipment/method </w:t>
            </w:r>
          </w:p>
          <w:p w:rsidR="00000000" w:rsidRPr="002E6FEC" w:rsidP="002E6FEC">
            <w:pPr>
              <w:pStyle w:val="ListBullet"/>
            </w:pPr>
            <w:r w:rsidRPr="002E6FEC">
              <w:t>preparingand using cal</w:t>
            </w:r>
            <w:r w:rsidRPr="002E6FEC">
              <w:t>ibration graphs and calculating results using appropriate units and precision</w:t>
            </w:r>
          </w:p>
          <w:p w:rsidR="00000000" w:rsidRPr="002E6FEC" w:rsidP="002E6FEC">
            <w:pPr>
              <w:pStyle w:val="ListBullet"/>
            </w:pPr>
            <w:r w:rsidRPr="002E6FEC">
              <w:t>applying theoretical knowledge to interpret gross features of data and make relevant conclusions such as identifying atypical results as out of normal range or an artefact</w:t>
            </w:r>
          </w:p>
          <w:p w:rsidR="00000000" w:rsidRPr="002E6FEC" w:rsidP="002E6FEC">
            <w:pPr>
              <w:pStyle w:val="ListBullet"/>
            </w:pPr>
            <w:r w:rsidRPr="002E6FEC">
              <w:t>tracin</w:t>
            </w:r>
            <w:r w:rsidRPr="002E6FEC">
              <w:t>g and sourcing obvious causes of an artefact</w:t>
            </w:r>
          </w:p>
          <w:p w:rsidR="00000000" w:rsidRPr="002E6FEC" w:rsidP="002E6FEC">
            <w:pPr>
              <w:pStyle w:val="ListBullet"/>
            </w:pPr>
            <w:r w:rsidRPr="002E6FEC">
              <w:t>recording and communicating results in accordance with enterprise procedures</w:t>
            </w:r>
          </w:p>
          <w:p w:rsidR="00000000" w:rsidP="002E6FEC">
            <w:pPr>
              <w:pStyle w:val="ListBullet"/>
              <w:rPr>
                <w:lang w:val="en-NZ"/>
              </w:rPr>
            </w:pPr>
            <w:r w:rsidRPr="002E6FEC">
              <w:t>maintaining security, integrity, traceability of samples, sub-samples, test data, results and documentation</w:t>
            </w:r>
          </w:p>
        </w:tc>
      </w:tr>
      <w:tr w:rsidTr="001B4C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Required knowledge</w:t>
            </w:r>
          </w:p>
        </w:tc>
      </w:tr>
      <w:tr w:rsidTr="001B4C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Requi</w:t>
            </w:r>
            <w:r w:rsidRPr="002E6FEC">
              <w:t>red knowledge includes:</w:t>
            </w:r>
          </w:p>
          <w:p w:rsidR="00000000" w:rsidRPr="002E6FEC" w:rsidP="002E6FEC">
            <w:pPr>
              <w:pStyle w:val="ListBullet"/>
            </w:pPr>
            <w:r w:rsidRPr="002E6FEC">
              <w:t>hazards and risks in biological laboratories</w:t>
            </w:r>
          </w:p>
          <w:p w:rsidR="00000000" w:rsidRPr="002E6FEC" w:rsidP="002E6FEC">
            <w:pPr>
              <w:pStyle w:val="ListBullet"/>
            </w:pPr>
            <w:r w:rsidRPr="002E6FEC">
              <w:t>principles and concepts related to equipment/instrument operation and testing</w:t>
            </w:r>
          </w:p>
          <w:p w:rsidR="00000000" w:rsidRPr="002E6FEC" w:rsidP="002E6FEC">
            <w:pPr>
              <w:pStyle w:val="ListBullet"/>
            </w:pPr>
            <w:r w:rsidRPr="002E6FEC">
              <w:t>function of key components of the equipment/instrument and/or reagents</w:t>
            </w:r>
          </w:p>
          <w:p w:rsidR="00000000" w:rsidRPr="002E6FEC" w:rsidP="002E6FEC">
            <w:pPr>
              <w:pStyle w:val="ListBullet"/>
            </w:pPr>
            <w:r w:rsidRPr="002E6FEC">
              <w:t>effects of modifying equipment/instrument variables</w:t>
            </w:r>
          </w:p>
          <w:p w:rsidR="00000000" w:rsidRPr="002E6FEC" w:rsidP="002E6FEC">
            <w:pPr>
              <w:pStyle w:val="ListBullet"/>
            </w:pPr>
            <w:r w:rsidRPr="002E6FEC">
              <w:t>basic equipment/method troubleshooting procedures</w:t>
            </w:r>
          </w:p>
          <w:p w:rsidR="00000000" w:rsidRPr="002E6FEC" w:rsidP="002E6FEC">
            <w:pPr>
              <w:pStyle w:val="ListBullet"/>
            </w:pPr>
            <w:r w:rsidRPr="002E6FEC">
              <w:t>calculation steps to give results in appropriate units and precision</w:t>
            </w:r>
          </w:p>
          <w:p w:rsidR="00000000" w:rsidRPr="002E6FEC" w:rsidP="002E6FEC">
            <w:pPr>
              <w:pStyle w:val="ListBullet"/>
            </w:pPr>
            <w:r w:rsidRPr="002E6FEC">
              <w:t>sources of uncertainty in measurement and methods for control</w:t>
            </w:r>
          </w:p>
          <w:p w:rsidR="00000000" w:rsidRPr="002E6FEC" w:rsidP="002E6FEC">
            <w:pPr>
              <w:pStyle w:val="ListBullet"/>
            </w:pPr>
            <w:r w:rsidRPr="002E6FEC">
              <w:t>importance and appropri</w:t>
            </w:r>
            <w:r w:rsidRPr="002E6FEC">
              <w:t>ate use of controls and certified reference materials</w:t>
            </w:r>
          </w:p>
          <w:p w:rsidR="00000000" w:rsidRPr="002E6FEC" w:rsidP="002E6FEC">
            <w:pPr>
              <w:pStyle w:val="ListBullet"/>
            </w:pPr>
            <w:r w:rsidRPr="002E6FEC">
              <w:t>enterprise and/or legal requirements for traceability</w:t>
            </w:r>
          </w:p>
          <w:p w:rsidR="00000000" w:rsidRPr="002E6FEC" w:rsidP="002E6FEC">
            <w:pPr>
              <w:pStyle w:val="ListBullet"/>
            </w:pPr>
            <w:r w:rsidRPr="002E6FEC">
              <w:t>relevant health, safety and environmental requirements</w:t>
            </w:r>
          </w:p>
        </w:tc>
      </w:tr>
    </w:tbl>
    <w:p w:rsidR="00000000" w:rsidRPr="002E6FEC" w:rsidP="002E6FEC">
      <w:pPr>
        <w:pStyle w:val="BodyText"/>
      </w:pPr>
    </w:p>
    <w:p w:rsidR="00000000" w:rsidRPr="002E6FEC" w:rsidP="002E6FEC">
      <w:pPr>
        <w:pStyle w:val="AllowPageBreak"/>
      </w:pPr>
    </w:p>
    <w:p w:rsidR="00000000" w:rsidRPr="002E6FEC" w:rsidP="002E6FEC">
      <w:pPr>
        <w:pStyle w:val="Heading1"/>
      </w:pPr>
      <w:bookmarkStart w:id="10" w:name="O_103392"/>
      <w:bookmarkEnd w:id="10"/>
      <w:r w:rsidRPr="002E6FEC">
        <w:t>Evidence Guide</w:t>
      </w:r>
    </w:p>
    <w:tbl>
      <w:tblPr>
        <w:tblW w:w="9570" w:type="dxa"/>
        <w:tblLayout w:type="fixed"/>
        <w:tblCellMar>
          <w:left w:w="62" w:type="dxa"/>
          <w:right w:w="62" w:type="dxa"/>
        </w:tblCellMar>
        <w:tblLook w:val="0000"/>
      </w:tblPr>
      <w:tblGrid>
        <w:gridCol w:w="3908"/>
        <w:gridCol w:w="5662"/>
      </w:tblGrid>
      <w:tr w:rsidTr="001B4C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EVIDENCE GUIDE</w:t>
            </w:r>
          </w:p>
        </w:tc>
      </w:tr>
      <w:tr w:rsidTr="001B4C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t>The Evidence Guide provides advice on ass</w:t>
            </w:r>
            <w:r w:rsidRPr="002E6FEC">
              <w:t>essment and must be read in conjunction with the performance criteria, required skills and knowledge, range statement and the Assessment Guidelines for the Training Package.</w:t>
            </w:r>
          </w:p>
        </w:tc>
      </w:tr>
      <w:tr w:rsidTr="001B4C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p>
        </w:tc>
      </w:tr>
      <w:tr w:rsidTr="001B4C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Critical aspects for assessment and evidence required t</w:t>
            </w:r>
            <w:r w:rsidRPr="002E6FEC">
              <w:rPr>
                <w:rStyle w:val="SpecialBold"/>
              </w:rPr>
              <w: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Assessors should ensure that candidates can:</w:t>
            </w:r>
          </w:p>
          <w:p w:rsidR="00000000" w:rsidRPr="002E6FEC" w:rsidP="002E6FEC">
            <w:pPr>
              <w:pStyle w:val="ListBullet"/>
            </w:pPr>
            <w:r w:rsidRPr="002E6FEC">
              <w:t>interpret test procedures accurately</w:t>
            </w:r>
          </w:p>
          <w:p w:rsidR="00000000" w:rsidRPr="002E6FEC" w:rsidP="002E6FEC">
            <w:pPr>
              <w:pStyle w:val="ListBullet"/>
            </w:pPr>
            <w:r w:rsidRPr="002E6FEC">
              <w:t>prepare and test samples using procedures appropriate to the nature of sample</w:t>
            </w:r>
          </w:p>
          <w:p w:rsidR="00000000" w:rsidRPr="002E6FEC" w:rsidP="002E6FEC">
            <w:pPr>
              <w:pStyle w:val="ListBullet"/>
            </w:pPr>
            <w:r w:rsidRPr="002E6FEC">
              <w:t>perform calibration checks (if required)</w:t>
            </w:r>
          </w:p>
          <w:p w:rsidR="00000000" w:rsidRPr="002E6FEC" w:rsidP="002E6FEC">
            <w:pPr>
              <w:pStyle w:val="ListBullet"/>
            </w:pPr>
            <w:r w:rsidRPr="002E6FEC">
              <w:t>safely operate test equipment to enterprise standards and/or manufacturer's specification</w:t>
            </w:r>
          </w:p>
          <w:p w:rsidR="00000000" w:rsidRPr="002E6FEC" w:rsidP="002E6FEC">
            <w:pPr>
              <w:pStyle w:val="ListBullet"/>
            </w:pPr>
            <w:r w:rsidRPr="002E6FEC">
              <w:t>prepare calibration graphs and calculate results in appropriate units and precision</w:t>
            </w:r>
          </w:p>
          <w:p w:rsidR="00000000" w:rsidRPr="002E6FEC" w:rsidP="002E6FEC">
            <w:pPr>
              <w:pStyle w:val="ListBullet"/>
            </w:pPr>
            <w:r w:rsidRPr="002E6FEC">
              <w:t>apply basic theoretical knowledge to interpret gross features of data and make rel</w:t>
            </w:r>
            <w:r w:rsidRPr="002E6FEC">
              <w:t>evant conclusions</w:t>
            </w:r>
          </w:p>
          <w:p w:rsidR="00000000" w:rsidRPr="002E6FEC" w:rsidP="002E6FEC">
            <w:pPr>
              <w:pStyle w:val="ListBullet"/>
            </w:pPr>
            <w:r w:rsidRPr="002E6FEC">
              <w:t>identify atypical results as out of normal range or an artefact using reference material or quality control sera</w:t>
            </w:r>
          </w:p>
          <w:p w:rsidR="00000000" w:rsidRPr="002E6FEC" w:rsidP="002E6FEC">
            <w:pPr>
              <w:pStyle w:val="ListBullet"/>
            </w:pPr>
            <w:r w:rsidRPr="002E6FEC">
              <w:t>trace and source obvious causes of an artefact</w:t>
            </w:r>
          </w:p>
          <w:p w:rsidR="00000000" w:rsidRPr="002E6FEC" w:rsidP="002E6FEC">
            <w:pPr>
              <w:pStyle w:val="ListBullet"/>
            </w:pPr>
            <w:r w:rsidRPr="002E6FEC">
              <w:t>communicate problems to a supervisor or outside service technician</w:t>
            </w:r>
          </w:p>
          <w:p w:rsidR="00000000" w:rsidRPr="002E6FEC" w:rsidP="002E6FEC">
            <w:pPr>
              <w:pStyle w:val="ListBullet"/>
            </w:pPr>
            <w:r w:rsidRPr="002E6FEC">
              <w:t xml:space="preserve">record and </w:t>
            </w:r>
            <w:r w:rsidRPr="002E6FEC">
              <w:t>communicate results according to enterprise procedures</w:t>
            </w:r>
          </w:p>
          <w:p w:rsidR="00000000" w:rsidRPr="002E6FEC" w:rsidP="002E6FEC">
            <w:pPr>
              <w:pStyle w:val="ListBullet"/>
            </w:pPr>
            <w:r w:rsidRPr="002E6FEC">
              <w:t xml:space="preserve">maintain security, integrity, traceability and identity of samples, sub-samples and documentation </w:t>
            </w:r>
          </w:p>
          <w:p w:rsidR="00000000" w:rsidP="002E6FEC">
            <w:pPr>
              <w:pStyle w:val="ListBullet"/>
              <w:rPr>
                <w:lang w:val="en-NZ"/>
              </w:rPr>
            </w:pPr>
            <w:r w:rsidRPr="002E6FEC">
              <w:t>follow OHS procedures and principles of GLP.</w:t>
            </w:r>
          </w:p>
        </w:tc>
      </w:tr>
      <w:tr w:rsidTr="001B4C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This un</w:t>
            </w:r>
            <w:r w:rsidRPr="002E6FEC">
              <w:t xml:space="preserve">it of competency is to be assessed in the workplace or simulated workplace environment. </w:t>
            </w:r>
          </w:p>
          <w:p w:rsidR="00000000" w:rsidRPr="002E6FEC" w:rsidP="002E6FEC">
            <w:pPr>
              <w:pStyle w:val="BodyText"/>
            </w:pPr>
            <w:r w:rsidRPr="002E6FEC">
              <w:t>This unit of competency may be assessed with:</w:t>
            </w:r>
          </w:p>
          <w:p w:rsidR="00000000" w:rsidRPr="002E6FEC" w:rsidP="002E6FEC">
            <w:pPr>
              <w:pStyle w:val="ListBullet"/>
            </w:pPr>
            <w:r w:rsidRPr="002E6FEC">
              <w:rPr>
                <w:rStyle w:val="Emphasis"/>
              </w:rPr>
              <w:t>MSL924001A Process and interpret data</w:t>
            </w:r>
          </w:p>
          <w:p w:rsidR="00000000" w:rsidRPr="002E6FEC" w:rsidP="002E6FEC">
            <w:pPr>
              <w:pStyle w:val="ListBullet"/>
            </w:pPr>
            <w:r w:rsidRPr="002E6FEC">
              <w:rPr>
                <w:rStyle w:val="Emphasis"/>
              </w:rPr>
              <w:t>MSL974003A Perform chemical tests and procedures</w:t>
            </w:r>
            <w:r w:rsidRPr="002E6FEC">
              <w:t>.</w:t>
            </w:r>
          </w:p>
          <w:p w:rsidR="00000000" w:rsidRPr="002E6FEC" w:rsidP="002E6FEC">
            <w:pPr>
              <w:pStyle w:val="BodyText"/>
            </w:pPr>
            <w:r w:rsidRPr="002E6FEC">
              <w:t>Resources may include:</w:t>
            </w:r>
          </w:p>
          <w:p w:rsidR="00000000" w:rsidRPr="002E6FEC" w:rsidP="002E6FEC">
            <w:pPr>
              <w:pStyle w:val="ListBullet"/>
            </w:pPr>
            <w:r w:rsidRPr="002E6FEC">
              <w:t>standard laboratory equipped with appropriate test equipment and instruments, reagents and materials</w:t>
            </w:r>
          </w:p>
          <w:p w:rsidR="00000000" w:rsidP="002E6FEC">
            <w:pPr>
              <w:pStyle w:val="ListBullet"/>
              <w:rPr>
                <w:lang w:val="en-NZ"/>
              </w:rPr>
            </w:pPr>
            <w:r w:rsidRPr="002E6FEC">
              <w:t>SOPs and testing methods.</w:t>
            </w:r>
          </w:p>
        </w:tc>
      </w:tr>
      <w:tr w:rsidTr="001B4C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The following assessment methods are suggested:</w:t>
            </w:r>
          </w:p>
          <w:p w:rsidR="00000000" w:rsidRPr="002E6FEC" w:rsidP="002E6FEC">
            <w:pPr>
              <w:pStyle w:val="ListBullet"/>
            </w:pPr>
            <w:r w:rsidRPr="002E6FEC">
              <w:t xml:space="preserve">review of results obtained by the candidate over a period </w:t>
            </w:r>
            <w:r w:rsidRPr="002E6FEC">
              <w:t>of time to ensure accuracy, consistency and timeliness</w:t>
            </w:r>
          </w:p>
          <w:p w:rsidR="00000000" w:rsidRPr="002E6FEC" w:rsidP="002E6FEC">
            <w:pPr>
              <w:pStyle w:val="ListBullet"/>
            </w:pPr>
            <w:r w:rsidRPr="002E6FEC">
              <w:t>review of testing records and workplace documentation completed by the candidate</w:t>
            </w:r>
          </w:p>
          <w:p w:rsidR="00000000" w:rsidRPr="002E6FEC" w:rsidP="002E6FEC">
            <w:pPr>
              <w:pStyle w:val="ListBullet"/>
            </w:pPr>
            <w:r w:rsidRPr="002E6FEC">
              <w:t xml:space="preserve">observation of candidate conducting a range of biological procedures </w:t>
            </w:r>
          </w:p>
          <w:p w:rsidR="00000000" w:rsidRPr="002E6FEC" w:rsidP="002E6FEC">
            <w:pPr>
              <w:pStyle w:val="ListBullet"/>
            </w:pPr>
            <w:r w:rsidRPr="002E6FEC">
              <w:t>feedback from peers and supervisors</w:t>
            </w:r>
          </w:p>
          <w:p w:rsidR="00000000" w:rsidRPr="002E6FEC" w:rsidP="002E6FEC">
            <w:pPr>
              <w:pStyle w:val="ListBullet"/>
            </w:pPr>
            <w:r w:rsidRPr="002E6FEC">
              <w:t>oral or writte</w:t>
            </w:r>
            <w:r w:rsidRPr="002E6FEC">
              <w:t>n questioning of biological concepts, principles and enterprise procedures.</w:t>
            </w:r>
          </w:p>
          <w:p w:rsidR="00000000" w:rsidRPr="002E6FEC" w:rsidP="002E6FEC">
            <w:pPr>
              <w:pStyle w:val="BodyText"/>
            </w:pPr>
            <w:r w:rsidRPr="002E6FEC">
              <w:t xml:space="preserve">In all cases, practical assessment should be supported by questions to assess underpinning knowledge and those aspects of competency which are difficult to assess directly. </w:t>
            </w:r>
          </w:p>
          <w:p w:rsidR="00000000" w:rsidRPr="002E6FEC" w:rsidP="002E6FEC">
            <w:pPr>
              <w:pStyle w:val="BodyText"/>
            </w:pPr>
            <w:r w:rsidRPr="002E6FEC">
              <w:t xml:space="preserve">Where </w:t>
            </w:r>
            <w:r w:rsidRPr="002E6FEC">
              <w:t xml:space="preserve">applicable, reasonable adjustment must be made to work environments and training situations to accommodate ethnicity, age, gender, demographics and disability. </w:t>
            </w:r>
          </w:p>
          <w:p w:rsidR="00000000" w:rsidRPr="002E6FEC" w:rsidP="002E6FEC">
            <w:pPr>
              <w:pStyle w:val="BodyText"/>
            </w:pPr>
            <w:r w:rsidRPr="002E6FEC">
              <w:t xml:space="preserve">Access must be provided to appropriate learning and/or assessment support when required. </w:t>
            </w:r>
          </w:p>
          <w:p w:rsidR="00000000" w:rsidP="002E6FEC">
            <w:pPr>
              <w:pStyle w:val="BodyText"/>
              <w:rPr>
                <w:lang w:val="en-NZ"/>
              </w:rPr>
            </w:pPr>
            <w:r w:rsidRPr="002E6FEC">
              <w:t>The language, literacy and numeracy demands of assessment should not be greater than those required to undertake the unit of competency in a work like environment.</w:t>
            </w:r>
          </w:p>
        </w:tc>
      </w:tr>
      <w:tr w:rsidTr="001B4C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Industry representatives have provided the case studies below t</w:t>
            </w:r>
            <w:r w:rsidRPr="002E6FEC">
              <w:t xml:space="preserve">o illustrate the practical application of this unit of competency and to show its relevance in a workplace setting. </w:t>
            </w:r>
          </w:p>
          <w:p w:rsidR="00000000" w:rsidRPr="002E6FEC" w:rsidP="002E6FEC">
            <w:pPr>
              <w:pStyle w:val="BodyText"/>
            </w:pPr>
            <w:r w:rsidRPr="002E6FEC">
              <w:rPr>
                <w:rStyle w:val="SpecialBold"/>
              </w:rPr>
              <w:t>Biomedical</w:t>
            </w:r>
            <w:r w:rsidRPr="002E6FEC">
              <w:t xml:space="preserve"> (</w:t>
            </w:r>
            <w:r w:rsidRPr="002E6FEC">
              <w:rPr>
                <w:rStyle w:val="SpecialBold"/>
              </w:rPr>
              <w:t>1</w:t>
            </w:r>
            <w:r w:rsidRPr="002E6FEC">
              <w:t>)</w:t>
            </w:r>
          </w:p>
          <w:p w:rsidR="00000000" w:rsidRPr="002E6FEC" w:rsidP="002E6FEC">
            <w:pPr>
              <w:pStyle w:val="BodyText"/>
            </w:pPr>
            <w:r w:rsidRPr="002E6FEC">
              <w:t>A laboratory technician conducts a screening test for parasites in stool samples. She</w:t>
            </w:r>
            <w:r w:rsidRPr="002E6FEC">
              <w:t xml:space="preserve">/he checks the sample identification details, cross-checks the sample barcode with the request slip and the data entry in the laboratory information management system (LIMS). The technician locates the test method and then examines the sample container to </w:t>
            </w:r>
            <w:r w:rsidRPr="002E6FEC">
              <w:t>ensure that it has not leaked and that there is sufficient volume for the test. She/he prepares the sample by adding solvent to a portion and shaking it before placing it in a centrifuge. After satisfactory separation, she/he pipettes a small quantity of t</w:t>
            </w:r>
            <w:r w:rsidRPr="002E6FEC">
              <w:t>he top layer of solvent onto a glass slide and adds iodine as a stain. The technician carefully views the slide using x40 magnification and searches for eggs. She/he enters a nil result in the LIMS and disposes of the sample in accordance with enterprise p</w:t>
            </w:r>
            <w:r w:rsidRPr="002E6FEC">
              <w:t>rocedures.</w:t>
            </w:r>
          </w:p>
          <w:p w:rsidR="00000000" w:rsidRPr="002E6FEC" w:rsidP="002E6FEC">
            <w:pPr>
              <w:pStyle w:val="BodyText"/>
            </w:pPr>
            <w:r w:rsidRPr="002E6FEC">
              <w:rPr>
                <w:rStyle w:val="SpecialBold"/>
              </w:rPr>
              <w:t>Biomedical</w:t>
            </w:r>
            <w:r w:rsidRPr="002E6FEC">
              <w:t xml:space="preserve"> (</w:t>
            </w:r>
            <w:r w:rsidRPr="002E6FEC">
              <w:rPr>
                <w:rStyle w:val="SpecialBold"/>
              </w:rPr>
              <w:t>2</w:t>
            </w:r>
            <w:r w:rsidRPr="002E6FEC">
              <w:t>)</w:t>
            </w:r>
          </w:p>
          <w:p w:rsidR="00000000" w:rsidRPr="002E6FEC" w:rsidP="002E6FEC">
            <w:pPr>
              <w:pStyle w:val="BodyText"/>
            </w:pPr>
            <w:r w:rsidRPr="002E6FEC">
              <w:t xml:space="preserve">A technical officer is requested to determine the total protein concentration of a blood sample using colorimetry. After checking the condition of the sample, she/he collects the Biuret reagent from the refrigerator, the required </w:t>
            </w:r>
            <w:r w:rsidRPr="002E6FEC">
              <w:t>number of tubes and protein control samples and standards specified in the method. The officer labels the tubes and then accurately dispenses the correct volumes of reagent, standards, controls and samples into them. The solutions are thoroughly mixed usin</w:t>
            </w:r>
            <w:r w:rsidRPr="002E6FEC">
              <w:t xml:space="preserve">g a vortex mixer and allowed to stand for five minutes for the reaction to occur. She/he records absorbance readings for each tube and prepares a calibration curve. The officer reads the concentration values from the graph for the control and test samples </w:t>
            </w:r>
            <w:r w:rsidRPr="002E6FEC">
              <w:t>and checks the control data against the expected values. As these fall within the accepted range, she/he enters the test results into the LIMS.</w:t>
            </w:r>
          </w:p>
        </w:tc>
      </w:tr>
    </w:tbl>
    <w:p w:rsidR="00000000" w:rsidRPr="002E6FEC" w:rsidP="002E6FEC">
      <w:pPr>
        <w:pStyle w:val="BodyText"/>
      </w:pPr>
    </w:p>
    <w:p w:rsidR="00000000" w:rsidRPr="002E6FEC" w:rsidP="002E6FEC">
      <w:pPr>
        <w:pStyle w:val="AllowPageBreak"/>
      </w:pPr>
    </w:p>
    <w:p w:rsidR="00000000" w:rsidRPr="002E6FEC" w:rsidP="002E6FEC">
      <w:pPr>
        <w:pStyle w:val="Heading1"/>
      </w:pPr>
      <w:bookmarkStart w:id="11" w:name="O_103393"/>
      <w:bookmarkEnd w:id="11"/>
      <w:r w:rsidRPr="002E6FEC">
        <w:t>Range Statement</w:t>
      </w:r>
    </w:p>
    <w:tbl>
      <w:tblPr>
        <w:tblW w:w="0" w:type="auto"/>
        <w:tblLayout w:type="fixed"/>
        <w:tblCellMar>
          <w:left w:w="62" w:type="dxa"/>
          <w:right w:w="62" w:type="dxa"/>
        </w:tblCellMar>
        <w:tblLook w:val="0000"/>
      </w:tblPr>
      <w:tblGrid>
        <w:gridCol w:w="3443"/>
        <w:gridCol w:w="5079"/>
      </w:tblGrid>
      <w:tr w:rsidTr="001B4C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RANGE STATEMENT</w:t>
            </w:r>
          </w:p>
        </w:tc>
      </w:tr>
      <w:tr w:rsidTr="001B4C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t>The range statement relates to the unit of competency as a whole. It allows for different work environments and situations that may affect performance. Bold italicised wording, if used in the performance criteria, is detailed below. Essential operating con</w:t>
            </w:r>
            <w:r w:rsidRPr="002E6FEC">
              <w:t>ditions that may be present with training and assessment (depending on the work situation, needs of the candidate, accessibility of the item, and local industry and regional contexts) may also be included.</w:t>
            </w:r>
          </w:p>
        </w:tc>
      </w:tr>
      <w:tr w:rsidTr="001B4CA1">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Codes of practice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t>Where reference is made to ind</w:t>
            </w:r>
            <w:r w:rsidRPr="002E6FEC">
              <w:t>ustry codes of practice, and/or Australian/international standards, it is expected the latest version will be used</w:t>
            </w:r>
          </w:p>
        </w:tc>
      </w:tr>
      <w:tr w:rsidTr="001B4CA1">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Standards</w:t>
            </w:r>
            <w:r w:rsidRPr="002E6FEC">
              <w:t xml:space="preserve">, </w:t>
            </w:r>
            <w:r w:rsidRPr="002E6FEC">
              <w:rPr>
                <w:rStyle w:val="SpecialBold"/>
              </w:rPr>
              <w:t>codes</w:t>
            </w:r>
            <w:r w:rsidRPr="002E6FEC">
              <w:t xml:space="preserve">, </w:t>
            </w:r>
            <w:r w:rsidRPr="002E6FEC">
              <w:rPr>
                <w:rStyle w:val="SpecialBold"/>
              </w:rPr>
              <w:t>procedures and</w:t>
            </w:r>
            <w:r w:rsidRPr="002E6FEC">
              <w:t>/</w:t>
            </w:r>
            <w:r w:rsidRPr="002E6FEC">
              <w:rPr>
                <w:rStyle w:val="SpecialBold"/>
              </w:rPr>
              <w:t>or enterprise requirements</w:t>
            </w:r>
            <w:r w:rsidRPr="002E6FEC">
              <w:t xml:space="preserve"> </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Standards, codes, procedures and/or enterprise requirements may include:</w:t>
            </w:r>
          </w:p>
          <w:p w:rsidR="00000000" w:rsidRPr="002E6FEC" w:rsidP="002E6FEC">
            <w:pPr>
              <w:pStyle w:val="ListBullet"/>
            </w:pPr>
            <w:r w:rsidRPr="002E6FEC">
              <w:t>Austr</w:t>
            </w:r>
            <w:r w:rsidRPr="002E6FEC">
              <w:t xml:space="preserve">alian and international standards, such as: </w:t>
            </w:r>
          </w:p>
          <w:p w:rsidR="00000000" w:rsidRPr="002E6FEC" w:rsidP="002E6FEC">
            <w:pPr>
              <w:pStyle w:val="ListBullet2"/>
            </w:pPr>
            <w:r w:rsidRPr="002E6FEC">
              <w:t>AS 2134.1-1999 Recommended practice for chemical analysis by atomic absorption spectrometry - Flame atomic absorption spectrometry</w:t>
            </w:r>
          </w:p>
          <w:p w:rsidR="00000000" w:rsidRPr="002E6FEC" w:rsidP="002E6FEC">
            <w:pPr>
              <w:pStyle w:val="ListBullet2"/>
            </w:pPr>
            <w:r w:rsidRPr="002E6FEC">
              <w:t xml:space="preserve">AS 2162.1-1996 Verification and use of volumetric apparatus - General - Volumetric glassware </w:t>
            </w:r>
          </w:p>
          <w:p w:rsidR="00000000" w:rsidRPr="002E6FEC" w:rsidP="002E6FEC">
            <w:pPr>
              <w:pStyle w:val="ListBullet2"/>
            </w:pPr>
            <w:r w:rsidRPr="002E6FEC">
              <w:t>AS 3753-2001 Recommended practice for chemical analysis by ultraviolet/visible spectrophotometry</w:t>
            </w:r>
          </w:p>
          <w:p w:rsidR="00000000" w:rsidRPr="002E6FEC" w:rsidP="002E6FEC">
            <w:pPr>
              <w:pStyle w:val="ListBullet2"/>
            </w:pPr>
            <w:r w:rsidRPr="002E6FEC">
              <w:t>AS ISO 1000-1998 The international system of units (SI) and its a</w:t>
            </w:r>
            <w:r w:rsidRPr="002E6FEC">
              <w:t>pplication</w:t>
            </w:r>
          </w:p>
          <w:p w:rsidR="00000000" w:rsidRPr="002E6FEC" w:rsidP="002E6FEC">
            <w:pPr>
              <w:pStyle w:val="ListBullet2"/>
            </w:pPr>
            <w:r w:rsidRPr="002E6FEC">
              <w:t xml:space="preserve">AS ISO 17025-2005 General requirements for the competence of testing and calibration laboratories </w:t>
            </w:r>
          </w:p>
          <w:p w:rsidR="00000000" w:rsidRPr="002E6FEC" w:rsidP="002E6FEC">
            <w:pPr>
              <w:pStyle w:val="ListBullet2"/>
            </w:pPr>
            <w:r w:rsidRPr="002E6FEC">
              <w:t>AS/NZS 2243 Set:2006 Safety in laboratories set</w:t>
            </w:r>
          </w:p>
          <w:p w:rsidR="00000000" w:rsidRPr="002E6FEC" w:rsidP="002E6FEC">
            <w:pPr>
              <w:pStyle w:val="ListBullet2"/>
            </w:pPr>
            <w:r w:rsidRPr="002E6FEC">
              <w:t>AS/NZS ISO 9000 Set:2008 Quality management systems set</w:t>
            </w:r>
          </w:p>
          <w:p w:rsidR="00000000" w:rsidRPr="002E6FEC" w:rsidP="002E6FEC">
            <w:pPr>
              <w:pStyle w:val="ListBullet"/>
            </w:pPr>
            <w:r w:rsidRPr="002E6FEC">
              <w:t>Australian code of good manufacturing pra</w:t>
            </w:r>
            <w:r w:rsidRPr="002E6FEC">
              <w:t>ctice for medicinal products (GMP)</w:t>
            </w:r>
          </w:p>
          <w:p w:rsidR="00000000" w:rsidRPr="002E6FEC" w:rsidP="002E6FEC">
            <w:pPr>
              <w:pStyle w:val="ListBullet"/>
            </w:pPr>
            <w:r w:rsidRPr="002E6FEC">
              <w:t>calibration and maintenance schedules</w:t>
            </w:r>
          </w:p>
          <w:p w:rsidR="00000000" w:rsidRPr="002E6FEC" w:rsidP="002E6FEC">
            <w:pPr>
              <w:pStyle w:val="ListBullet"/>
            </w:pPr>
            <w:r w:rsidRPr="002E6FEC">
              <w:t>enterprise recording and reporting procedures</w:t>
            </w:r>
          </w:p>
          <w:p w:rsidR="00000000" w:rsidRPr="002E6FEC" w:rsidP="002E6FEC">
            <w:pPr>
              <w:pStyle w:val="ListBullet"/>
            </w:pPr>
            <w:r w:rsidRPr="002E6FEC">
              <w:t>equipment manuals</w:t>
            </w:r>
          </w:p>
          <w:p w:rsidR="00000000" w:rsidRPr="002E6FEC" w:rsidP="002E6FEC">
            <w:pPr>
              <w:pStyle w:val="ListBullet"/>
            </w:pPr>
            <w:r w:rsidRPr="002E6FEC">
              <w:t>equipment startup, operation and shutdown procedures</w:t>
            </w:r>
          </w:p>
          <w:p w:rsidR="00000000" w:rsidRPr="002E6FEC" w:rsidP="002E6FEC">
            <w:pPr>
              <w:pStyle w:val="ListBullet"/>
            </w:pPr>
            <w:r w:rsidRPr="002E6FEC">
              <w:t>industry methods, such as Royal Australian Chemical Institute (RAC</w:t>
            </w:r>
            <w:r w:rsidRPr="002E6FEC">
              <w:t>I) and/or American Association of Cereal Chemists (AACC) methods for inorganic constituents</w:t>
            </w:r>
          </w:p>
          <w:p w:rsidR="00000000" w:rsidRPr="002E6FEC" w:rsidP="002E6FEC">
            <w:pPr>
              <w:pStyle w:val="ListBullet"/>
            </w:pPr>
            <w:r w:rsidRPr="002E6FEC">
              <w:t>material safety data sheets (MSDS) and safety procedures</w:t>
            </w:r>
          </w:p>
          <w:p w:rsidR="00000000" w:rsidRPr="002E6FEC" w:rsidP="002E6FEC">
            <w:pPr>
              <w:pStyle w:val="ListBullet"/>
            </w:pPr>
            <w:r w:rsidRPr="002E6FEC">
              <w:t>material, production and product specifications</w:t>
            </w:r>
          </w:p>
          <w:p w:rsidR="00000000" w:rsidRPr="002E6FEC" w:rsidP="002E6FEC">
            <w:pPr>
              <w:pStyle w:val="ListBullet"/>
            </w:pPr>
            <w:r w:rsidRPr="002E6FEC">
              <w:t>national measurement regulations and guidelines</w:t>
            </w:r>
          </w:p>
          <w:p w:rsidR="00000000" w:rsidRPr="002E6FEC" w:rsidP="002E6FEC">
            <w:pPr>
              <w:pStyle w:val="ListBullet"/>
            </w:pPr>
            <w:r w:rsidRPr="002E6FEC">
              <w:t>principles of good laboratory practice (GLP)</w:t>
            </w:r>
          </w:p>
          <w:p w:rsidR="00000000" w:rsidRPr="002E6FEC" w:rsidP="002E6FEC">
            <w:pPr>
              <w:pStyle w:val="ListBullet"/>
            </w:pPr>
            <w:r w:rsidRPr="002E6FEC">
              <w:t xml:space="preserve">production and laboratory schedules </w:t>
            </w:r>
          </w:p>
          <w:p w:rsidR="00000000" w:rsidRPr="002E6FEC" w:rsidP="002E6FEC">
            <w:pPr>
              <w:pStyle w:val="ListBullet"/>
            </w:pPr>
            <w:r w:rsidRPr="002E6FEC">
              <w:t xml:space="preserve">quality manuals and equipment and procedure manuals </w:t>
            </w:r>
          </w:p>
          <w:p w:rsidR="00000000" w:rsidRPr="002E6FEC" w:rsidP="002E6FEC">
            <w:pPr>
              <w:pStyle w:val="ListBullet"/>
            </w:pPr>
            <w:r w:rsidRPr="002E6FEC">
              <w:t>SOPs</w:t>
            </w:r>
          </w:p>
          <w:p w:rsidR="00000000" w:rsidP="002E6FEC">
            <w:pPr>
              <w:pStyle w:val="ListBullet"/>
              <w:rPr>
                <w:lang w:val="en-NZ"/>
              </w:rPr>
            </w:pPr>
            <w:r w:rsidRPr="002E6FEC">
              <w:t>waste minimisation and safe disposal procedures</w:t>
            </w:r>
          </w:p>
        </w:tc>
      </w:tr>
      <w:tr w:rsidTr="001B4CA1">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Biological principles and concepts underpinning tests and procedure</w:t>
            </w:r>
            <w:r w:rsidRPr="002E6FEC">
              <w:rPr>
                <w:rStyle w:val="SpecialBold"/>
              </w:rPr>
              <w:t>s</w:t>
            </w:r>
            <w:r w:rsidRPr="002E6FEC">
              <w:t xml:space="preserve"> </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Biological principles and concepts underpinning tests and procedures may include:</w:t>
            </w:r>
          </w:p>
          <w:p w:rsidR="00000000" w:rsidRPr="002E6FEC" w:rsidP="002E6FEC">
            <w:pPr>
              <w:pStyle w:val="ListBullet"/>
            </w:pPr>
            <w:r w:rsidRPr="002E6FEC">
              <w:t>molecular interactions within the compounds of nucleic acids and nucleotides, proteins and amino acids, carbohydrates, lipids and vitamins, influencing structure, activit</w:t>
            </w:r>
            <w:r w:rsidRPr="002E6FEC">
              <w:t>y, chemical reactivity and physical properties, including solubility, energy levels and emission/absorption spectra</w:t>
            </w:r>
          </w:p>
          <w:p w:rsidR="00000000" w:rsidRPr="002E6FEC" w:rsidP="002E6FEC">
            <w:pPr>
              <w:pStyle w:val="ListBullet"/>
            </w:pPr>
            <w:r w:rsidRPr="002E6FEC">
              <w:t>chemical and biochemical characteristics of lipids, carbohydrates, nucleic acids and proteins influencing structure, function and reactivity</w:t>
            </w:r>
            <w:r w:rsidRPr="002E6FEC">
              <w:t xml:space="preserve"> both in vitro and in vivo</w:t>
            </w:r>
          </w:p>
          <w:p w:rsidR="00000000" w:rsidRPr="002E6FEC" w:rsidP="002E6FEC">
            <w:pPr>
              <w:pStyle w:val="ListBullet"/>
            </w:pPr>
            <w:r w:rsidRPr="002E6FEC">
              <w:t>chemical significance of biologically significant ions, such as calcium, zinc, iron, magnesium, sodium, potassium, chloride and phosphate</w:t>
            </w:r>
          </w:p>
          <w:p w:rsidR="00000000" w:rsidRPr="002E6FEC" w:rsidP="002E6FEC">
            <w:pPr>
              <w:pStyle w:val="ListBullet"/>
            </w:pPr>
            <w:r w:rsidRPr="002E6FEC">
              <w:t>key metabolic pathways and the significance of initial nutrients, products and wastes on th</w:t>
            </w:r>
            <w:r w:rsidRPr="002E6FEC">
              <w:t>ose pathways</w:t>
            </w:r>
          </w:p>
          <w:p w:rsidR="00000000" w:rsidRPr="002E6FEC" w:rsidP="002E6FEC">
            <w:pPr>
              <w:pStyle w:val="ListBullet"/>
            </w:pPr>
            <w:r w:rsidRPr="002E6FEC">
              <w:t>structure and function of organelles, cells, plant and animal tissue and organs</w:t>
            </w:r>
          </w:p>
          <w:p w:rsidR="00000000" w:rsidRPr="002E6FEC" w:rsidP="002E6FEC">
            <w:pPr>
              <w:pStyle w:val="ListBullet"/>
            </w:pPr>
            <w:r w:rsidRPr="002E6FEC">
              <w:t xml:space="preserve">interrelationships of biological systems (carbon cycle, energy cycle and the web of life) </w:t>
            </w:r>
          </w:p>
          <w:p w:rsidR="00000000" w:rsidRPr="002E6FEC" w:rsidP="002E6FEC">
            <w:pPr>
              <w:pStyle w:val="ListBullet"/>
            </w:pPr>
            <w:r w:rsidRPr="002E6FEC">
              <w:t>classifications, such as bacteria, viruses, yeasts, single cell, multi-cellular, plants, animals, prions, helminths, prokaryotes and eukaryotes</w:t>
            </w:r>
          </w:p>
          <w:p w:rsidR="00000000" w:rsidRPr="002E6FEC" w:rsidP="002E6FEC">
            <w:pPr>
              <w:pStyle w:val="ListBullet"/>
            </w:pPr>
            <w:r w:rsidRPr="002E6FEC">
              <w:t>phases of the cell cycle</w:t>
            </w:r>
          </w:p>
          <w:p w:rsidR="00000000" w:rsidRPr="002E6FEC" w:rsidP="002E6FEC">
            <w:pPr>
              <w:pStyle w:val="ListBullet"/>
            </w:pPr>
            <w:r w:rsidRPr="002E6FEC">
              <w:t>Mendelian genetics, such as inheritance, meiosis, karyotypes, dominant and recessive tr</w:t>
            </w:r>
            <w:r w:rsidRPr="002E6FEC">
              <w:t>aits, genotypes and phenotypes, and pedigrees</w:t>
            </w:r>
          </w:p>
          <w:p w:rsidR="00000000" w:rsidRPr="002E6FEC" w:rsidP="002E6FEC">
            <w:pPr>
              <w:pStyle w:val="ListBullet"/>
            </w:pPr>
            <w:r w:rsidRPr="002E6FEC">
              <w:t xml:space="preserve">significance of the genetic code and transcription and translation </w:t>
            </w:r>
          </w:p>
          <w:p w:rsidR="00000000" w:rsidRPr="002E6FEC" w:rsidP="002E6FEC">
            <w:pPr>
              <w:pStyle w:val="ListBullet"/>
            </w:pPr>
            <w:r w:rsidRPr="002E6FEC">
              <w:t>cell membrane activity, including diffusion (passive, facilitated and active), osmosis, tonicity and plasmolysis</w:t>
            </w:r>
          </w:p>
          <w:p w:rsidR="00000000" w:rsidP="002E6FEC">
            <w:pPr>
              <w:pStyle w:val="ListBullet"/>
              <w:rPr>
                <w:lang w:val="en-NZ"/>
              </w:rPr>
            </w:pPr>
            <w:r w:rsidRPr="002E6FEC">
              <w:t xml:space="preserve">staining reactions involving </w:t>
            </w:r>
            <w:r w:rsidRPr="002E6FEC">
              <w:t>acid/base, redox, complex ion formation, solubility and equilibrium</w:t>
            </w:r>
          </w:p>
        </w:tc>
      </w:tr>
      <w:tr w:rsidTr="001B4CA1">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Techniques for preparation of samples</w:t>
            </w:r>
            <w:r w:rsidRPr="002E6FEC">
              <w:t xml:space="preserve"> </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Techniques for preparation of samples may include:</w:t>
            </w:r>
          </w:p>
          <w:p w:rsidR="00000000" w:rsidRPr="002E6FEC" w:rsidP="002E6FEC">
            <w:pPr>
              <w:pStyle w:val="ListBullet"/>
            </w:pPr>
            <w:r w:rsidRPr="002E6FEC">
              <w:t>dissection, such as preparation of thymus extracts from mice</w:t>
            </w:r>
          </w:p>
          <w:p w:rsidR="00000000" w:rsidRPr="002E6FEC" w:rsidP="002E6FEC">
            <w:pPr>
              <w:pStyle w:val="ListBullet"/>
            </w:pPr>
            <w:r w:rsidRPr="002E6FEC">
              <w:t>extraction (e.g. solvent extraction</w:t>
            </w:r>
            <w:r w:rsidRPr="002E6FEC">
              <w:t xml:space="preserve">) </w:t>
            </w:r>
          </w:p>
          <w:p w:rsidR="00000000" w:rsidRPr="002E6FEC" w:rsidP="002E6FEC">
            <w:pPr>
              <w:pStyle w:val="ListBullet"/>
            </w:pPr>
            <w:r w:rsidRPr="002E6FEC">
              <w:t>filtration (e.g. filter water samples and plate the sediment onto agar plates for incubation and growth of E. coli)</w:t>
            </w:r>
          </w:p>
          <w:p w:rsidR="00000000" w:rsidRPr="002E6FEC" w:rsidP="002E6FEC">
            <w:pPr>
              <w:pStyle w:val="ListBullet"/>
            </w:pPr>
            <w:r w:rsidRPr="002E6FEC">
              <w:t>separation (e.g. dialysis)</w:t>
            </w:r>
          </w:p>
          <w:p w:rsidR="00000000" w:rsidRPr="002E6FEC" w:rsidP="002E6FEC">
            <w:pPr>
              <w:pStyle w:val="ListBullet"/>
            </w:pPr>
            <w:r w:rsidRPr="002E6FEC">
              <w:t>precipitation and flocculation</w:t>
            </w:r>
          </w:p>
          <w:p w:rsidR="00000000" w:rsidRPr="002E6FEC" w:rsidP="002E6FEC">
            <w:pPr>
              <w:pStyle w:val="ListBullet"/>
            </w:pPr>
            <w:r w:rsidRPr="002E6FEC">
              <w:t>centrifugation (excluding ultra centrifugation)</w:t>
            </w:r>
          </w:p>
          <w:p w:rsidR="00000000" w:rsidRPr="002E6FEC" w:rsidP="002E6FEC">
            <w:pPr>
              <w:pStyle w:val="ListBullet"/>
            </w:pPr>
            <w:r w:rsidRPr="002E6FEC">
              <w:t>chromatography:</w:t>
            </w:r>
          </w:p>
          <w:p w:rsidR="00000000" w:rsidRPr="002E6FEC" w:rsidP="002E6FEC">
            <w:pPr>
              <w:pStyle w:val="ListBullet2"/>
            </w:pPr>
            <w:r w:rsidRPr="002E6FEC">
              <w:t>gel filtration chromatography (e.g. crude purification of proteins)</w:t>
            </w:r>
          </w:p>
          <w:p w:rsidR="00000000" w:rsidRPr="002E6FEC" w:rsidP="002E6FEC">
            <w:pPr>
              <w:pStyle w:val="ListBullet2"/>
            </w:pPr>
            <w:r w:rsidRPr="002E6FEC">
              <w:t>affinity chromatography (e.g. purification of immunoglobulins)</w:t>
            </w:r>
          </w:p>
          <w:p w:rsidR="00000000" w:rsidRPr="002E6FEC" w:rsidP="002E6FEC">
            <w:pPr>
              <w:pStyle w:val="ListBullet"/>
            </w:pPr>
            <w:r w:rsidRPr="002E6FEC">
              <w:t>electrophoresis:</w:t>
            </w:r>
          </w:p>
          <w:p w:rsidR="00000000" w:rsidRPr="002E6FEC" w:rsidP="002E6FEC">
            <w:pPr>
              <w:pStyle w:val="ListBullet2"/>
            </w:pPr>
            <w:r w:rsidRPr="002E6FEC">
              <w:t>polyacrylamide gel electrophoresis for separation of DNA segments</w:t>
            </w:r>
          </w:p>
          <w:p w:rsidR="00000000" w:rsidRPr="002E6FEC" w:rsidP="002E6FEC">
            <w:pPr>
              <w:pStyle w:val="ListBullet2"/>
            </w:pPr>
            <w:r w:rsidRPr="002E6FEC">
              <w:t>agarose gel electrophoresis</w:t>
            </w:r>
          </w:p>
          <w:p w:rsidR="00000000" w:rsidRPr="002E6FEC" w:rsidP="002E6FEC">
            <w:pPr>
              <w:pStyle w:val="ListBullet2"/>
            </w:pPr>
            <w:r w:rsidRPr="002E6FEC">
              <w:t>capillary el</w:t>
            </w:r>
            <w:r w:rsidRPr="002E6FEC">
              <w:t>ectrophoresis</w:t>
            </w:r>
          </w:p>
          <w:p w:rsidR="00000000" w:rsidP="002E6FEC">
            <w:pPr>
              <w:pStyle w:val="ListBullet2"/>
              <w:rPr>
                <w:lang w:val="en-NZ"/>
              </w:rPr>
            </w:pPr>
            <w:r w:rsidRPr="002E6FEC">
              <w:t>gradient gel electrophoresis</w:t>
            </w:r>
          </w:p>
        </w:tc>
      </w:tr>
      <w:tr w:rsidTr="001B4CA1">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Techniques to classify cells or species</w:t>
            </w:r>
            <w:r w:rsidRPr="002E6FEC">
              <w:t xml:space="preserve"> </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Techniques to classify cells or species may include:</w:t>
            </w:r>
          </w:p>
          <w:p w:rsidR="00000000" w:rsidRPr="002E6FEC" w:rsidP="002E6FEC">
            <w:pPr>
              <w:pStyle w:val="ListBullet"/>
            </w:pPr>
            <w:r w:rsidRPr="002E6FEC">
              <w:t xml:space="preserve">classification of species according to taxa </w:t>
            </w:r>
          </w:p>
          <w:p w:rsidR="00000000" w:rsidRPr="002E6FEC" w:rsidP="002E6FEC">
            <w:pPr>
              <w:pStyle w:val="ListBullet"/>
            </w:pPr>
            <w:r w:rsidRPr="002E6FEC">
              <w:t>classification of cells according to microscopic or staining characteristics</w:t>
            </w:r>
          </w:p>
          <w:p w:rsidR="00000000" w:rsidRPr="002E6FEC" w:rsidP="002E6FEC">
            <w:pPr>
              <w:pStyle w:val="ListBullet"/>
            </w:pPr>
            <w:r w:rsidRPr="002E6FEC">
              <w:t>characteristics of bacterial colonies:</w:t>
            </w:r>
          </w:p>
          <w:p w:rsidR="00000000" w:rsidRPr="002E6FEC" w:rsidP="002E6FEC">
            <w:pPr>
              <w:pStyle w:val="ListBullet2"/>
            </w:pPr>
            <w:r w:rsidRPr="002E6FEC">
              <w:t>growth on differential media</w:t>
            </w:r>
          </w:p>
          <w:p w:rsidR="00000000" w:rsidRPr="002E6FEC" w:rsidP="002E6FEC">
            <w:pPr>
              <w:pStyle w:val="ListBullet2"/>
            </w:pPr>
            <w:r w:rsidRPr="002E6FEC">
              <w:t>colony morphology (size and shape)</w:t>
            </w:r>
          </w:p>
          <w:p w:rsidR="00000000" w:rsidP="002E6FEC">
            <w:pPr>
              <w:pStyle w:val="ListBullet2"/>
              <w:rPr>
                <w:lang w:val="en-NZ"/>
              </w:rPr>
            </w:pPr>
            <w:r w:rsidRPr="002E6FEC">
              <w:t>biochemical reactions, such as miniaturised test strips, redox reactions and sugar tests</w:t>
            </w:r>
          </w:p>
        </w:tc>
      </w:tr>
      <w:tr w:rsidTr="001B4CA1">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Techniques to analyse chemical and biological characteristics</w:t>
            </w:r>
            <w:r w:rsidRPr="002E6FEC">
              <w:t xml:space="preserve"> </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Techniques to analyse chemical and biological characteristics may include:</w:t>
            </w:r>
          </w:p>
          <w:p w:rsidR="00000000" w:rsidRPr="002E6FEC" w:rsidP="002E6FEC">
            <w:pPr>
              <w:pStyle w:val="ListBullet"/>
            </w:pPr>
            <w:r w:rsidRPr="002E6FEC">
              <w:t>staining:</w:t>
            </w:r>
          </w:p>
          <w:p w:rsidR="00000000" w:rsidRPr="002E6FEC" w:rsidP="002E6FEC">
            <w:pPr>
              <w:pStyle w:val="ListBullet2"/>
            </w:pPr>
            <w:r w:rsidRPr="002E6FEC">
              <w:t>Gram stain for gram negative and positive bacteria</w:t>
            </w:r>
          </w:p>
          <w:p w:rsidR="00000000" w:rsidRPr="002E6FEC" w:rsidP="002E6FEC">
            <w:pPr>
              <w:pStyle w:val="ListBullet2"/>
            </w:pPr>
            <w:r w:rsidRPr="002E6FEC">
              <w:t>Romanowsky stain for blood films</w:t>
            </w:r>
          </w:p>
          <w:p w:rsidR="00000000" w:rsidRPr="002E6FEC" w:rsidP="002E6FEC">
            <w:pPr>
              <w:pStyle w:val="ListBullet2"/>
            </w:pPr>
            <w:r w:rsidRPr="002E6FEC">
              <w:t>Haematoxylin and Eosin for tissue sections</w:t>
            </w:r>
          </w:p>
          <w:p w:rsidR="00000000" w:rsidRPr="002E6FEC" w:rsidP="002E6FEC">
            <w:pPr>
              <w:pStyle w:val="ListBullet2"/>
            </w:pPr>
            <w:r w:rsidRPr="002E6FEC">
              <w:t>Oil red O for fatty cellular inclusions</w:t>
            </w:r>
          </w:p>
          <w:p w:rsidR="00000000" w:rsidRPr="002E6FEC" w:rsidP="002E6FEC">
            <w:pPr>
              <w:pStyle w:val="ListBullet2"/>
            </w:pPr>
            <w:r w:rsidRPr="002E6FEC">
              <w:t>spore staining</w:t>
            </w:r>
          </w:p>
          <w:p w:rsidR="00000000" w:rsidRPr="002E6FEC" w:rsidP="002E6FEC">
            <w:pPr>
              <w:pStyle w:val="ListBullet2"/>
            </w:pPr>
            <w:r w:rsidRPr="002E6FEC">
              <w:t>flagella staining</w:t>
            </w:r>
          </w:p>
          <w:p w:rsidR="00000000" w:rsidRPr="002E6FEC" w:rsidP="002E6FEC">
            <w:pPr>
              <w:pStyle w:val="ListBullet"/>
            </w:pPr>
            <w:r w:rsidRPr="002E6FEC">
              <w:t>microscopic examination:</w:t>
            </w:r>
          </w:p>
          <w:p w:rsidR="00000000" w:rsidRPr="002E6FEC" w:rsidP="002E6FEC">
            <w:pPr>
              <w:pStyle w:val="ListBullet2"/>
            </w:pPr>
            <w:r w:rsidRPr="002E6FEC">
              <w:t>light</w:t>
            </w:r>
          </w:p>
          <w:p w:rsidR="00000000" w:rsidRPr="002E6FEC" w:rsidP="002E6FEC">
            <w:pPr>
              <w:pStyle w:val="ListBullet2"/>
            </w:pPr>
            <w:r w:rsidRPr="002E6FEC">
              <w:t>phase contrast</w:t>
            </w:r>
          </w:p>
          <w:p w:rsidR="00000000" w:rsidRPr="002E6FEC" w:rsidP="002E6FEC">
            <w:pPr>
              <w:pStyle w:val="ListBullet2"/>
            </w:pPr>
            <w:r w:rsidRPr="002E6FEC">
              <w:t>bright f</w:t>
            </w:r>
            <w:r w:rsidRPr="002E6FEC">
              <w:t>ield</w:t>
            </w:r>
          </w:p>
          <w:p w:rsidR="00000000" w:rsidRPr="002E6FEC" w:rsidP="002E6FEC">
            <w:pPr>
              <w:pStyle w:val="ListBullet2"/>
            </w:pPr>
            <w:r w:rsidRPr="002E6FEC">
              <w:t>dark ground</w:t>
            </w:r>
          </w:p>
          <w:p w:rsidR="00000000" w:rsidRPr="002E6FEC" w:rsidP="002E6FEC">
            <w:pPr>
              <w:pStyle w:val="ListBullet2"/>
            </w:pPr>
            <w:r w:rsidRPr="002E6FEC">
              <w:t>enumeration</w:t>
            </w:r>
          </w:p>
          <w:p w:rsidR="00000000" w:rsidRPr="002E6FEC" w:rsidP="002E6FEC">
            <w:pPr>
              <w:pStyle w:val="ListBullet"/>
            </w:pPr>
            <w:r w:rsidRPr="002E6FEC">
              <w:t>colorimetry and spectrophotometry:</w:t>
            </w:r>
          </w:p>
          <w:p w:rsidR="00000000" w:rsidRPr="002E6FEC" w:rsidP="002E6FEC">
            <w:pPr>
              <w:pStyle w:val="ListBullet2"/>
            </w:pPr>
            <w:r w:rsidRPr="002E6FEC">
              <w:t>ultraviolet/visible</w:t>
            </w:r>
          </w:p>
          <w:p w:rsidR="00000000" w:rsidRPr="002E6FEC" w:rsidP="002E6FEC">
            <w:pPr>
              <w:pStyle w:val="ListBullet2"/>
            </w:pPr>
            <w:r w:rsidRPr="002E6FEC">
              <w:t>fluorimetric</w:t>
            </w:r>
          </w:p>
          <w:p w:rsidR="00000000" w:rsidRPr="002E6FEC" w:rsidP="002E6FEC">
            <w:pPr>
              <w:pStyle w:val="ListBullet2"/>
            </w:pPr>
            <w:r w:rsidRPr="002E6FEC">
              <w:t>infrared</w:t>
            </w:r>
          </w:p>
          <w:p w:rsidR="00000000" w:rsidRPr="002E6FEC" w:rsidP="002E6FEC">
            <w:pPr>
              <w:pStyle w:val="ListBullet2"/>
            </w:pPr>
            <w:r w:rsidRPr="002E6FEC">
              <w:t xml:space="preserve">flame emission </w:t>
            </w:r>
          </w:p>
          <w:p w:rsidR="00000000" w:rsidRPr="002E6FEC" w:rsidP="002E6FEC">
            <w:pPr>
              <w:pStyle w:val="ListBullet2"/>
            </w:pPr>
            <w:r w:rsidRPr="002E6FEC">
              <w:t>atomic absorption spectrometry</w:t>
            </w:r>
          </w:p>
          <w:p w:rsidR="00000000" w:rsidRPr="002E6FEC" w:rsidP="002E6FEC">
            <w:pPr>
              <w:pStyle w:val="ListBullet"/>
            </w:pPr>
            <w:r w:rsidRPr="002E6FEC">
              <w:t xml:space="preserve">electrochemistry: </w:t>
            </w:r>
          </w:p>
          <w:p w:rsidR="00000000" w:rsidRPr="002E6FEC" w:rsidP="002E6FEC">
            <w:pPr>
              <w:pStyle w:val="ListBullet2"/>
            </w:pPr>
            <w:r w:rsidRPr="002E6FEC">
              <w:t>pH</w:t>
            </w:r>
          </w:p>
          <w:p w:rsidR="00000000" w:rsidRPr="002E6FEC" w:rsidP="002E6FEC">
            <w:pPr>
              <w:pStyle w:val="ListBullet2"/>
            </w:pPr>
            <w:r w:rsidRPr="002E6FEC">
              <w:t xml:space="preserve">ion selective electrodes and polarography (e.g. concentration of chloride ions) </w:t>
            </w:r>
          </w:p>
          <w:p w:rsidR="00000000" w:rsidRPr="002E6FEC" w:rsidP="002E6FEC">
            <w:pPr>
              <w:pStyle w:val="ListBullet"/>
            </w:pPr>
            <w:r w:rsidRPr="002E6FEC">
              <w:t xml:space="preserve">chromatography: </w:t>
            </w:r>
          </w:p>
          <w:p w:rsidR="00000000" w:rsidRPr="002E6FEC" w:rsidP="002E6FEC">
            <w:pPr>
              <w:pStyle w:val="ListBullet2"/>
            </w:pPr>
            <w:r w:rsidRPr="002E6FEC">
              <w:t>column and thin layer analytical and preparative chromatography</w:t>
            </w:r>
          </w:p>
          <w:p w:rsidR="00000000" w:rsidP="002E6FEC">
            <w:pPr>
              <w:pStyle w:val="ListBullet2"/>
              <w:rPr>
                <w:lang w:val="en-NZ"/>
              </w:rPr>
            </w:pPr>
            <w:r w:rsidRPr="002E6FEC">
              <w:t>gas and liquid chromatography for purity, raw material and formulation checks</w:t>
            </w:r>
          </w:p>
        </w:tc>
      </w:tr>
      <w:tr w:rsidTr="001B4CA1">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Hazards</w:t>
            </w:r>
            <w:r w:rsidRPr="002E6FEC">
              <w:t xml:space="preserve"> </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Hazards may include:</w:t>
            </w:r>
          </w:p>
          <w:p w:rsidR="00000000" w:rsidRPr="002E6FEC" w:rsidP="002E6FEC">
            <w:pPr>
              <w:pStyle w:val="ListBullet"/>
            </w:pPr>
            <w:r w:rsidRPr="002E6FEC">
              <w:t>microbiological organisms and agents, associated with soil, air, water, blood and blood products, and human or animal tissue and fluids</w:t>
            </w:r>
          </w:p>
          <w:p w:rsidR="00000000" w:rsidRPr="002E6FEC" w:rsidP="002E6FEC">
            <w:pPr>
              <w:pStyle w:val="ListBullet"/>
            </w:pPr>
            <w:r w:rsidRPr="002E6FEC">
              <w:t>chemicals, such as acids, solvents and stains</w:t>
            </w:r>
          </w:p>
          <w:p w:rsidR="00000000" w:rsidRPr="002E6FEC" w:rsidP="002E6FEC">
            <w:pPr>
              <w:pStyle w:val="ListBullet"/>
            </w:pPr>
            <w:r w:rsidRPr="002E6FEC">
              <w:t>aerosols from broken centrifuge tubes and pipetting</w:t>
            </w:r>
          </w:p>
          <w:p w:rsidR="00000000" w:rsidRPr="002E6FEC" w:rsidP="002E6FEC">
            <w:pPr>
              <w:pStyle w:val="ListBullet"/>
            </w:pPr>
            <w:r w:rsidRPr="002E6FEC">
              <w:t>sharps and broken glassware</w:t>
            </w:r>
          </w:p>
          <w:p w:rsidR="00000000" w:rsidRPr="002E6FEC" w:rsidP="002E6FEC">
            <w:pPr>
              <w:pStyle w:val="ListBullet"/>
            </w:pPr>
            <w:r w:rsidRPr="002E6FEC">
              <w:t>flammable liquids and gases</w:t>
            </w:r>
          </w:p>
          <w:p w:rsidR="00000000" w:rsidRPr="002E6FEC" w:rsidP="002E6FEC">
            <w:pPr>
              <w:pStyle w:val="ListBullet"/>
            </w:pPr>
            <w:r w:rsidRPr="002E6FEC">
              <w:t>cryogenics, such as dry ice and liquid nitrogen</w:t>
            </w:r>
          </w:p>
          <w:p w:rsidR="00000000" w:rsidRPr="002E6FEC" w:rsidP="002E6FEC">
            <w:pPr>
              <w:pStyle w:val="ListBullet"/>
            </w:pPr>
            <w:r w:rsidRPr="002E6FEC">
              <w:t>fluids under pressure, such as steam, hydrogen in gas liquid chromatography and acetylene in atomic absorption spectrometry</w:t>
            </w:r>
          </w:p>
          <w:p w:rsidR="00000000" w:rsidRPr="002E6FEC" w:rsidP="002E6FEC">
            <w:pPr>
              <w:pStyle w:val="ListBullet"/>
            </w:pPr>
            <w:r w:rsidRPr="002E6FEC">
              <w:t>sources of ignition</w:t>
            </w:r>
          </w:p>
          <w:p w:rsidR="00000000" w:rsidP="002E6FEC">
            <w:pPr>
              <w:pStyle w:val="ListBullet"/>
              <w:rPr>
                <w:lang w:val="en-NZ"/>
              </w:rPr>
            </w:pPr>
            <w:r w:rsidRPr="002E6FEC">
              <w:t>disturba</w:t>
            </w:r>
            <w:r w:rsidRPr="002E6FEC">
              <w:t>nce or interruption of services</w:t>
            </w:r>
          </w:p>
        </w:tc>
      </w:tr>
      <w:tr w:rsidTr="001B4CA1">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Hazard control measures</w:t>
            </w:r>
            <w:r w:rsidRPr="002E6FEC">
              <w:t xml:space="preserve"> </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Hazard control measures may include:</w:t>
            </w:r>
          </w:p>
          <w:p w:rsidR="00000000" w:rsidRPr="002E6FEC" w:rsidP="002E6FEC">
            <w:pPr>
              <w:pStyle w:val="ListBullet"/>
            </w:pPr>
            <w:r w:rsidRPr="002E6FEC">
              <w:t>ensuring access to service shut-off points</w:t>
            </w:r>
          </w:p>
          <w:p w:rsidR="00000000" w:rsidRPr="002E6FEC" w:rsidP="002E6FEC">
            <w:pPr>
              <w:pStyle w:val="ListBullet"/>
            </w:pPr>
            <w:r w:rsidRPr="002E6FEC">
              <w:t>recognising and observing hazard warnings and safety signs</w:t>
            </w:r>
          </w:p>
          <w:p w:rsidR="00000000" w:rsidRPr="002E6FEC" w:rsidP="002E6FEC">
            <w:pPr>
              <w:pStyle w:val="ListBullet"/>
            </w:pPr>
            <w:r w:rsidRPr="002E6FEC">
              <w:t>labelling of samples, reagents, aliquoted samples and hazardous materials</w:t>
            </w:r>
          </w:p>
          <w:p w:rsidR="00000000" w:rsidRPr="002E6FEC" w:rsidP="002E6FEC">
            <w:pPr>
              <w:pStyle w:val="ListBullet"/>
            </w:pPr>
            <w:r w:rsidRPr="002E6FEC">
              <w:t>handling and storage of hazardous materials and equipment in accordance with labelling, MSDS and manufacturer's instructions</w:t>
            </w:r>
          </w:p>
          <w:p w:rsidR="00000000" w:rsidRPr="002E6FEC" w:rsidP="002E6FEC">
            <w:pPr>
              <w:pStyle w:val="ListBullet"/>
            </w:pPr>
            <w:r w:rsidRPr="002E6FEC">
              <w:t>identifying and reporting operating problems or equipment</w:t>
            </w:r>
            <w:r w:rsidRPr="002E6FEC">
              <w:t xml:space="preserve"> malfunctions</w:t>
            </w:r>
          </w:p>
          <w:p w:rsidR="00000000" w:rsidRPr="002E6FEC" w:rsidP="002E6FEC">
            <w:pPr>
              <w:pStyle w:val="ListBullet"/>
            </w:pPr>
            <w:r w:rsidRPr="002E6FEC">
              <w:t>cleaning and decontaminating equipment and work areas regularly using enterprise procedures</w:t>
            </w:r>
          </w:p>
          <w:p w:rsidR="00000000" w:rsidRPr="002E6FEC" w:rsidP="002E6FEC">
            <w:pPr>
              <w:pStyle w:val="ListBullet"/>
            </w:pPr>
            <w:r w:rsidRPr="002E6FEC">
              <w:t>using personal protective clothing and equipment, such as gloves, safety glasses, coveralls and gowns</w:t>
            </w:r>
          </w:p>
          <w:p w:rsidR="00000000" w:rsidRPr="002E6FEC" w:rsidP="002E6FEC">
            <w:pPr>
              <w:pStyle w:val="ListBullet"/>
            </w:pPr>
            <w:r w:rsidRPr="002E6FEC">
              <w:t>using containment facilities (PCII, PCIII and PC</w:t>
            </w:r>
            <w:r w:rsidRPr="002E6FEC">
              <w:t>IV physical containment laboratories), containment equipment (biohazard containers, laminar flow cabinets, Class I, II and III biohazard cabinets) and containment procedures</w:t>
            </w:r>
          </w:p>
          <w:p w:rsidR="00000000" w:rsidRPr="002E6FEC" w:rsidP="002E6FEC">
            <w:pPr>
              <w:pStyle w:val="ListBullet"/>
            </w:pPr>
            <w:r w:rsidRPr="002E6FEC">
              <w:t>following established manual handling procedures</w:t>
            </w:r>
          </w:p>
          <w:p w:rsidR="00000000" w:rsidP="002E6FEC">
            <w:pPr>
              <w:pStyle w:val="ListBullet"/>
              <w:rPr>
                <w:lang w:val="en-NZ"/>
              </w:rPr>
            </w:pPr>
            <w:r w:rsidRPr="002E6FEC">
              <w:t>reporting abnormal emissions, dis</w:t>
            </w:r>
            <w:r w:rsidRPr="002E6FEC">
              <w:t>charges and airborne contaminants, such as noise, light, solids, liquids, water/waste water, gases, smoke, vapour, fumes, odour and particulates to appropriate personnel</w:t>
            </w:r>
          </w:p>
        </w:tc>
      </w:tr>
      <w:tr w:rsidTr="001B4CA1">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Disposal of biohazardous wastes</w:t>
            </w:r>
            <w:r w:rsidRPr="002E6FEC">
              <w:t xml:space="preserve"> </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Disposal of biohazardous wastes may include:</w:t>
            </w:r>
          </w:p>
          <w:p w:rsidR="00000000" w:rsidRPr="002E6FEC" w:rsidP="002E6FEC">
            <w:pPr>
              <w:pStyle w:val="ListBullet"/>
            </w:pPr>
            <w:r w:rsidRPr="002E6FEC">
              <w:t>collec</w:t>
            </w:r>
            <w:r w:rsidRPr="002E6FEC">
              <w:t>tion for sterilisation by autoclaving (e.g. autoclaving of microbiological plates)</w:t>
            </w:r>
          </w:p>
          <w:p w:rsidR="00000000" w:rsidRPr="002E6FEC" w:rsidP="002E6FEC">
            <w:pPr>
              <w:pStyle w:val="ListBullet"/>
            </w:pPr>
            <w:r w:rsidRPr="002E6FEC">
              <w:t>appropriate storage (e.g. of waste containing radioactive isotopes)</w:t>
            </w:r>
          </w:p>
          <w:p w:rsidR="00000000" w:rsidP="002E6FEC">
            <w:pPr>
              <w:pStyle w:val="ListBullet"/>
              <w:rPr>
                <w:lang w:val="en-NZ"/>
              </w:rPr>
            </w:pPr>
            <w:r w:rsidRPr="002E6FEC">
              <w:t>use of biohazard waste containers</w:t>
            </w:r>
          </w:p>
        </w:tc>
      </w:tr>
      <w:tr w:rsidTr="001B4CA1">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Records</w:t>
            </w:r>
            <w:r w:rsidRPr="002E6FEC">
              <w:t xml:space="preserve"> </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Records may include:</w:t>
            </w:r>
          </w:p>
          <w:p w:rsidR="00000000" w:rsidRPr="002E6FEC" w:rsidP="002E6FEC">
            <w:pPr>
              <w:pStyle w:val="ListBullet"/>
            </w:pPr>
            <w:r w:rsidRPr="002E6FEC">
              <w:t>test calibration results</w:t>
            </w:r>
          </w:p>
          <w:p w:rsidR="00000000" w:rsidRPr="002E6FEC" w:rsidP="002E6FEC">
            <w:pPr>
              <w:pStyle w:val="ListBullet"/>
            </w:pPr>
            <w:r w:rsidRPr="002E6FEC">
              <w:t>equipment use, maintenance and servicing history</w:t>
            </w:r>
          </w:p>
          <w:p w:rsidR="00000000" w:rsidRPr="002E6FEC" w:rsidP="002E6FEC">
            <w:pPr>
              <w:pStyle w:val="ListBullet"/>
            </w:pPr>
            <w:r w:rsidRPr="002E6FEC">
              <w:t>faulty or unsafe equipment</w:t>
            </w:r>
          </w:p>
          <w:p w:rsidR="00000000" w:rsidP="002E6FEC">
            <w:pPr>
              <w:pStyle w:val="ListBullet"/>
              <w:rPr>
                <w:lang w:val="en-NZ"/>
              </w:rPr>
            </w:pPr>
            <w:r w:rsidRPr="002E6FEC">
              <w:t>batch number, catalogue number and use by date for analytical kits</w:t>
            </w:r>
          </w:p>
        </w:tc>
      </w:tr>
      <w:tr w:rsidTr="001B4CA1">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Occupational health and safety</w:t>
            </w:r>
            <w:r w:rsidRPr="002E6FEC">
              <w:t xml:space="preserve"> (</w:t>
            </w:r>
            <w:r w:rsidRPr="002E6FEC">
              <w:rPr>
                <w:rStyle w:val="SpecialBold"/>
              </w:rPr>
              <w:t>OHS</w:t>
            </w:r>
            <w:r w:rsidRPr="002E6FEC">
              <w:t xml:space="preserve">) </w:t>
            </w:r>
            <w:r w:rsidRPr="002E6FEC">
              <w:rPr>
                <w:rStyle w:val="SpecialBold"/>
              </w:rPr>
              <w:t>and environmental management requirements</w:t>
            </w:r>
            <w:r w:rsidRPr="002E6FEC">
              <w:t xml:space="preserve"> </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OHS and environmental management</w:t>
            </w:r>
            <w:r w:rsidRPr="002E6FEC">
              <w:t xml:space="preserve"> requirements:</w:t>
            </w:r>
          </w:p>
          <w:p w:rsidR="00000000" w:rsidRPr="002E6FEC" w:rsidP="002E6FEC">
            <w:pPr>
              <w:pStyle w:val="ListBullet"/>
            </w:pPr>
            <w:r w:rsidRPr="002E6FEC">
              <w:t>all operations must comply with enterprise OHS and environmental management requirements, which may be imposed through state/territory or federal legislation - these requirements must not be compromised at any time</w:t>
            </w:r>
          </w:p>
          <w:p w:rsidR="00000000" w:rsidRPr="002E6FEC" w:rsidP="002E6FEC">
            <w:pPr>
              <w:pStyle w:val="ListBullet"/>
            </w:pPr>
            <w:r w:rsidRPr="002E6FEC">
              <w:t>all operations assume the</w:t>
            </w:r>
            <w:r w:rsidRPr="002E6FEC">
              <w:t xml:space="preserve"> potentially hazardous nature of samples and require standard precautions to be applied</w:t>
            </w:r>
          </w:p>
          <w:p w:rsidR="00000000" w:rsidRPr="002E6FEC" w:rsidP="002E6FEC">
            <w:pPr>
              <w:pStyle w:val="ListBullet"/>
            </w:pPr>
            <w:r w:rsidRPr="002E6FEC">
              <w:t>where relevant, users should access and apply current industry understanding of infection control issued by the National Health and Medical Research Council (NHMRC) and</w:t>
            </w:r>
            <w:r w:rsidRPr="002E6FEC">
              <w:t xml:space="preserve"> State and Territory Departments of Health</w:t>
            </w:r>
          </w:p>
        </w:tc>
      </w:tr>
    </w:tbl>
    <w:p w:rsidR="001B4CA1" w:rsidP="002E6FEC">
      <w:pPr>
        <w:pStyle w:val="BodyText"/>
      </w:pPr>
    </w:p>
    <w:p w:rsidR="001B4CA1" w:rsidP="002E6FEC">
      <w:pPr>
        <w:pStyle w:val="BodyText"/>
      </w:pPr>
    </w:p>
    <w:p w:rsidR="00000000" w:rsidRPr="002E6FEC" w:rsidP="002E6FEC">
      <w:pPr>
        <w:pStyle w:val="Heading1"/>
      </w:pPr>
      <w:bookmarkStart w:id="12" w:name="O_103394"/>
      <w:bookmarkEnd w:id="12"/>
      <w:r w:rsidRPr="002E6FEC">
        <w:t>Unit Sector(s)</w:t>
      </w:r>
    </w:p>
    <w:tbl>
      <w:tblPr>
        <w:tblW w:w="0" w:type="auto"/>
        <w:tblLayout w:type="fixed"/>
        <w:tblCellMar>
          <w:left w:w="62" w:type="dxa"/>
          <w:right w:w="62" w:type="dxa"/>
        </w:tblCellMar>
        <w:tblLook w:val="0000"/>
      </w:tblPr>
      <w:tblGrid>
        <w:gridCol w:w="2619"/>
        <w:gridCol w:w="5903"/>
      </w:tblGrid>
      <w:tr w:rsidTr="001B4CA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r w:rsidRPr="002E6FEC">
              <w:t>Testing</w:t>
            </w:r>
          </w:p>
        </w:tc>
      </w:tr>
    </w:tbl>
    <w:p w:rsidR="00000000" w:rsidRPr="002E6FEC" w:rsidP="002E6FEC">
      <w:pPr>
        <w:pStyle w:val="BodyText"/>
      </w:pPr>
    </w:p>
    <w:p w:rsidR="00000000" w:rsidRPr="002E6FEC" w:rsidP="002E6FEC">
      <w:pPr>
        <w:pStyle w:val="AllowPageBreak"/>
      </w:pPr>
    </w:p>
    <w:p w:rsidR="00000000" w:rsidRPr="002E6FEC" w:rsidP="002E6FEC">
      <w:pPr>
        <w:pStyle w:val="Heading1"/>
      </w:pPr>
      <w:bookmarkStart w:id="13" w:name="O_159546"/>
      <w:bookmarkEnd w:id="13"/>
      <w:r w:rsidRPr="002E6FEC">
        <w:t>Competency field</w:t>
      </w:r>
    </w:p>
    <w:tbl>
      <w:tblPr>
        <w:tblW w:w="0" w:type="auto"/>
        <w:tblLayout w:type="fixed"/>
        <w:tblCellMar>
          <w:left w:w="62" w:type="dxa"/>
          <w:right w:w="62" w:type="dxa"/>
        </w:tblCellMar>
        <w:tblLook w:val="0000"/>
      </w:tblPr>
      <w:tblGrid>
        <w:gridCol w:w="2784"/>
        <w:gridCol w:w="5738"/>
      </w:tblGrid>
      <w:tr w:rsidTr="001B4CA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p>
        </w:tc>
      </w:tr>
    </w:tbl>
    <w:p w:rsidR="00000000" w:rsidRPr="002E6FEC" w:rsidP="002E6FEC">
      <w:pPr>
        <w:pStyle w:val="BodyText"/>
      </w:pPr>
    </w:p>
    <w:p w:rsidR="00000000" w:rsidRPr="002E6FEC" w:rsidP="002E6FEC">
      <w:pPr>
        <w:pStyle w:val="AllowPageBreak"/>
      </w:pPr>
    </w:p>
    <w:p w:rsidR="00000000" w:rsidRPr="002E6FEC" w:rsidP="002E6FEC">
      <w:pPr>
        <w:pStyle w:val="Heading1"/>
      </w:pPr>
      <w:bookmarkStart w:id="14" w:name="O_159545"/>
      <w:bookmarkEnd w:id="14"/>
      <w:r w:rsidRPr="002E6FEC">
        <w:t>Co-requisite units</w:t>
      </w:r>
    </w:p>
    <w:tbl>
      <w:tblPr>
        <w:tblW w:w="0" w:type="auto"/>
        <w:tblLayout w:type="fixed"/>
        <w:tblCellMar>
          <w:left w:w="62" w:type="dxa"/>
          <w:right w:w="62" w:type="dxa"/>
        </w:tblCellMar>
        <w:tblLook w:val="0000"/>
      </w:tblPr>
      <w:tblGrid>
        <w:gridCol w:w="2641"/>
        <w:gridCol w:w="1322"/>
        <w:gridCol w:w="4559"/>
      </w:tblGrid>
      <w:tr w:rsidTr="001B4CA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r w:rsidRPr="002E6FE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p>
        </w:tc>
      </w:tr>
      <w:tr w:rsidTr="001B4C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EC">
            <w:pPr>
              <w:pStyle w:val="BodyText"/>
              <w:rPr>
                <w:lang w:val="en-NZ"/>
              </w:rPr>
            </w:pPr>
          </w:p>
        </w:tc>
      </w:tr>
      <w:tr w:rsidTr="001B4C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EC" w:rsidP="002E6FEC">
            <w:pPr>
              <w:pStyle w:val="BodyText"/>
            </w:pPr>
          </w:p>
        </w:tc>
      </w:tr>
    </w:tbl>
    <w:p w:rsidR="00000000" w:rsidRPr="002E6FEC" w:rsidP="002E6FEC">
      <w:pPr>
        <w:pStyle w:val="BodyText"/>
      </w:pPr>
    </w:p>
    <w:p w:rsidR="00000000" w:rsidRPr="002E6FEC" w:rsidP="002E6FEC"/>
    <w:sectPr w:rsidSect="002E6F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F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CA1" w:rsidP="001B4C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F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A1" w:rsidP="002E6F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B4CA1" w:rsidP="002E6F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B4CA1" w:rsidP="002E6F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F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CA1" w:rsidP="001B4C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F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A1" w:rsidP="002E6FEC">
    <w:pPr>
      <w:pStyle w:val="Header"/>
      <w:framePr w:wrap="around"/>
    </w:pPr>
    <w:r>
      <w:fldChar w:fldCharType="begin"/>
    </w:r>
    <w:r>
      <w:instrText xml:space="preserve"> TITLE   \* MERGEFORMAT </w:instrText>
    </w:r>
    <w:r>
      <w:fldChar w:fldCharType="separate"/>
    </w:r>
    <w:r>
      <w:t>MSL974006A Perform biological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4CA1" w:rsidP="002E6F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2E4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B03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BA49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F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6FEC"/>
    <w:pPr>
      <w:spacing w:before="360" w:after="60"/>
      <w:outlineLvl w:val="0"/>
    </w:pPr>
    <w:rPr>
      <w:sz w:val="32"/>
    </w:rPr>
  </w:style>
  <w:style w:type="paragraph" w:styleId="Heading2">
    <w:name w:val="heading 2"/>
    <w:basedOn w:val="HeadingBase"/>
    <w:next w:val="BodyText"/>
    <w:link w:val="Heading2Char"/>
    <w:qFormat/>
    <w:rsid w:val="002E6FEC"/>
    <w:pPr>
      <w:keepLines/>
      <w:spacing w:before="240" w:after="120"/>
      <w:outlineLvl w:val="1"/>
    </w:pPr>
    <w:rPr>
      <w:sz w:val="28"/>
      <w:szCs w:val="40"/>
    </w:rPr>
  </w:style>
  <w:style w:type="paragraph" w:styleId="Heading3">
    <w:name w:val="heading 3"/>
    <w:basedOn w:val="HeadingBase"/>
    <w:next w:val="BodyText"/>
    <w:link w:val="Heading3Char"/>
    <w:qFormat/>
    <w:rsid w:val="002E6FEC"/>
    <w:pPr>
      <w:spacing w:before="180" w:after="120"/>
      <w:outlineLvl w:val="2"/>
    </w:pPr>
    <w:rPr>
      <w:spacing w:val="-10"/>
      <w:kern w:val="32"/>
    </w:rPr>
  </w:style>
  <w:style w:type="paragraph" w:styleId="Heading4">
    <w:name w:val="heading 4"/>
    <w:basedOn w:val="HeadingBase"/>
    <w:next w:val="BodyText"/>
    <w:link w:val="Heading4Char"/>
    <w:qFormat/>
    <w:rsid w:val="002E6FEC"/>
    <w:pPr>
      <w:spacing w:before="160" w:after="120"/>
      <w:outlineLvl w:val="3"/>
    </w:pPr>
    <w:rPr>
      <w:sz w:val="22"/>
    </w:rPr>
  </w:style>
  <w:style w:type="paragraph" w:styleId="Heading5">
    <w:name w:val="heading 5"/>
    <w:basedOn w:val="HeadingBase"/>
    <w:next w:val="Normal"/>
    <w:link w:val="Heading5Char"/>
    <w:qFormat/>
    <w:rsid w:val="002E6FEC"/>
    <w:pPr>
      <w:spacing w:before="80"/>
      <w:outlineLvl w:val="4"/>
    </w:pPr>
    <w:rPr>
      <w:color w:val="918585"/>
      <w:sz w:val="20"/>
    </w:rPr>
  </w:style>
  <w:style w:type="paragraph" w:styleId="Heading6">
    <w:name w:val="heading 6"/>
    <w:basedOn w:val="HeadingBase"/>
    <w:next w:val="Normal"/>
    <w:link w:val="Heading6Char"/>
    <w:qFormat/>
    <w:rsid w:val="002E6FEC"/>
    <w:pPr>
      <w:spacing w:before="60"/>
      <w:outlineLvl w:val="5"/>
    </w:pPr>
    <w:rPr>
      <w:color w:val="918585"/>
      <w:sz w:val="20"/>
    </w:rPr>
  </w:style>
  <w:style w:type="paragraph" w:styleId="Heading7">
    <w:name w:val="heading 7"/>
    <w:basedOn w:val="Normal"/>
    <w:next w:val="Normal"/>
    <w:link w:val="Heading7Char"/>
    <w:qFormat/>
    <w:rsid w:val="002E6FEC"/>
    <w:pPr>
      <w:ind w:left="720"/>
      <w:outlineLvl w:val="6"/>
    </w:pPr>
    <w:rPr>
      <w:i/>
    </w:rPr>
  </w:style>
  <w:style w:type="paragraph" w:styleId="Heading8">
    <w:name w:val="heading 8"/>
    <w:basedOn w:val="Normal"/>
    <w:next w:val="Normal"/>
    <w:link w:val="Heading8Char"/>
    <w:qFormat/>
    <w:rsid w:val="002E6FEC"/>
    <w:pPr>
      <w:ind w:left="720"/>
      <w:outlineLvl w:val="7"/>
    </w:pPr>
    <w:rPr>
      <w:i/>
    </w:rPr>
  </w:style>
  <w:style w:type="paragraph" w:styleId="Heading9">
    <w:name w:val="heading 9"/>
    <w:basedOn w:val="Normal"/>
    <w:next w:val="Normal"/>
    <w:link w:val="Heading9Char"/>
    <w:qFormat/>
    <w:rsid w:val="002E6FEC"/>
    <w:pPr>
      <w:ind w:left="720"/>
      <w:outlineLvl w:val="8"/>
    </w:pPr>
    <w:rPr>
      <w:i/>
    </w:rPr>
  </w:style>
  <w:style w:type="character" w:default="1" w:styleId="DefaultParagraphFont">
    <w:name w:val="Default Paragraph Font"/>
    <w:uiPriority w:val="1"/>
    <w:unhideWhenUsed/>
    <w:rsid w:val="002E6F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FEC"/>
  </w:style>
  <w:style w:type="character" w:customStyle="1" w:styleId="Heading1Char">
    <w:name w:val="Heading 1 Char"/>
    <w:basedOn w:val="DefaultParagraphFont"/>
    <w:link w:val="Heading1"/>
    <w:rsid w:val="002E6FEC"/>
    <w:rPr>
      <w:rFonts w:ascii="Times New Roman" w:eastAsia="Times New Roman" w:hAnsi="Times New Roman" w:cs="Times New Roman"/>
      <w:b/>
      <w:sz w:val="32"/>
      <w:szCs w:val="20"/>
      <w:lang w:eastAsia="en-US"/>
    </w:rPr>
  </w:style>
  <w:style w:type="paragraph" w:styleId="BodyText">
    <w:name w:val="Body Text"/>
    <w:basedOn w:val="Normal"/>
    <w:link w:val="BodyTextChar"/>
    <w:rsid w:val="002E6F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6FEC"/>
    <w:rPr>
      <w:rFonts w:ascii="Times New Roman" w:eastAsia="Times New Roman" w:hAnsi="Times New Roman" w:cs="Times New Roman"/>
      <w:sz w:val="24"/>
      <w:lang w:val="en-US" w:eastAsia="en-US"/>
    </w:rPr>
  </w:style>
  <w:style w:type="paragraph" w:styleId="Footer">
    <w:name w:val="footer"/>
    <w:basedOn w:val="Normal"/>
    <w:link w:val="FooterChar"/>
    <w:rsid w:val="002E6F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FEC"/>
    <w:rPr>
      <w:rFonts w:ascii="Times New Roman" w:eastAsia="Times New Roman" w:hAnsi="Times New Roman" w:cs="Times New Roman"/>
      <w:sz w:val="16"/>
      <w:lang w:val="en-US" w:eastAsia="en-US"/>
    </w:rPr>
  </w:style>
  <w:style w:type="paragraph" w:styleId="List">
    <w:name w:val="List"/>
    <w:basedOn w:val="BodyText"/>
    <w:next w:val="BodyText"/>
    <w:rsid w:val="002E6FEC"/>
    <w:pPr>
      <w:tabs>
        <w:tab w:val="left" w:pos="340"/>
      </w:tabs>
      <w:spacing w:before="60" w:after="60"/>
      <w:ind w:left="340" w:hanging="340"/>
    </w:pPr>
  </w:style>
  <w:style w:type="paragraph" w:styleId="ListBullet">
    <w:name w:val="List Bullet"/>
    <w:basedOn w:val="List"/>
    <w:rsid w:val="002E6FEC"/>
    <w:pPr>
      <w:numPr>
        <w:numId w:val="13"/>
      </w:numPr>
      <w:tabs>
        <w:tab w:val="clear" w:pos="340"/>
      </w:tabs>
      <w:spacing w:before="40" w:after="40"/>
    </w:pPr>
  </w:style>
  <w:style w:type="character" w:customStyle="1" w:styleId="SpecialBold">
    <w:name w:val="Special Bold"/>
    <w:basedOn w:val="DefaultParagraphFont"/>
    <w:rsid w:val="002E6FEC"/>
    <w:rPr>
      <w:b/>
      <w:spacing w:val="0"/>
    </w:rPr>
  </w:style>
  <w:style w:type="paragraph" w:styleId="ListBullet2">
    <w:name w:val="List Bullet 2"/>
    <w:basedOn w:val="List2"/>
    <w:rsid w:val="002E6FEC"/>
    <w:pPr>
      <w:numPr>
        <w:numId w:val="14"/>
      </w:numPr>
      <w:tabs>
        <w:tab w:val="clear" w:pos="680"/>
      </w:tabs>
    </w:pPr>
  </w:style>
  <w:style w:type="paragraph" w:styleId="Header">
    <w:name w:val="header"/>
    <w:basedOn w:val="Normal"/>
    <w:link w:val="HeaderChar"/>
    <w:rsid w:val="002E6F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FE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E6FEC"/>
    <w:rPr>
      <w:i/>
    </w:rPr>
  </w:style>
  <w:style w:type="paragraph" w:customStyle="1" w:styleId="SuperHeading">
    <w:name w:val="SuperHeading"/>
    <w:basedOn w:val="Normal"/>
    <w:rsid w:val="002E6FEC"/>
    <w:pPr>
      <w:spacing w:before="240" w:after="120"/>
      <w:outlineLvl w:val="0"/>
    </w:pPr>
    <w:rPr>
      <w:rFonts w:ascii="Times New Roman" w:hAnsi="Times New Roman"/>
      <w:b/>
      <w:sz w:val="28"/>
    </w:rPr>
  </w:style>
  <w:style w:type="paragraph" w:customStyle="1" w:styleId="AllowPageBreak">
    <w:name w:val="AllowPageBreak"/>
    <w:rsid w:val="002E6F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6FEC"/>
    <w:pPr>
      <w:tabs>
        <w:tab w:val="left" w:pos="680"/>
      </w:tabs>
      <w:spacing w:before="60" w:after="60"/>
      <w:ind w:left="680" w:hanging="340"/>
    </w:pPr>
  </w:style>
  <w:style w:type="character" w:customStyle="1" w:styleId="Heading2Char">
    <w:name w:val="Heading 2 Char"/>
    <w:basedOn w:val="DefaultParagraphFont"/>
    <w:link w:val="Heading2"/>
    <w:rsid w:val="002E6F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F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F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F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F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F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6F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6FEC"/>
    <w:rPr>
      <w:rFonts w:ascii="Courier New" w:eastAsia="Times New Roman" w:hAnsi="Courier New" w:cs="Times New Roman"/>
      <w:i/>
      <w:szCs w:val="20"/>
      <w:lang w:val="en-US" w:eastAsia="en-US"/>
    </w:rPr>
  </w:style>
  <w:style w:type="paragraph" w:customStyle="1" w:styleId="HeadingBase">
    <w:name w:val="Heading Base"/>
    <w:rsid w:val="002E6F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FEC"/>
    <w:pPr>
      <w:tabs>
        <w:tab w:val="right" w:leader="dot" w:pos="9072"/>
      </w:tabs>
      <w:ind w:left="567"/>
    </w:pPr>
    <w:rPr>
      <w:szCs w:val="22"/>
    </w:rPr>
  </w:style>
  <w:style w:type="paragraph" w:customStyle="1" w:styleId="TOCBase">
    <w:name w:val="TOC Base"/>
    <w:rsid w:val="002E6F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FEC"/>
    <w:pPr>
      <w:tabs>
        <w:tab w:val="right" w:leader="dot" w:pos="9072"/>
      </w:tabs>
      <w:spacing w:before="40" w:after="40"/>
      <w:ind w:left="284"/>
    </w:pPr>
    <w:rPr>
      <w:rFonts w:ascii="Times New Roman" w:hAnsi="Times New Roman"/>
    </w:rPr>
  </w:style>
  <w:style w:type="paragraph" w:styleId="TOC1">
    <w:name w:val="toc 1"/>
    <w:basedOn w:val="TOCBase"/>
    <w:next w:val="Normal"/>
    <w:rsid w:val="002E6F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6FEC"/>
    <w:pPr>
      <w:spacing w:before="5040"/>
      <w:jc w:val="center"/>
    </w:pPr>
    <w:rPr>
      <w:sz w:val="48"/>
      <w:szCs w:val="72"/>
      <w:lang w:val="en-US"/>
    </w:rPr>
  </w:style>
  <w:style w:type="character" w:customStyle="1" w:styleId="TitleChar">
    <w:name w:val="Title Char"/>
    <w:basedOn w:val="DefaultParagraphFont"/>
    <w:link w:val="Title"/>
    <w:rsid w:val="002E6F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FEC"/>
    <w:pPr>
      <w:tabs>
        <w:tab w:val="left" w:pos="3600"/>
        <w:tab w:val="left" w:pos="3958"/>
      </w:tabs>
    </w:pPr>
  </w:style>
  <w:style w:type="paragraph" w:customStyle="1" w:styleId="Note">
    <w:name w:val="Note"/>
    <w:basedOn w:val="BodyText"/>
    <w:rsid w:val="002E6F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FEC"/>
    <w:pPr>
      <w:framePr w:wrap="auto" w:hAnchor="text" w:y="6049"/>
    </w:pPr>
    <w:rPr>
      <w:color w:val="000000"/>
      <w:sz w:val="40"/>
    </w:rPr>
  </w:style>
  <w:style w:type="paragraph" w:customStyle="1" w:styleId="TOCTitle">
    <w:name w:val="TOCTitle"/>
    <w:basedOn w:val="Heading1"/>
    <w:rsid w:val="002E6FEC"/>
    <w:pPr>
      <w:spacing w:after="240"/>
      <w:jc w:val="center"/>
      <w:outlineLvl w:val="9"/>
    </w:pPr>
    <w:rPr>
      <w:caps/>
    </w:rPr>
  </w:style>
  <w:style w:type="paragraph" w:customStyle="1" w:styleId="Version">
    <w:name w:val="Version"/>
    <w:rsid w:val="002E6F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FEC"/>
    <w:pPr>
      <w:keepNext w:val="0"/>
      <w:tabs>
        <w:tab w:val="right" w:pos="4176"/>
      </w:tabs>
      <w:ind w:left="198" w:hanging="198"/>
    </w:pPr>
    <w:rPr>
      <w:rFonts w:ascii="Garamond" w:hAnsi="Garamond"/>
    </w:rPr>
  </w:style>
  <w:style w:type="paragraph" w:styleId="IndexHeading">
    <w:name w:val="index heading"/>
    <w:basedOn w:val="Normal"/>
    <w:next w:val="Index1"/>
    <w:semiHidden/>
    <w:rsid w:val="002E6FEC"/>
    <w:pPr>
      <w:spacing w:before="120" w:after="120"/>
    </w:pPr>
    <w:rPr>
      <w:rFonts w:ascii="Arial" w:hAnsi="Arial"/>
      <w:b/>
      <w:color w:val="918585"/>
      <w:sz w:val="24"/>
    </w:rPr>
  </w:style>
  <w:style w:type="paragraph" w:customStyle="1" w:styleId="Chapter">
    <w:name w:val="Chapter"/>
    <w:basedOn w:val="Normal"/>
    <w:rsid w:val="002E6FEC"/>
    <w:pPr>
      <w:spacing w:before="240"/>
    </w:pPr>
    <w:rPr>
      <w:rFonts w:ascii="Times New Roman" w:hAnsi="Times New Roman"/>
      <w:smallCaps/>
      <w:spacing w:val="80"/>
      <w:sz w:val="28"/>
    </w:rPr>
  </w:style>
  <w:style w:type="paragraph" w:customStyle="1" w:styleId="InChapter">
    <w:name w:val="InChapter"/>
    <w:basedOn w:val="Heading3"/>
    <w:rsid w:val="002E6FEC"/>
    <w:pPr>
      <w:spacing w:after="240"/>
      <w:outlineLvl w:val="9"/>
    </w:pPr>
    <w:rPr>
      <w:noProof/>
    </w:rPr>
  </w:style>
  <w:style w:type="paragraph" w:styleId="Index2">
    <w:name w:val="index 2"/>
    <w:basedOn w:val="Normal"/>
    <w:next w:val="Normal"/>
    <w:semiHidden/>
    <w:rsid w:val="002E6FEC"/>
    <w:pPr>
      <w:tabs>
        <w:tab w:val="right" w:pos="4176"/>
      </w:tabs>
      <w:ind w:left="568" w:hanging="284"/>
    </w:pPr>
    <w:rPr>
      <w:rFonts w:ascii="Garamond" w:hAnsi="Garamond"/>
    </w:rPr>
  </w:style>
  <w:style w:type="paragraph" w:customStyle="1" w:styleId="Byline">
    <w:name w:val="Byline"/>
    <w:rsid w:val="002E6F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FEC"/>
    <w:pPr>
      <w:tabs>
        <w:tab w:val="clear" w:pos="3600"/>
        <w:tab w:val="clear" w:pos="3958"/>
      </w:tabs>
      <w:jc w:val="right"/>
    </w:pPr>
  </w:style>
  <w:style w:type="paragraph" w:styleId="Caption">
    <w:name w:val="caption"/>
    <w:basedOn w:val="BodyText"/>
    <w:next w:val="Normal"/>
    <w:qFormat/>
    <w:rsid w:val="002E6FEC"/>
    <w:pPr>
      <w:framePr w:w="2268" w:hSpace="181" w:vSpace="181" w:wrap="around" w:vAnchor="text" w:hAnchor="page" w:x="1135" w:y="285" w:anchorLock="1"/>
    </w:pPr>
    <w:rPr>
      <w:i/>
    </w:rPr>
  </w:style>
  <w:style w:type="paragraph" w:customStyle="1" w:styleId="MiniTOCTitle">
    <w:name w:val="MiniTOCTitle"/>
    <w:basedOn w:val="Heading4"/>
    <w:rsid w:val="002E6FEC"/>
    <w:pPr>
      <w:spacing w:before="240"/>
      <w:outlineLvl w:val="9"/>
    </w:pPr>
    <w:rPr>
      <w:noProof/>
      <w:sz w:val="24"/>
    </w:rPr>
  </w:style>
  <w:style w:type="paragraph" w:customStyle="1" w:styleId="MiniTOCItem">
    <w:name w:val="MiniTOCItem"/>
    <w:basedOn w:val="ListBullet"/>
    <w:rsid w:val="002E6FEC"/>
    <w:pPr>
      <w:numPr>
        <w:numId w:val="0"/>
      </w:numPr>
      <w:tabs>
        <w:tab w:val="right" w:leader="dot" w:pos="6521"/>
      </w:tabs>
      <w:spacing w:before="0" w:after="0"/>
    </w:pPr>
  </w:style>
  <w:style w:type="paragraph" w:customStyle="1" w:styleId="TOFTitle">
    <w:name w:val="TOFTitle"/>
    <w:basedOn w:val="TOCTitle"/>
    <w:rsid w:val="002E6FEC"/>
  </w:style>
  <w:style w:type="paragraph" w:styleId="TableofFigures">
    <w:name w:val="table of figures"/>
    <w:basedOn w:val="Normal"/>
    <w:next w:val="Normal"/>
    <w:semiHidden/>
    <w:rsid w:val="002E6FEC"/>
    <w:pPr>
      <w:tabs>
        <w:tab w:val="right" w:leader="dot" w:pos="9072"/>
      </w:tabs>
      <w:ind w:left="970" w:hanging="403"/>
    </w:pPr>
    <w:rPr>
      <w:rFonts w:ascii="Times New Roman" w:hAnsi="Times New Roman"/>
      <w:b/>
    </w:rPr>
  </w:style>
  <w:style w:type="paragraph" w:styleId="ListNumber">
    <w:name w:val="List Number"/>
    <w:basedOn w:val="List"/>
    <w:rsid w:val="002E6FEC"/>
    <w:pPr>
      <w:numPr>
        <w:numId w:val="11"/>
      </w:numPr>
    </w:pPr>
  </w:style>
  <w:style w:type="character" w:customStyle="1" w:styleId="WingdingSymbols">
    <w:name w:val="Wingding Symbols"/>
    <w:rsid w:val="002E6FEC"/>
    <w:rPr>
      <w:rFonts w:ascii="Wingdings" w:hAnsi="Wingdings"/>
    </w:rPr>
  </w:style>
  <w:style w:type="paragraph" w:customStyle="1" w:styleId="TableHeading">
    <w:name w:val="Table Heading"/>
    <w:basedOn w:val="HeadingBase"/>
    <w:rsid w:val="002E6FEC"/>
    <w:pPr>
      <w:keepLines/>
      <w:pBdr>
        <w:bottom w:val="single" w:sz="6" w:space="1" w:color="918585"/>
      </w:pBdr>
      <w:spacing w:before="240"/>
    </w:pPr>
  </w:style>
  <w:style w:type="character" w:customStyle="1" w:styleId="HotSpot">
    <w:name w:val="HotSpot"/>
    <w:rsid w:val="002E6FEC"/>
    <w:rPr>
      <w:color w:val="0033CC"/>
      <w:u w:val="none"/>
    </w:rPr>
  </w:style>
  <w:style w:type="paragraph" w:customStyle="1" w:styleId="BodyTextRight">
    <w:name w:val="Body Text Right"/>
    <w:basedOn w:val="BodyText"/>
    <w:rsid w:val="002E6FEC"/>
    <w:pPr>
      <w:spacing w:before="0" w:after="0"/>
      <w:jc w:val="right"/>
    </w:pPr>
  </w:style>
  <w:style w:type="paragraph" w:styleId="Index3">
    <w:name w:val="index 3"/>
    <w:basedOn w:val="ListNumber2"/>
    <w:next w:val="Normal"/>
    <w:semiHidden/>
    <w:rsid w:val="002E6FEC"/>
    <w:pPr>
      <w:numPr>
        <w:numId w:val="0"/>
      </w:numPr>
      <w:tabs>
        <w:tab w:val="right" w:leader="dot" w:pos="4176"/>
      </w:tabs>
    </w:pPr>
  </w:style>
  <w:style w:type="paragraph" w:styleId="ListNumber2">
    <w:name w:val="List Number 2"/>
    <w:basedOn w:val="List2"/>
    <w:rsid w:val="002E6FEC"/>
    <w:pPr>
      <w:numPr>
        <w:numId w:val="10"/>
      </w:numPr>
      <w:tabs>
        <w:tab w:val="clear" w:pos="1060"/>
      </w:tabs>
    </w:pPr>
  </w:style>
  <w:style w:type="paragraph" w:customStyle="1" w:styleId="MarginNote">
    <w:name w:val="Margin Note"/>
    <w:basedOn w:val="BodyText"/>
    <w:rsid w:val="002E6F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F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F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6FEC"/>
    <w:rPr>
      <w:sz w:val="32"/>
    </w:rPr>
  </w:style>
  <w:style w:type="paragraph" w:customStyle="1" w:styleId="HeadingProcedure">
    <w:name w:val="Heading Procedure"/>
    <w:basedOn w:val="HeadingBase"/>
    <w:next w:val="Normal"/>
    <w:rsid w:val="002E6FEC"/>
    <w:pPr>
      <w:tabs>
        <w:tab w:val="left" w:pos="0"/>
      </w:tabs>
      <w:spacing w:before="120" w:after="60"/>
    </w:pPr>
    <w:rPr>
      <w:i/>
      <w:color w:val="918585"/>
      <w:sz w:val="22"/>
    </w:rPr>
  </w:style>
  <w:style w:type="paragraph" w:customStyle="1" w:styleId="TableBodyText">
    <w:name w:val="Table Body Text"/>
    <w:basedOn w:val="BodyText"/>
    <w:rsid w:val="002E6FEC"/>
    <w:pPr>
      <w:spacing w:before="60" w:after="60"/>
    </w:pPr>
  </w:style>
  <w:style w:type="paragraph" w:styleId="ListContinue">
    <w:name w:val="List Continue"/>
    <w:basedOn w:val="List"/>
    <w:rsid w:val="002E6FEC"/>
    <w:pPr>
      <w:ind w:firstLine="0"/>
    </w:pPr>
  </w:style>
  <w:style w:type="paragraph" w:customStyle="1" w:styleId="ListNote">
    <w:name w:val="List Note"/>
    <w:basedOn w:val="List"/>
    <w:rsid w:val="002E6FEC"/>
    <w:pPr>
      <w:pBdr>
        <w:top w:val="single" w:sz="6" w:space="2" w:color="918585"/>
        <w:bottom w:val="single" w:sz="6" w:space="2" w:color="918585"/>
      </w:pBdr>
      <w:tabs>
        <w:tab w:val="left" w:pos="1021"/>
      </w:tabs>
      <w:ind w:firstLine="0"/>
    </w:pPr>
  </w:style>
  <w:style w:type="paragraph" w:customStyle="1" w:styleId="Warning">
    <w:name w:val="Warning"/>
    <w:basedOn w:val="BodyText"/>
    <w:rsid w:val="002E6FEC"/>
    <w:pPr>
      <w:shd w:val="clear" w:color="auto" w:fill="D9D9D9"/>
      <w:tabs>
        <w:tab w:val="left" w:pos="992"/>
      </w:tabs>
      <w:ind w:left="119" w:right="119"/>
    </w:pPr>
    <w:rPr>
      <w:sz w:val="20"/>
    </w:rPr>
  </w:style>
  <w:style w:type="paragraph" w:customStyle="1" w:styleId="MarginIcons">
    <w:name w:val="Margin Icons"/>
    <w:basedOn w:val="BodyText"/>
    <w:rsid w:val="002E6F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FEC"/>
    <w:rPr>
      <w:rFonts w:ascii="Courier New" w:hAnsi="Courier New"/>
    </w:rPr>
  </w:style>
  <w:style w:type="paragraph" w:customStyle="1" w:styleId="NoteBullet">
    <w:name w:val="Note Bullet"/>
    <w:basedOn w:val="Note"/>
    <w:rsid w:val="002E6FEC"/>
    <w:pPr>
      <w:tabs>
        <w:tab w:val="clear" w:pos="680"/>
      </w:tabs>
      <w:spacing w:before="60" w:after="60"/>
    </w:pPr>
  </w:style>
  <w:style w:type="paragraph" w:customStyle="1" w:styleId="SubHeading2">
    <w:name w:val="SubHeading2"/>
    <w:basedOn w:val="HeadingBase"/>
    <w:rsid w:val="002E6FEC"/>
    <w:pPr>
      <w:spacing w:before="240" w:after="60"/>
    </w:pPr>
    <w:rPr>
      <w:sz w:val="20"/>
    </w:rPr>
  </w:style>
  <w:style w:type="paragraph" w:customStyle="1" w:styleId="SubHeading1">
    <w:name w:val="SubHeading1"/>
    <w:basedOn w:val="HeadingBase"/>
    <w:rsid w:val="002E6FEC"/>
    <w:pPr>
      <w:spacing w:before="240" w:after="60"/>
    </w:pPr>
    <w:rPr>
      <w:color w:val="918585"/>
      <w:sz w:val="22"/>
    </w:rPr>
  </w:style>
  <w:style w:type="paragraph" w:customStyle="1" w:styleId="SideHeading">
    <w:name w:val="Side Heading"/>
    <w:basedOn w:val="HeadingBase"/>
    <w:rsid w:val="002E6F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FEC"/>
    <w:pPr>
      <w:numPr>
        <w:numId w:val="12"/>
      </w:numPr>
    </w:pPr>
  </w:style>
  <w:style w:type="paragraph" w:styleId="PlainText">
    <w:name w:val="Plain Text"/>
    <w:basedOn w:val="Normal"/>
    <w:link w:val="PlainTextChar"/>
    <w:rsid w:val="002E6FEC"/>
    <w:rPr>
      <w:sz w:val="20"/>
    </w:rPr>
  </w:style>
  <w:style w:type="character" w:customStyle="1" w:styleId="PlainTextChar">
    <w:name w:val="Plain Text Char"/>
    <w:basedOn w:val="DefaultParagraphFont"/>
    <w:link w:val="PlainText"/>
    <w:rsid w:val="002E6F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6FEC"/>
    <w:rPr>
      <w:b/>
      <w:smallCaps/>
    </w:rPr>
  </w:style>
  <w:style w:type="paragraph" w:customStyle="1" w:styleId="TableListNumber">
    <w:name w:val="Table List Number"/>
    <w:basedOn w:val="ListNumber"/>
    <w:rsid w:val="002E6FEC"/>
    <w:pPr>
      <w:numPr>
        <w:numId w:val="0"/>
      </w:numPr>
    </w:pPr>
  </w:style>
  <w:style w:type="paragraph" w:styleId="TOC4">
    <w:name w:val="toc 4"/>
    <w:basedOn w:val="TOCBase"/>
    <w:next w:val="Normal"/>
    <w:semiHidden/>
    <w:rsid w:val="002E6FEC"/>
    <w:pPr>
      <w:tabs>
        <w:tab w:val="right" w:leader="dot" w:pos="9071"/>
      </w:tabs>
      <w:ind w:left="1701"/>
    </w:pPr>
  </w:style>
  <w:style w:type="paragraph" w:customStyle="1" w:styleId="ListAlpha">
    <w:name w:val="List Alpha"/>
    <w:basedOn w:val="List"/>
    <w:rsid w:val="002E6FEC"/>
    <w:pPr>
      <w:numPr>
        <w:numId w:val="9"/>
      </w:numPr>
    </w:pPr>
  </w:style>
  <w:style w:type="paragraph" w:customStyle="1" w:styleId="ListAlpha2">
    <w:name w:val="List Alpha 2"/>
    <w:basedOn w:val="List2"/>
    <w:rsid w:val="002E6FEC"/>
    <w:pPr>
      <w:numPr>
        <w:numId w:val="8"/>
      </w:numPr>
    </w:pPr>
  </w:style>
  <w:style w:type="paragraph" w:styleId="List3">
    <w:name w:val="List 3"/>
    <w:basedOn w:val="BodyText"/>
    <w:rsid w:val="002E6FEC"/>
    <w:pPr>
      <w:tabs>
        <w:tab w:val="left" w:pos="1021"/>
      </w:tabs>
      <w:spacing w:before="60" w:after="60"/>
      <w:ind w:left="1020" w:hanging="340"/>
    </w:pPr>
  </w:style>
  <w:style w:type="paragraph" w:styleId="List4">
    <w:name w:val="List 4"/>
    <w:basedOn w:val="BodyText"/>
    <w:rsid w:val="002E6FEC"/>
    <w:pPr>
      <w:tabs>
        <w:tab w:val="left" w:pos="1361"/>
      </w:tabs>
      <w:spacing w:before="60" w:after="60"/>
      <w:ind w:left="1361" w:hanging="340"/>
    </w:pPr>
  </w:style>
  <w:style w:type="paragraph" w:styleId="List5">
    <w:name w:val="List 5"/>
    <w:basedOn w:val="BodyText"/>
    <w:rsid w:val="002E6FEC"/>
    <w:pPr>
      <w:tabs>
        <w:tab w:val="left" w:pos="1701"/>
      </w:tabs>
      <w:spacing w:before="60" w:after="60"/>
      <w:ind w:left="1701" w:hanging="340"/>
    </w:pPr>
  </w:style>
  <w:style w:type="paragraph" w:styleId="ListBullet3">
    <w:name w:val="List Bullet 3"/>
    <w:basedOn w:val="List3"/>
    <w:rsid w:val="002E6FEC"/>
    <w:pPr>
      <w:numPr>
        <w:numId w:val="15"/>
      </w:numPr>
      <w:tabs>
        <w:tab w:val="clear" w:pos="1021"/>
      </w:tabs>
      <w:ind w:left="1037" w:hanging="357"/>
    </w:pPr>
  </w:style>
  <w:style w:type="paragraph" w:styleId="ListBullet4">
    <w:name w:val="List Bullet 4"/>
    <w:basedOn w:val="List4"/>
    <w:rsid w:val="002E6FEC"/>
    <w:pPr>
      <w:numPr>
        <w:numId w:val="3"/>
      </w:numPr>
    </w:pPr>
  </w:style>
  <w:style w:type="paragraph" w:styleId="ListBullet5">
    <w:name w:val="List Bullet 5"/>
    <w:basedOn w:val="List5"/>
    <w:rsid w:val="002E6FEC"/>
    <w:pPr>
      <w:numPr>
        <w:numId w:val="4"/>
      </w:numPr>
    </w:pPr>
  </w:style>
  <w:style w:type="paragraph" w:styleId="ListContinue2">
    <w:name w:val="List Continue 2"/>
    <w:basedOn w:val="List2"/>
    <w:rsid w:val="002E6FEC"/>
    <w:pPr>
      <w:ind w:firstLine="0"/>
    </w:pPr>
  </w:style>
  <w:style w:type="paragraph" w:styleId="ListContinue3">
    <w:name w:val="List Continue 3"/>
    <w:basedOn w:val="List3"/>
    <w:rsid w:val="002E6FEC"/>
    <w:pPr>
      <w:ind w:left="1021" w:firstLine="0"/>
    </w:pPr>
  </w:style>
  <w:style w:type="paragraph" w:styleId="ListContinue4">
    <w:name w:val="List Continue 4"/>
    <w:basedOn w:val="List4"/>
    <w:rsid w:val="002E6FEC"/>
    <w:pPr>
      <w:ind w:firstLine="0"/>
    </w:pPr>
  </w:style>
  <w:style w:type="paragraph" w:styleId="ListContinue5">
    <w:name w:val="List Continue 5"/>
    <w:basedOn w:val="List5"/>
    <w:rsid w:val="002E6FEC"/>
    <w:pPr>
      <w:ind w:firstLine="0"/>
    </w:pPr>
  </w:style>
  <w:style w:type="paragraph" w:styleId="ListNumber3">
    <w:name w:val="List Number 3"/>
    <w:basedOn w:val="List3"/>
    <w:rsid w:val="002E6FEC"/>
    <w:pPr>
      <w:numPr>
        <w:numId w:val="5"/>
      </w:numPr>
    </w:pPr>
  </w:style>
  <w:style w:type="paragraph" w:styleId="ListNumber4">
    <w:name w:val="List Number 4"/>
    <w:basedOn w:val="List4"/>
    <w:rsid w:val="002E6FEC"/>
    <w:pPr>
      <w:numPr>
        <w:numId w:val="6"/>
      </w:numPr>
    </w:pPr>
  </w:style>
  <w:style w:type="paragraph" w:styleId="ListNumber5">
    <w:name w:val="List Number 5"/>
    <w:basedOn w:val="List5"/>
    <w:rsid w:val="002E6FEC"/>
    <w:pPr>
      <w:numPr>
        <w:numId w:val="7"/>
      </w:numPr>
    </w:pPr>
  </w:style>
  <w:style w:type="paragraph" w:styleId="BlockText">
    <w:name w:val="Block Text"/>
    <w:basedOn w:val="Normal"/>
    <w:rsid w:val="002E6FEC"/>
    <w:pPr>
      <w:spacing w:after="120"/>
      <w:ind w:left="1440" w:right="1440"/>
    </w:pPr>
  </w:style>
  <w:style w:type="character" w:customStyle="1" w:styleId="Subscript">
    <w:name w:val="Subscript"/>
    <w:basedOn w:val="DefaultParagraphFont"/>
    <w:rsid w:val="002E6FEC"/>
    <w:rPr>
      <w:sz w:val="16"/>
      <w:vertAlign w:val="subscript"/>
    </w:rPr>
  </w:style>
  <w:style w:type="character" w:customStyle="1" w:styleId="Superscript">
    <w:name w:val="Superscript"/>
    <w:basedOn w:val="DefaultParagraphFont"/>
    <w:rsid w:val="002E6FEC"/>
    <w:rPr>
      <w:sz w:val="16"/>
      <w:vertAlign w:val="superscript"/>
    </w:rPr>
  </w:style>
  <w:style w:type="character" w:customStyle="1" w:styleId="Symbols">
    <w:name w:val="Symbols"/>
    <w:basedOn w:val="DefaultParagraphFont"/>
    <w:rsid w:val="002E6FEC"/>
    <w:rPr>
      <w:rFonts w:ascii="Symbol" w:hAnsi="Symbol"/>
    </w:rPr>
  </w:style>
  <w:style w:type="character" w:customStyle="1" w:styleId="MenuOptions">
    <w:name w:val="Menu Options"/>
    <w:basedOn w:val="DefaultParagraphFont"/>
    <w:rsid w:val="002E6FEC"/>
    <w:rPr>
      <w:rFonts w:ascii="Arial Narrow" w:hAnsi="Arial Narrow"/>
      <w:smallCaps/>
    </w:rPr>
  </w:style>
  <w:style w:type="character" w:customStyle="1" w:styleId="Buttons">
    <w:name w:val="Buttons"/>
    <w:basedOn w:val="DefaultParagraphFont"/>
    <w:rsid w:val="002E6FEC"/>
    <w:rPr>
      <w:b/>
    </w:rPr>
  </w:style>
  <w:style w:type="character" w:customStyle="1" w:styleId="Underlined">
    <w:name w:val="Underlined"/>
    <w:basedOn w:val="DefaultParagraphFont"/>
    <w:rsid w:val="002E6FEC"/>
    <w:rPr>
      <w:u w:val="single"/>
    </w:rPr>
  </w:style>
  <w:style w:type="paragraph" w:customStyle="1" w:styleId="TableBodyTextRight">
    <w:name w:val="Table Body Text Right"/>
    <w:basedOn w:val="TableBodyText"/>
    <w:rsid w:val="002E6FEC"/>
    <w:pPr>
      <w:widowControl w:val="0"/>
      <w:autoSpaceDE w:val="0"/>
      <w:autoSpaceDN w:val="0"/>
      <w:adjustRightInd w:val="0"/>
      <w:jc w:val="right"/>
    </w:pPr>
    <w:rPr>
      <w:rFonts w:cs="Arial"/>
      <w:szCs w:val="18"/>
    </w:rPr>
  </w:style>
  <w:style w:type="paragraph" w:customStyle="1" w:styleId="CopyrightText">
    <w:name w:val="Copyright Text"/>
    <w:basedOn w:val="BodyText"/>
    <w:rsid w:val="002E6FEC"/>
    <w:rPr>
      <w:sz w:val="18"/>
    </w:rPr>
  </w:style>
  <w:style w:type="paragraph" w:customStyle="1" w:styleId="BodySmallRight">
    <w:name w:val="Body Small Right"/>
    <w:basedOn w:val="BodyTextRight"/>
    <w:rsid w:val="002E6FEC"/>
    <w:rPr>
      <w:sz w:val="18"/>
      <w:szCs w:val="18"/>
    </w:rPr>
  </w:style>
  <w:style w:type="paragraph" w:customStyle="1" w:styleId="MarginEdition">
    <w:name w:val="Margin Edition"/>
    <w:basedOn w:val="MarginNote"/>
    <w:rsid w:val="002E6FEC"/>
    <w:pPr>
      <w:spacing w:before="0" w:after="0"/>
    </w:pPr>
    <w:rPr>
      <w:rFonts w:ascii="Times New Roman" w:hAnsi="Times New Roman"/>
      <w:color w:val="999999"/>
    </w:rPr>
  </w:style>
  <w:style w:type="paragraph" w:customStyle="1" w:styleId="Spacer">
    <w:name w:val="Spacer"/>
    <w:basedOn w:val="Normal"/>
    <w:rsid w:val="002E6FEC"/>
    <w:rPr>
      <w:sz w:val="2"/>
      <w:szCs w:val="2"/>
    </w:rPr>
  </w:style>
  <w:style w:type="character" w:customStyle="1" w:styleId="Small">
    <w:name w:val="Small"/>
    <w:basedOn w:val="DefaultParagraphFont"/>
    <w:rsid w:val="002E6FEC"/>
    <w:rPr>
      <w:sz w:val="16"/>
    </w:rPr>
  </w:style>
  <w:style w:type="paragraph" w:customStyle="1" w:styleId="WideTable">
    <w:name w:val="Wide Table"/>
    <w:basedOn w:val="Normal"/>
    <w:rsid w:val="002E6FEC"/>
    <w:pPr>
      <w:ind w:left="-1418"/>
    </w:pPr>
    <w:rPr>
      <w:sz w:val="2"/>
      <w:szCs w:val="2"/>
    </w:rPr>
  </w:style>
  <w:style w:type="character" w:styleId="PageNumber">
    <w:name w:val="page number"/>
    <w:basedOn w:val="DefaultParagraphFont"/>
    <w:rsid w:val="002E6FEC"/>
  </w:style>
  <w:style w:type="paragraph" w:styleId="Quote">
    <w:name w:val="Quote"/>
    <w:basedOn w:val="Heading1"/>
    <w:link w:val="QuoteChar"/>
    <w:qFormat/>
    <w:rsid w:val="002E6FEC"/>
    <w:rPr>
      <w:b w:val="0"/>
      <w:sz w:val="72"/>
      <w:szCs w:val="72"/>
      <w:lang w:val="en-NZ"/>
    </w:rPr>
  </w:style>
  <w:style w:type="character" w:customStyle="1" w:styleId="QuoteChar">
    <w:name w:val="Quote Char"/>
    <w:basedOn w:val="DefaultParagraphFont"/>
    <w:link w:val="Quote"/>
    <w:rsid w:val="002E6F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FEC"/>
    <w:pPr>
      <w:pageBreakBefore/>
    </w:pPr>
  </w:style>
  <w:style w:type="paragraph" w:customStyle="1" w:styleId="Border">
    <w:name w:val="Border"/>
    <w:basedOn w:val="Normal"/>
    <w:qFormat/>
    <w:rsid w:val="002E6F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FEC"/>
    <w:rPr>
      <w:b/>
      <w:bCs/>
      <w:i/>
      <w:iCs/>
      <w:color w:val="auto"/>
    </w:rPr>
  </w:style>
  <w:style w:type="paragraph" w:styleId="IntenseQuote">
    <w:name w:val="Intense Quote"/>
    <w:basedOn w:val="Normal"/>
    <w:next w:val="Normal"/>
    <w:link w:val="IntenseQuoteChar"/>
    <w:uiPriority w:val="30"/>
    <w:qFormat/>
    <w:rsid w:val="002E6F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F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6FEC"/>
    <w:rPr>
      <w:smallCaps/>
      <w:color w:val="auto"/>
      <w:u w:val="single"/>
    </w:rPr>
  </w:style>
  <w:style w:type="character" w:styleId="IntenseReference">
    <w:name w:val="Intense Reference"/>
    <w:basedOn w:val="DefaultParagraphFont"/>
    <w:uiPriority w:val="32"/>
    <w:qFormat/>
    <w:rsid w:val="002E6FEC"/>
    <w:rPr>
      <w:b/>
      <w:bCs/>
      <w:smallCaps/>
      <w:color w:val="auto"/>
      <w:spacing w:val="5"/>
      <w:u w:val="single"/>
    </w:rPr>
  </w:style>
  <w:style w:type="paragraph" w:customStyle="1" w:styleId="2ColumnHeading">
    <w:name w:val="2Column Heading"/>
    <w:basedOn w:val="BodyText"/>
    <w:qFormat/>
    <w:rsid w:val="002E6FEC"/>
    <w:pPr>
      <w:spacing w:after="60"/>
      <w:ind w:left="-2268"/>
    </w:pPr>
    <w:rPr>
      <w:b/>
    </w:rPr>
  </w:style>
  <w:style w:type="paragraph" w:customStyle="1" w:styleId="Heading1TOC">
    <w:name w:val="Heading1 TOC"/>
    <w:basedOn w:val="Normal"/>
    <w:qFormat/>
    <w:rsid w:val="002E6FEC"/>
    <w:pPr>
      <w:spacing w:before="240" w:after="120"/>
    </w:pPr>
    <w:rPr>
      <w:rFonts w:ascii="Times New Roman" w:hAnsi="Times New Roman"/>
      <w:b/>
      <w:sz w:val="32"/>
    </w:rPr>
  </w:style>
  <w:style w:type="paragraph" w:customStyle="1" w:styleId="Heading2TOC">
    <w:name w:val="Heading2 TOC"/>
    <w:basedOn w:val="Normal"/>
    <w:qFormat/>
    <w:rsid w:val="002E6FEC"/>
    <w:pPr>
      <w:spacing w:before="240" w:after="60"/>
    </w:pPr>
    <w:rPr>
      <w:rFonts w:ascii="Times New Roman" w:hAnsi="Times New Roman"/>
      <w:b/>
      <w:sz w:val="28"/>
    </w:rPr>
  </w:style>
  <w:style w:type="character" w:customStyle="1" w:styleId="Underline">
    <w:name w:val="Underline"/>
    <w:basedOn w:val="DefaultParagraphFont"/>
    <w:qFormat/>
    <w:rsid w:val="002E6FEC"/>
    <w:rPr>
      <w:u w:val="single"/>
    </w:rPr>
  </w:style>
  <w:style w:type="character" w:customStyle="1" w:styleId="BoldandItalics">
    <w:name w:val="Bold and Italics"/>
    <w:qFormat/>
    <w:rsid w:val="002E6FEC"/>
    <w:rPr>
      <w:b/>
      <w:i/>
      <w:u w:val="none"/>
    </w:rPr>
  </w:style>
  <w:style w:type="paragraph" w:styleId="BalloonText">
    <w:name w:val="Balloon Text"/>
    <w:basedOn w:val="Normal"/>
    <w:link w:val="BalloonTextChar"/>
    <w:rsid w:val="002E6FEC"/>
    <w:rPr>
      <w:rFonts w:ascii="Tahoma" w:hAnsi="Tahoma" w:cs="Tahoma"/>
      <w:sz w:val="16"/>
      <w:szCs w:val="16"/>
    </w:rPr>
  </w:style>
  <w:style w:type="character" w:customStyle="1" w:styleId="BalloonTextChar">
    <w:name w:val="Balloon Text Char"/>
    <w:basedOn w:val="DefaultParagraphFont"/>
    <w:link w:val="BalloonText"/>
    <w:rsid w:val="002E6F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6F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6F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2602</Words>
  <Characters>16934</Characters>
  <Application>Microsoft Office Word</Application>
  <DocSecurity>0</DocSecurity>
  <Lines>563</Lines>
  <Paragraphs>274</Paragraphs>
  <ScaleCrop>false</ScaleCrop>
  <Company>Author-it Software Corporation Ltd.</Company>
  <LinksUpToDate>false</LinksUpToDate>
  <CharactersWithSpaces>19445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MSL974006A Perform biological procedures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2012-05-26T18:36:00Z</dcterms:created>
  <dcterms:modified xsi:type="dcterms:W3CDTF">2012-05-26T18:36:00Z</dcterms:modified>
</cp:coreProperties>
</file>