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600" w:rsidP="00613600">
      <w:pPr>
        <w:pStyle w:val="Title"/>
      </w:pPr>
      <w:r>
        <w:fldChar w:fldCharType="begin"/>
      </w:r>
      <w:r>
        <w:instrText xml:space="preserve"> TITLE   \* MERGEFORMAT </w:instrText>
      </w:r>
      <w:r>
        <w:fldChar w:fldCharType="separate"/>
      </w:r>
      <w:r>
        <w:t>MSL973004A Perform aseptic techniques</w:t>
      </w:r>
      <w:r>
        <w:fldChar w:fldCharType="end"/>
      </w:r>
    </w:p>
    <w:p w:rsidR="00613600" w:rsidP="00613600">
      <w:pPr>
        <w:pStyle w:val="Version"/>
        <w:sectPr w:rsidSect="00FA23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23FF" w:rsidP="00FA23FF">
      <w:pPr>
        <w:pStyle w:val="SuperHeading"/>
      </w:pPr>
      <w:r w:rsidRPr="00FA23FF">
        <w:t>MSL973004A Perform aseptic techniques</w:t>
      </w:r>
    </w:p>
    <w:p w:rsidR="00000000" w:rsidRPr="00FA23FF" w:rsidP="00FA23FF">
      <w:pPr>
        <w:pStyle w:val="SuperHeading"/>
      </w:pPr>
    </w:p>
    <w:p w:rsidR="00000000" w:rsidRPr="00FA23FF" w:rsidP="00FA23FF">
      <w:pPr>
        <w:pStyle w:val="Heading1"/>
      </w:pPr>
      <w:bookmarkStart w:id="1" w:name="O_103215"/>
      <w:bookmarkEnd w:id="1"/>
      <w:r w:rsidRPr="00FA23FF">
        <w:t>Modification History</w:t>
      </w:r>
    </w:p>
    <w:p w:rsidR="00000000" w:rsidRPr="00FA23FF" w:rsidP="00FA23FF">
      <w:pPr>
        <w:pStyle w:val="BodyText"/>
      </w:pPr>
      <w:r w:rsidRPr="00FA23FF">
        <w:t>Not applicable.</w:t>
      </w:r>
    </w:p>
    <w:p w:rsidR="00000000" w:rsidRPr="00FA23FF" w:rsidP="00FA23FF">
      <w:pPr>
        <w:pStyle w:val="AllowPageBreak"/>
      </w:pPr>
    </w:p>
    <w:p w:rsidR="00000000" w:rsidRPr="00FA23FF" w:rsidP="00FA23FF">
      <w:pPr>
        <w:pStyle w:val="Heading1"/>
      </w:pPr>
      <w:bookmarkStart w:id="2" w:name="O_103216"/>
      <w:bookmarkEnd w:id="2"/>
      <w:r w:rsidRPr="00FA23FF">
        <w:t>Unit Descriptor</w:t>
      </w:r>
    </w:p>
    <w:tbl>
      <w:tblPr>
        <w:tblW w:w="0" w:type="auto"/>
        <w:tblLayout w:type="fixed"/>
        <w:tblCellMar>
          <w:left w:w="62" w:type="dxa"/>
          <w:right w:w="62" w:type="dxa"/>
        </w:tblCellMar>
        <w:tblLook w:val="0000"/>
      </w:tblPr>
      <w:tblGrid>
        <w:gridCol w:w="2665"/>
        <w:gridCol w:w="5857"/>
      </w:tblGrid>
      <w:tr w:rsidTr="0061360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This unit of competency covers the ability to perform aseptic techniques to maintain the integrity of both the sa</w:t>
            </w:r>
            <w:r w:rsidRPr="00FA23FF">
              <w:t>mple source and the sample. It applies to sampling techniques in tissue culture and to generic microbiological procedures.</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3" w:name="O_103217"/>
      <w:bookmarkEnd w:id="3"/>
      <w:r w:rsidRPr="00FA23FF">
        <w:t>Application of the Unit</w:t>
      </w:r>
    </w:p>
    <w:tbl>
      <w:tblPr>
        <w:tblW w:w="0" w:type="auto"/>
        <w:tblLayout w:type="fixed"/>
        <w:tblCellMar>
          <w:left w:w="62" w:type="dxa"/>
          <w:right w:w="62" w:type="dxa"/>
        </w:tblCellMar>
        <w:tblLook w:val="0000"/>
      </w:tblPr>
      <w:tblGrid>
        <w:gridCol w:w="2752"/>
        <w:gridCol w:w="5770"/>
      </w:tblGrid>
      <w:tr w:rsidTr="0061360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This unit of competency is applicable to laboratory assistants and technicians working in the field or laboratory in the biomedical, biological, food processing and environmental industry sectors.</w:t>
            </w:r>
          </w:p>
          <w:p w:rsidR="00000000" w:rsidRPr="00FA23FF" w:rsidP="00FA23FF">
            <w:pPr>
              <w:pStyle w:val="BodyText"/>
            </w:pPr>
            <w:r w:rsidRPr="00FA23FF">
              <w:t>Industry representatives have provided case studies to illu</w:t>
            </w:r>
            <w:r w:rsidRPr="00FA23FF">
              <w:t>strate the practical application of this unit of competency and to show its relevance in a workplace setting. These are found at the end of this unit of competency under the section 'This competency in practice'.</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4" w:name="O_103218"/>
      <w:bookmarkEnd w:id="4"/>
      <w:r w:rsidRPr="00FA23FF">
        <w:t>Licensing/Regulatory Inf</w:t>
      </w:r>
      <w:r w:rsidRPr="00FA23FF">
        <w:t>ormation</w:t>
      </w:r>
    </w:p>
    <w:p w:rsidR="00000000" w:rsidRPr="00FA23FF" w:rsidP="00FA23FF">
      <w:pPr>
        <w:pStyle w:val="BodyText"/>
      </w:pPr>
      <w:r w:rsidRPr="00FA23FF">
        <w:t>Not applicable.</w:t>
      </w:r>
    </w:p>
    <w:p w:rsidR="00000000" w:rsidRPr="00FA23FF" w:rsidP="00FA23FF">
      <w:pPr>
        <w:pStyle w:val="AllowPageBreak"/>
      </w:pPr>
    </w:p>
    <w:p w:rsidR="00000000" w:rsidRPr="00FA23FF" w:rsidP="00FA23FF">
      <w:pPr>
        <w:pStyle w:val="Heading1"/>
      </w:pPr>
      <w:bookmarkStart w:id="5" w:name="O_103220"/>
      <w:bookmarkEnd w:id="5"/>
      <w:r w:rsidRPr="00FA23FF">
        <w:t>Pre-Requisites</w:t>
      </w:r>
    </w:p>
    <w:tbl>
      <w:tblPr>
        <w:tblW w:w="0" w:type="auto"/>
        <w:tblLayout w:type="fixed"/>
        <w:tblCellMar>
          <w:left w:w="62" w:type="dxa"/>
          <w:right w:w="62" w:type="dxa"/>
        </w:tblCellMar>
        <w:tblLook w:val="0000"/>
      </w:tblPr>
      <w:tblGrid>
        <w:gridCol w:w="2775"/>
        <w:gridCol w:w="1295"/>
        <w:gridCol w:w="4452"/>
      </w:tblGrid>
      <w:tr w:rsidTr="006136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p>
        </w:tc>
      </w:tr>
      <w:tr w:rsidTr="006136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p>
        </w:tc>
      </w:tr>
      <w:tr w:rsidTr="006136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6" w:name="O_103219"/>
      <w:bookmarkEnd w:id="6"/>
      <w:r w:rsidRPr="00FA23FF">
        <w:t>Employability Skills Information</w:t>
      </w:r>
    </w:p>
    <w:tbl>
      <w:tblPr>
        <w:tblW w:w="0" w:type="auto"/>
        <w:tblLayout w:type="fixed"/>
        <w:tblCellMar>
          <w:left w:w="62" w:type="dxa"/>
          <w:right w:w="62" w:type="dxa"/>
        </w:tblCellMar>
        <w:tblLook w:val="0000"/>
      </w:tblPr>
      <w:tblGrid>
        <w:gridCol w:w="2802"/>
        <w:gridCol w:w="5720"/>
      </w:tblGrid>
      <w:tr w:rsidTr="006136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This unit contains employability skills.</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7" w:name="O_103221"/>
      <w:bookmarkEnd w:id="7"/>
      <w:r w:rsidRPr="00FA23FF">
        <w:t>Elements and Performance Criteria Pre-Content</w:t>
      </w:r>
    </w:p>
    <w:tbl>
      <w:tblPr>
        <w:tblW w:w="0" w:type="auto"/>
        <w:tblLayout w:type="fixed"/>
        <w:tblCellMar>
          <w:left w:w="62" w:type="dxa"/>
          <w:right w:w="62" w:type="dxa"/>
        </w:tblCellMar>
        <w:tblLook w:val="0000"/>
      </w:tblPr>
      <w:tblGrid>
        <w:gridCol w:w="2582"/>
        <w:gridCol w:w="5940"/>
      </w:tblGrid>
      <w:tr w:rsidTr="0061360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Performance criteria describe the performance needed to demonstrate achievement of the element. Where bold italicised text is used, further info</w:t>
            </w:r>
            <w:r w:rsidRPr="00FA23FF">
              <w:t>rmation is detailed in the required skills and knowledge section and the range statement. Assessment of performance is to be consistent with the evidence guide.</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8" w:name="O_103222"/>
      <w:bookmarkEnd w:id="8"/>
      <w:r w:rsidRPr="00FA23FF">
        <w:t>Elements and Performance Criteria</w:t>
      </w:r>
    </w:p>
    <w:tbl>
      <w:tblPr>
        <w:tblW w:w="0" w:type="auto"/>
        <w:tblLayout w:type="fixed"/>
        <w:tblCellMar>
          <w:left w:w="62" w:type="dxa"/>
          <w:right w:w="62" w:type="dxa"/>
        </w:tblCellMar>
        <w:tblLook w:val="0000"/>
      </w:tblPr>
      <w:tblGrid>
        <w:gridCol w:w="2582"/>
        <w:gridCol w:w="5940"/>
      </w:tblGrid>
      <w:tr w:rsidTr="00613600">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PERFORMANCE CRITERIA</w:t>
            </w:r>
          </w:p>
        </w:tc>
      </w:tr>
      <w:tr w:rsidTr="0061360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List"/>
              <w:rPr>
                <w:lang w:val="en-NZ"/>
              </w:rPr>
            </w:pPr>
            <w:r w:rsidRPr="00FA23FF">
              <w:t>1.</w:t>
            </w:r>
            <w:r w:rsidRPr="00FA23FF">
              <w:tab/>
            </w:r>
            <w:r w:rsidRPr="00FA23FF">
              <w:t>Prepare for aseptic sampling or transfer</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List2"/>
            </w:pPr>
            <w:r w:rsidRPr="00FA23FF">
              <w:t>1.1.</w:t>
            </w:r>
            <w:r w:rsidRPr="00FA23FF">
              <w:tab/>
              <w:t>Ensure that any sampling procedure conforms with the requirements of the sampling plan</w:t>
            </w:r>
          </w:p>
          <w:p w:rsidR="00000000" w:rsidRPr="00FA23FF" w:rsidP="00FA23FF">
            <w:pPr>
              <w:pStyle w:val="List2"/>
            </w:pPr>
            <w:r w:rsidRPr="00FA23FF">
              <w:t>1.2.</w:t>
            </w:r>
            <w:r w:rsidRPr="00FA23FF">
              <w:tab/>
              <w:t>Use specified personal protective clothing and equipment</w:t>
            </w:r>
          </w:p>
          <w:p w:rsidR="00000000" w:rsidRPr="00FA23FF" w:rsidP="00FA23FF">
            <w:pPr>
              <w:pStyle w:val="List2"/>
            </w:pPr>
            <w:r w:rsidRPr="00FA23FF">
              <w:t>1.3.</w:t>
            </w:r>
            <w:r w:rsidRPr="00FA23FF">
              <w:tab/>
              <w:t>Prepare the work area for safe and effective sample tran</w:t>
            </w:r>
            <w:r w:rsidRPr="00FA23FF">
              <w:t>sfer</w:t>
            </w:r>
          </w:p>
          <w:p w:rsidR="00000000" w:rsidRPr="00FA23FF" w:rsidP="00FA23FF">
            <w:pPr>
              <w:pStyle w:val="List2"/>
            </w:pPr>
            <w:r w:rsidRPr="00FA23FF">
              <w:t>1.4.</w:t>
            </w:r>
            <w:r w:rsidRPr="00FA23FF">
              <w:tab/>
              <w:t>Select equipment and materials specified by the procedure</w:t>
            </w:r>
          </w:p>
          <w:p w:rsidR="00000000" w:rsidRPr="00FA23FF" w:rsidP="00FA23FF">
            <w:pPr>
              <w:pStyle w:val="List2"/>
            </w:pPr>
            <w:r w:rsidRPr="00FA23FF">
              <w:t>1.5.</w:t>
            </w:r>
            <w:r w:rsidRPr="00FA23FF">
              <w:tab/>
              <w:t>Organise equipment to minimise contamination during manipulations</w:t>
            </w:r>
          </w:p>
          <w:p w:rsidR="00000000" w:rsidRPr="00FA23FF" w:rsidP="00FA23FF">
            <w:pPr>
              <w:pStyle w:val="List2"/>
            </w:pPr>
            <w:r w:rsidRPr="00FA23FF">
              <w:t>1.6.</w:t>
            </w:r>
            <w:r w:rsidRPr="00FA23FF">
              <w:tab/>
              <w:t>Label containers for clear identification</w:t>
            </w:r>
          </w:p>
          <w:p w:rsidR="00000000" w:rsidP="00FA23FF">
            <w:pPr>
              <w:pStyle w:val="List2"/>
              <w:rPr>
                <w:lang w:val="en-NZ"/>
              </w:rPr>
            </w:pPr>
            <w:r w:rsidRPr="00FA23FF">
              <w:t>1.7.</w:t>
            </w:r>
            <w:r w:rsidRPr="00FA23FF">
              <w:tab/>
              <w:t>Record details in relevant log or database</w:t>
            </w:r>
          </w:p>
        </w:tc>
      </w:tr>
      <w:tr w:rsidTr="0061360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List"/>
              <w:rPr>
                <w:lang w:val="en-NZ"/>
              </w:rPr>
            </w:pPr>
            <w:r w:rsidRPr="00FA23FF">
              <w:t>2.</w:t>
            </w:r>
            <w:r w:rsidRPr="00FA23FF">
              <w:tab/>
              <w:t>Transfer materials</w:t>
            </w:r>
            <w:r w:rsidRPr="00FA23FF">
              <w:t xml:space="preserve"> aseptically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List2"/>
            </w:pPr>
            <w:r w:rsidRPr="00FA23FF">
              <w:t>2.1.</w:t>
            </w:r>
            <w:r w:rsidRPr="00FA23FF">
              <w:tab/>
              <w:t>Protect the integrity of the sample source by sterilising the sampling site and the mouth of transport or culture vessel</w:t>
            </w:r>
          </w:p>
          <w:p w:rsidR="00000000" w:rsidRPr="00FA23FF" w:rsidP="00FA23FF">
            <w:pPr>
              <w:pStyle w:val="List2"/>
            </w:pPr>
            <w:r w:rsidRPr="00FA23FF">
              <w:t>2.2.</w:t>
            </w:r>
            <w:r w:rsidRPr="00FA23FF">
              <w:tab/>
              <w:t>Sterilise inoculating loops and/or pipette where used to prevent contamination</w:t>
            </w:r>
          </w:p>
          <w:p w:rsidR="00000000" w:rsidRPr="00FA23FF" w:rsidP="00FA23FF">
            <w:pPr>
              <w:pStyle w:val="List2"/>
            </w:pPr>
            <w:r w:rsidRPr="00FA23FF">
              <w:t>2.3.</w:t>
            </w:r>
            <w:r w:rsidRPr="00FA23FF">
              <w:tab/>
              <w:t>Perform transfer while minim</w:t>
            </w:r>
            <w:r w:rsidRPr="00FA23FF">
              <w:t>ising opportunities for contamination and cross-infection</w:t>
            </w:r>
          </w:p>
          <w:p w:rsidR="00000000" w:rsidRPr="00FA23FF" w:rsidP="00FA23FF">
            <w:pPr>
              <w:pStyle w:val="List2"/>
            </w:pPr>
            <w:r w:rsidRPr="00FA23FF">
              <w:t>2.4.</w:t>
            </w:r>
            <w:r w:rsidRPr="00FA23FF">
              <w:tab/>
              <w:t>After transfer, and before sealing the transport or culture vessel, flame the vessel mouth to maintain sterility</w:t>
            </w:r>
          </w:p>
          <w:p w:rsidR="00000000" w:rsidRPr="00FA23FF" w:rsidP="00FA23FF">
            <w:pPr>
              <w:pStyle w:val="List2"/>
            </w:pPr>
            <w:r w:rsidRPr="00FA23FF">
              <w:t>2.5.</w:t>
            </w:r>
            <w:r w:rsidRPr="00FA23FF">
              <w:tab/>
              <w:t>Re-sterilise inoculating loops, minimising the generation of aerosols</w:t>
            </w:r>
          </w:p>
          <w:p w:rsidR="00000000" w:rsidRPr="00FA23FF" w:rsidP="00FA23FF">
            <w:pPr>
              <w:pStyle w:val="List2"/>
            </w:pPr>
            <w:r w:rsidRPr="00FA23FF">
              <w:t>2.6.</w:t>
            </w:r>
            <w:r w:rsidRPr="00FA23FF">
              <w:tab/>
            </w:r>
            <w:r w:rsidRPr="00FA23FF">
              <w:t>Perform quality control checks, if required</w:t>
            </w:r>
          </w:p>
          <w:p w:rsidR="00000000" w:rsidP="00FA23FF">
            <w:pPr>
              <w:pStyle w:val="List2"/>
              <w:rPr>
                <w:lang w:val="en-NZ"/>
              </w:rPr>
            </w:pPr>
            <w:r w:rsidRPr="00FA23FF">
              <w:t>2.7.</w:t>
            </w:r>
            <w:r w:rsidRPr="00FA23FF">
              <w:tab/>
              <w:t>Label transport or culture vessels for clear identification</w:t>
            </w:r>
          </w:p>
        </w:tc>
      </w:tr>
      <w:tr w:rsidTr="0061360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List"/>
              <w:rPr>
                <w:lang w:val="en-NZ"/>
              </w:rPr>
            </w:pPr>
            <w:r w:rsidRPr="00FA23FF">
              <w:t>3.</w:t>
            </w:r>
            <w:r w:rsidRPr="00FA23FF">
              <w:tab/>
              <w:t>Maintain work area and equipment to prevent cross-infection and contamination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List2"/>
            </w:pPr>
            <w:r w:rsidRPr="00FA23FF">
              <w:t>3.1.</w:t>
            </w:r>
            <w:r w:rsidRPr="00FA23FF">
              <w:tab/>
              <w:t>Place disposable and reusable items into relevant receptacle</w:t>
            </w:r>
            <w:r w:rsidRPr="00FA23FF">
              <w:t>s</w:t>
            </w:r>
          </w:p>
          <w:p w:rsidR="00000000" w:rsidRPr="00FA23FF" w:rsidP="00FA23FF">
            <w:pPr>
              <w:pStyle w:val="List2"/>
            </w:pPr>
            <w:r w:rsidRPr="00FA23FF">
              <w:t>3.2.</w:t>
            </w:r>
            <w:r w:rsidRPr="00FA23FF">
              <w:tab/>
              <w:t>Clean and disinfect work area and equipment after use</w:t>
            </w:r>
          </w:p>
          <w:p w:rsidR="00000000" w:rsidRPr="00FA23FF" w:rsidP="00FA23FF">
            <w:pPr>
              <w:pStyle w:val="List2"/>
            </w:pPr>
            <w:r w:rsidRPr="00FA23FF">
              <w:t>3.3.</w:t>
            </w:r>
            <w:r w:rsidRPr="00FA23FF">
              <w:tab/>
              <w:t>Transport disposable and reusable contaminated materials to relevant areas for disinfection, sterilisation and cleaning or disposal</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9" w:name="O_103223"/>
      <w:bookmarkEnd w:id="9"/>
      <w:r w:rsidRPr="00FA23FF">
        <w:t>Required Skills and Knowledge</w:t>
      </w:r>
    </w:p>
    <w:tbl>
      <w:tblPr>
        <w:tblW w:w="0" w:type="auto"/>
        <w:tblLayout w:type="fixed"/>
        <w:tblCellMar>
          <w:left w:w="62" w:type="dxa"/>
          <w:right w:w="62" w:type="dxa"/>
        </w:tblCellMar>
        <w:tblLook w:val="0000"/>
      </w:tblPr>
      <w:tblGrid>
        <w:gridCol w:w="8522"/>
      </w:tblGrid>
      <w:tr w:rsidTr="006136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 xml:space="preserve">REQUIRED </w:t>
            </w:r>
            <w:r w:rsidRPr="00FA23FF">
              <w:rPr>
                <w:rStyle w:val="SpecialBold"/>
              </w:rPr>
              <w:t>SKILLS AND KNOWLEDGE</w:t>
            </w:r>
          </w:p>
        </w:tc>
      </w:tr>
      <w:tr w:rsidTr="006136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t>This section describes the skills and knowledge required for this unit.</w:t>
            </w:r>
          </w:p>
        </w:tc>
      </w:tr>
      <w:tr w:rsidTr="00613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Required skills</w:t>
            </w:r>
          </w:p>
        </w:tc>
      </w:tr>
      <w:tr w:rsidTr="00613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Required skills include:</w:t>
            </w:r>
          </w:p>
          <w:p w:rsidR="00000000" w:rsidRPr="00FA23FF" w:rsidP="00FA23FF">
            <w:pPr>
              <w:pStyle w:val="ListBullet"/>
            </w:pPr>
            <w:r w:rsidRPr="00FA23FF">
              <w:t xml:space="preserve">sterilising equipment such as flasks, loops and pipettes </w:t>
            </w:r>
          </w:p>
          <w:p w:rsidR="00000000" w:rsidRPr="00FA23FF" w:rsidP="00FA23FF">
            <w:pPr>
              <w:pStyle w:val="ListBullet"/>
            </w:pPr>
            <w:r w:rsidRPr="00FA23FF">
              <w:t>handling of laboratory equipment and glassware to prevent contamination</w:t>
            </w:r>
          </w:p>
          <w:p w:rsidR="00000000" w:rsidRPr="00FA23FF" w:rsidP="00FA23FF">
            <w:pPr>
              <w:pStyle w:val="ListBullet"/>
            </w:pPr>
            <w:r w:rsidRPr="00FA23FF">
              <w:t>streak plating of inoculations</w:t>
            </w:r>
          </w:p>
          <w:p w:rsidR="00000000" w:rsidRPr="00FA23FF" w:rsidP="00FA23FF">
            <w:pPr>
              <w:pStyle w:val="ListBullet"/>
            </w:pPr>
            <w:r w:rsidRPr="00FA23FF">
              <w:t xml:space="preserve">sampling transfers </w:t>
            </w:r>
          </w:p>
          <w:p w:rsidR="00000000" w:rsidRPr="00FA23FF" w:rsidP="00FA23FF">
            <w:pPr>
              <w:pStyle w:val="ListBullet"/>
            </w:pPr>
            <w:r w:rsidRPr="00FA23FF">
              <w:t>labelling and storing culture media according to enterprise procedures</w:t>
            </w:r>
          </w:p>
          <w:p w:rsidR="00000000" w:rsidRPr="00FA23FF" w:rsidP="00FA23FF">
            <w:pPr>
              <w:pStyle w:val="ListBullet"/>
            </w:pPr>
            <w:r w:rsidRPr="00FA23FF">
              <w:t>recording data accurately</w:t>
            </w:r>
          </w:p>
          <w:p w:rsidR="00000000" w:rsidRPr="00FA23FF" w:rsidP="00FA23FF">
            <w:pPr>
              <w:pStyle w:val="ListBullet"/>
            </w:pPr>
            <w:r w:rsidRPr="00FA23FF">
              <w:t xml:space="preserve">reporting non-compliance, anomalies </w:t>
            </w:r>
            <w:r w:rsidRPr="00FA23FF">
              <w:t>or outofspecification results</w:t>
            </w:r>
          </w:p>
          <w:p w:rsidR="00000000" w:rsidRPr="00FA23FF" w:rsidP="00FA23FF">
            <w:pPr>
              <w:pStyle w:val="ListBullet"/>
            </w:pPr>
            <w:r w:rsidRPr="00FA23FF">
              <w:t>sorting, collecting, treating, recycling or disposing of waste</w:t>
            </w:r>
          </w:p>
          <w:p w:rsidR="00000000" w:rsidRPr="00FA23FF" w:rsidP="00FA23FF">
            <w:pPr>
              <w:pStyle w:val="ListBullet"/>
            </w:pPr>
            <w:r w:rsidRPr="00FA23FF">
              <w:t>following enterprise procedures consistently</w:t>
            </w:r>
          </w:p>
          <w:p w:rsidR="00000000" w:rsidP="00FA23FF">
            <w:pPr>
              <w:pStyle w:val="ListBullet"/>
              <w:rPr>
                <w:lang w:val="en-NZ"/>
              </w:rPr>
            </w:pPr>
            <w:r w:rsidRPr="00FA23FF">
              <w:t>using appropriate personal protective equipment</w:t>
            </w:r>
          </w:p>
        </w:tc>
      </w:tr>
      <w:tr w:rsidTr="00613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Required knowledge</w:t>
            </w:r>
          </w:p>
        </w:tc>
      </w:tr>
      <w:tr w:rsidTr="006136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Required knowledge includes:</w:t>
            </w:r>
          </w:p>
          <w:p w:rsidR="00000000" w:rsidRPr="00FA23FF" w:rsidP="00FA23FF">
            <w:pPr>
              <w:pStyle w:val="ListBullet"/>
            </w:pPr>
            <w:r w:rsidRPr="00FA23FF">
              <w:t>the relationship be</w:t>
            </w:r>
            <w:r w:rsidRPr="00FA23FF">
              <w:t>tween sterile practices, hygiene procedures and the ability to obtain growth free of contamination</w:t>
            </w:r>
          </w:p>
          <w:p w:rsidR="00000000" w:rsidRPr="00FA23FF" w:rsidP="00FA23FF">
            <w:pPr>
              <w:pStyle w:val="ListBullet"/>
            </w:pPr>
            <w:r w:rsidRPr="00FA23FF">
              <w:t>cleaning and sanitising requirements of equipment and work areaand effects of physical and chemical agents on microbial growth and death</w:t>
            </w:r>
          </w:p>
          <w:p w:rsidR="00000000" w:rsidRPr="00FA23FF" w:rsidP="00FA23FF">
            <w:pPr>
              <w:pStyle w:val="ListBullet"/>
            </w:pPr>
            <w:r w:rsidRPr="00FA23FF">
              <w:t>principles of infection control related to occupational health and safety (OHS), sampling and transfer of materials in microbiological investigations</w:t>
            </w:r>
          </w:p>
          <w:p w:rsidR="00000000" w:rsidRPr="00FA23FF" w:rsidP="00FA23FF">
            <w:pPr>
              <w:pStyle w:val="ListBullet"/>
            </w:pPr>
            <w:r w:rsidRPr="00FA23FF">
              <w:t xml:space="preserve">disinfection and sterilisation procedures used in the collection, processing and safe disposal of samples </w:t>
            </w:r>
            <w:r w:rsidRPr="00FA23FF">
              <w:t>and materials</w:t>
            </w:r>
          </w:p>
          <w:p w:rsidR="00000000" w:rsidRPr="00FA23FF" w:rsidP="00FA23FF">
            <w:pPr>
              <w:pStyle w:val="ListBullet"/>
            </w:pPr>
            <w:r w:rsidRPr="00FA23FF">
              <w:t>importance of pure culture techniques and aseptic transfer to the successful microbiological investigation and correct interpretation of laboratory results</w:t>
            </w:r>
          </w:p>
          <w:p w:rsidR="00000000" w:rsidRPr="00FA23FF" w:rsidP="00FA23FF">
            <w:pPr>
              <w:pStyle w:val="ListBullet"/>
            </w:pPr>
            <w:r w:rsidRPr="00FA23FF">
              <w:t>growth requirements of micro-organisms (bacteria, fungi, protozoans, viruses and multi</w:t>
            </w:r>
            <w:r w:rsidRPr="00FA23FF">
              <w:t>-cellular parasites) in terms of their laboratory culture</w:t>
            </w:r>
          </w:p>
          <w:p w:rsidR="00000000" w:rsidRPr="00FA23FF" w:rsidP="00FA23FF">
            <w:pPr>
              <w:pStyle w:val="ListBullet"/>
            </w:pPr>
            <w:r w:rsidRPr="00FA23FF">
              <w:t>relevant health, safety and environment requirements</w:t>
            </w:r>
          </w:p>
          <w:p w:rsidR="00000000" w:rsidRPr="00FA23FF" w:rsidP="00FA23FF">
            <w:pPr>
              <w:pStyle w:val="BodyText"/>
            </w:pPr>
            <w:r w:rsidRPr="00FA23FF">
              <w:rPr>
                <w:rStyle w:val="SpecialBold"/>
              </w:rPr>
              <w:t>Specific industry</w:t>
            </w:r>
          </w:p>
          <w:p w:rsidR="00000000" w:rsidRPr="00FA23FF" w:rsidP="00FA23FF">
            <w:pPr>
              <w:pStyle w:val="BodyText"/>
            </w:pPr>
            <w:r w:rsidRPr="00FA23FF">
              <w:t>Additional knowledge requirements may apply for different industry sectors. For example:</w:t>
            </w:r>
          </w:p>
          <w:p w:rsidR="00000000" w:rsidRPr="00FA23FF" w:rsidP="00FA23FF">
            <w:pPr>
              <w:pStyle w:val="BodyText"/>
            </w:pPr>
            <w:r w:rsidRPr="00FA23FF">
              <w:t>Food processing:</w:t>
            </w:r>
          </w:p>
          <w:p w:rsidR="00000000" w:rsidRPr="00FA23FF" w:rsidP="00FA23FF">
            <w:pPr>
              <w:pStyle w:val="ListBullet"/>
            </w:pPr>
            <w:r w:rsidRPr="00FA23FF">
              <w:t>food spoilage sympto</w:t>
            </w:r>
            <w:r w:rsidRPr="00FA23FF">
              <w:t>ms</w:t>
            </w:r>
          </w:p>
          <w:p w:rsidR="00000000" w:rsidRPr="00FA23FF" w:rsidP="00FA23FF">
            <w:pPr>
              <w:pStyle w:val="ListBullet"/>
            </w:pPr>
            <w:r w:rsidRPr="00FA23FF">
              <w:t>food safety principles</w:t>
            </w:r>
          </w:p>
          <w:p w:rsidR="00000000" w:rsidRPr="00FA23FF" w:rsidP="00FA23FF">
            <w:pPr>
              <w:pStyle w:val="ListBullet"/>
            </w:pPr>
            <w:r w:rsidRPr="00FA23FF">
              <w:t>beneficial/detrimental organisms relevant to specific food industry sector</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10" w:name="O_103224"/>
      <w:bookmarkEnd w:id="10"/>
      <w:r w:rsidRPr="00FA23FF">
        <w:t>Evidence Guide</w:t>
      </w:r>
    </w:p>
    <w:tbl>
      <w:tblPr>
        <w:tblW w:w="9570" w:type="dxa"/>
        <w:tblLayout w:type="fixed"/>
        <w:tblCellMar>
          <w:left w:w="62" w:type="dxa"/>
          <w:right w:w="62" w:type="dxa"/>
        </w:tblCellMar>
        <w:tblLook w:val="0000"/>
      </w:tblPr>
      <w:tblGrid>
        <w:gridCol w:w="3908"/>
        <w:gridCol w:w="5662"/>
      </w:tblGrid>
      <w:tr w:rsidTr="006136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EVIDENCE GUIDE</w:t>
            </w:r>
          </w:p>
        </w:tc>
      </w:tr>
      <w:tr w:rsidTr="006136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t>The Evidence Guide provides advice on assess</w:t>
            </w:r>
            <w:r w:rsidRPr="00FA23FF">
              <w:t>ment and must be read in conjunction with the performance criteria, required skills and knowledge, range statement and the Assessment Guidelines for the Training Package.</w:t>
            </w:r>
          </w:p>
        </w:tc>
      </w:tr>
      <w:tr w:rsidTr="006136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p>
        </w:tc>
      </w:tr>
      <w:tr w:rsidTr="006136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In particular, assessors should look to see that the candidate:</w:t>
            </w:r>
          </w:p>
          <w:p w:rsidR="00000000" w:rsidRPr="00FA23FF" w:rsidP="00FA23FF">
            <w:pPr>
              <w:pStyle w:val="ListBullet"/>
            </w:pPr>
            <w:r w:rsidRPr="00FA23FF">
              <w:t xml:space="preserve">follows established laboratory procedures, including recording of samples, operation of equipment </w:t>
            </w:r>
            <w:r w:rsidRPr="00FA23FF">
              <w:t>and cleaning/decontamination</w:t>
            </w:r>
          </w:p>
          <w:p w:rsidR="00000000" w:rsidRPr="00FA23FF" w:rsidP="00FA23FF">
            <w:pPr>
              <w:pStyle w:val="ListBullet"/>
            </w:pPr>
            <w:r w:rsidRPr="00FA23FF">
              <w:t>prevents cross-contamination of sample source and sample</w:t>
            </w:r>
          </w:p>
          <w:p w:rsidR="00000000" w:rsidRPr="00FA23FF" w:rsidP="00FA23FF">
            <w:pPr>
              <w:pStyle w:val="ListBullet"/>
            </w:pPr>
            <w:r w:rsidRPr="00FA23FF">
              <w:t>manipulates equipment to prevent contamination of culture medium during transfer</w:t>
            </w:r>
          </w:p>
          <w:p w:rsidR="00000000" w:rsidP="00FA23FF">
            <w:pPr>
              <w:pStyle w:val="ListBullet"/>
              <w:rPr>
                <w:lang w:val="en-NZ"/>
              </w:rPr>
            </w:pPr>
            <w:r w:rsidRPr="00FA23FF">
              <w:t>sterilises equipment as required to prevent cross-contamination of work area, personnel a</w:t>
            </w:r>
            <w:r w:rsidRPr="00FA23FF">
              <w:t>nd environment.</w:t>
            </w:r>
          </w:p>
        </w:tc>
      </w:tr>
      <w:tr w:rsidTr="006136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 xml:space="preserve">This unit of competency is to be assessed in the workplace or simulated workplace environment. </w:t>
            </w:r>
          </w:p>
          <w:p w:rsidR="00000000" w:rsidRPr="00FA23FF" w:rsidP="00FA23FF">
            <w:pPr>
              <w:pStyle w:val="BodyText"/>
            </w:pPr>
            <w:r w:rsidRPr="00FA23FF">
              <w:t>This unit of competency may be assessed with:</w:t>
            </w:r>
          </w:p>
          <w:p w:rsidR="00000000" w:rsidRPr="00FA23FF" w:rsidP="00FA23FF">
            <w:pPr>
              <w:pStyle w:val="ListBullet"/>
            </w:pPr>
            <w:r w:rsidRPr="00FA23FF">
              <w:rPr>
                <w:rStyle w:val="Emphasis"/>
              </w:rPr>
              <w:t>MSL943002A Participate in laboratory</w:t>
            </w:r>
            <w:r w:rsidRPr="00FA23FF">
              <w:t>/</w:t>
            </w:r>
            <w:r w:rsidRPr="00FA23FF">
              <w:rPr>
                <w:rStyle w:val="Emphasis"/>
              </w:rPr>
              <w:t>field work</w:t>
            </w:r>
            <w:r w:rsidRPr="00FA23FF">
              <w:rPr>
                <w:rStyle w:val="Emphasis"/>
              </w:rPr>
              <w:t>place safety</w:t>
            </w:r>
          </w:p>
          <w:p w:rsidR="00000000" w:rsidRPr="00FA23FF" w:rsidP="00FA23FF">
            <w:pPr>
              <w:pStyle w:val="ListBullet"/>
            </w:pPr>
            <w:r w:rsidRPr="00FA23FF">
              <w:rPr>
                <w:rStyle w:val="Emphasis"/>
              </w:rPr>
              <w:t>MSL973003A Prepare culture media</w:t>
            </w:r>
            <w:r w:rsidRPr="00FA23FF">
              <w:t>.</w:t>
            </w:r>
          </w:p>
          <w:p w:rsidR="00000000" w:rsidRPr="00FA23FF" w:rsidP="00FA23FF">
            <w:pPr>
              <w:pStyle w:val="BodyText"/>
            </w:pPr>
            <w:r w:rsidRPr="00FA23FF">
              <w:t>Resources may include:</w:t>
            </w:r>
          </w:p>
          <w:p w:rsidR="00000000" w:rsidRPr="00FA23FF" w:rsidP="00FA23FF">
            <w:pPr>
              <w:pStyle w:val="ListBullet"/>
            </w:pPr>
            <w:r w:rsidRPr="00FA23FF">
              <w:t>standard laboratory with appropriate equipment and materials</w:t>
            </w:r>
          </w:p>
          <w:p w:rsidR="00000000" w:rsidRPr="00FA23FF" w:rsidP="00FA23FF">
            <w:pPr>
              <w:pStyle w:val="ListBullet"/>
            </w:pPr>
            <w:r w:rsidRPr="00FA23FF">
              <w:t>enterprise procedures and standard methods</w:t>
            </w:r>
          </w:p>
          <w:p w:rsidR="00000000" w:rsidP="00FA23FF">
            <w:pPr>
              <w:pStyle w:val="ListBullet"/>
              <w:rPr>
                <w:lang w:val="en-NZ"/>
              </w:rPr>
            </w:pPr>
            <w:r w:rsidRPr="00FA23FF">
              <w:t>MSDS.</w:t>
            </w:r>
          </w:p>
        </w:tc>
      </w:tr>
      <w:tr w:rsidTr="006136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The following assessment methods are suggested:</w:t>
            </w:r>
          </w:p>
          <w:p w:rsidR="00000000" w:rsidRPr="00FA23FF" w:rsidP="00FA23FF">
            <w:pPr>
              <w:pStyle w:val="ListBullet"/>
            </w:pPr>
            <w:r w:rsidRPr="00FA23FF">
              <w:t>review of quality assurance results and examination of samples transferred by the candidate</w:t>
            </w:r>
          </w:p>
          <w:p w:rsidR="00000000" w:rsidRPr="00FA23FF" w:rsidP="00FA23FF">
            <w:pPr>
              <w:pStyle w:val="ListBullet"/>
            </w:pPr>
            <w:r w:rsidRPr="00FA23FF">
              <w:t>observation of the candidate successfully transferring a range of samples</w:t>
            </w:r>
          </w:p>
          <w:p w:rsidR="00000000" w:rsidRPr="00FA23FF" w:rsidP="00FA23FF">
            <w:pPr>
              <w:pStyle w:val="ListBullet"/>
            </w:pPr>
            <w:r w:rsidRPr="00FA23FF">
              <w:t>written and/or oral questioning to assess underpinning knowledge.</w:t>
            </w:r>
          </w:p>
          <w:p w:rsidR="00000000" w:rsidRPr="00FA23FF" w:rsidP="00FA23FF">
            <w:pPr>
              <w:pStyle w:val="BodyText"/>
            </w:pPr>
            <w:r w:rsidRPr="00FA23FF">
              <w:t xml:space="preserve">In all cases, practical </w:t>
            </w:r>
            <w:r w:rsidRPr="00FA23FF">
              <w:t xml:space="preserve">assessment should be supported by questions to assess underpinning knowledge and those aspects of competency which are difficult to assess directly. </w:t>
            </w:r>
          </w:p>
          <w:p w:rsidR="00000000" w:rsidRPr="00FA23FF" w:rsidP="00FA23FF">
            <w:pPr>
              <w:pStyle w:val="BodyText"/>
            </w:pPr>
            <w:r w:rsidRPr="00FA23FF">
              <w:t>Where applicable, reasonable adjustment must be made to work environments and training situations to accom</w:t>
            </w:r>
            <w:r w:rsidRPr="00FA23FF">
              <w:t xml:space="preserve">modate ethnicity, age, gender, demographics and disability. </w:t>
            </w:r>
          </w:p>
          <w:p w:rsidR="00000000" w:rsidRPr="00FA23FF" w:rsidP="00FA23FF">
            <w:pPr>
              <w:pStyle w:val="BodyText"/>
            </w:pPr>
            <w:r w:rsidRPr="00FA23FF">
              <w:t xml:space="preserve">Access must be provided to appropriate learning and/or assessment support when required. </w:t>
            </w:r>
          </w:p>
          <w:p w:rsidR="00000000" w:rsidP="00FA23FF">
            <w:pPr>
              <w:pStyle w:val="BodyText"/>
              <w:rPr>
                <w:lang w:val="en-NZ"/>
              </w:rPr>
            </w:pPr>
            <w:r w:rsidRPr="00FA23FF">
              <w:t>The language, literacy and numeracy demands of assessment should not be greater than those required to un</w:t>
            </w:r>
            <w:r w:rsidRPr="00FA23FF">
              <w:t>dertake the unit of competency in a work like environment.</w:t>
            </w:r>
          </w:p>
        </w:tc>
      </w:tr>
      <w:tr w:rsidTr="006136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Industry representatives have provided the case studies below to illustrate the practical application of this unit of competency and show its relevance in a workplace s</w:t>
            </w:r>
            <w:r w:rsidRPr="00FA23FF">
              <w:t>etting.</w:t>
            </w:r>
          </w:p>
          <w:p w:rsidR="00000000" w:rsidRPr="00FA23FF" w:rsidP="00FA23FF">
            <w:pPr>
              <w:pStyle w:val="BodyText"/>
            </w:pPr>
            <w:r w:rsidRPr="00FA23FF">
              <w:rPr>
                <w:rStyle w:val="SpecialBold"/>
              </w:rPr>
              <w:t>Food processing</w:t>
            </w:r>
          </w:p>
          <w:p w:rsidR="00000000" w:rsidRPr="00FA23FF" w:rsidP="00FA23FF">
            <w:pPr>
              <w:pStyle w:val="BodyText"/>
            </w:pPr>
            <w:r w:rsidRPr="00FA23FF">
              <w:t xml:space="preserve">As part of the quality assurance program at an ice-cream manufacturer, six ice-creams were removed from the production line, placed in sterile bags and then stored in a freezer in the microbiology laboratory. Later in the morning, the laboratory assistant </w:t>
            </w:r>
            <w:r w:rsidRPr="00FA23FF">
              <w:t>removed the samples from the freezer, registered the samples with the date received and test code and signed the register book. She/he then placed the samples in a water bath set at 42(C. While the samples were melting, the laboratory assistant labelled th</w:t>
            </w:r>
            <w:r w:rsidRPr="00FA23FF">
              <w:t>e respective agar plates with the registered codes. Using aseptic techniques she/he carefully transferred 1ml of ice-cream mix into the total plate count agar. The plates were then placed in the incubator. The final results were noted and recorded.</w:t>
            </w:r>
          </w:p>
          <w:p w:rsidR="00000000" w:rsidRPr="00FA23FF" w:rsidP="00FA23FF">
            <w:pPr>
              <w:pStyle w:val="BodyText"/>
            </w:pPr>
            <w:r w:rsidRPr="00FA23FF">
              <w:rPr>
                <w:rStyle w:val="SpecialBold"/>
              </w:rPr>
              <w:t>Biomedi</w:t>
            </w:r>
            <w:r w:rsidRPr="00FA23FF">
              <w:rPr>
                <w:rStyle w:val="SpecialBold"/>
              </w:rPr>
              <w:t>cal</w:t>
            </w:r>
          </w:p>
          <w:p w:rsidR="00000000" w:rsidRPr="00FA23FF" w:rsidP="00FA23FF">
            <w:pPr>
              <w:pStyle w:val="BodyText"/>
            </w:pPr>
            <w:r w:rsidRPr="00FA23FF">
              <w:t>In preparation for antibiotic sensitivity testing and biochemical identification of presumed pathogenic bacteria, a technical assistant was asked to prepare a sterile peptone suspension of a lactose fermenting colony. The colony had been previously ide</w:t>
            </w:r>
            <w:r w:rsidRPr="00FA23FF">
              <w:t>ntified by the supervisor on a MacConkey's agar plate. The assistant labelled a 5mL tube of peptone broth with the sample number and a code for the identified colony and then donned a pair of disposable gloves. Bringing the labelled tube and the MacConkey'</w:t>
            </w:r>
            <w:r w:rsidRPr="00FA23FF">
              <w:t xml:space="preserve">s plate near to the Bunsen, she/he took an inoculating loop and sterilised it in the incandescent flame. She/he carefully cooled the loop in a sterile area of the agar and gently scraped off half the colony. With the other hand, and in the vicinity of the </w:t>
            </w:r>
            <w:r w:rsidRPr="00FA23FF">
              <w:t>heated air of the Bunsen, she/he removed the cover of the peptone tube in her/his crooked finger. In a continuous and coordinated way she/he flamed the lip of the tube and emulsified the colony in the broth. She/he then flamed the lip of the tube and repla</w:t>
            </w:r>
            <w:r w:rsidRPr="00FA23FF">
              <w:t>ced its cover. Finally, the technical assistant re-sterilised the inoculating loop by introducing and holding it in the Bunsen flame to minimise the generation of bacterial aerosols.</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11" w:name="O_103225"/>
      <w:bookmarkEnd w:id="11"/>
      <w:r w:rsidRPr="00FA23FF">
        <w:t>Range Statement</w:t>
      </w:r>
    </w:p>
    <w:tbl>
      <w:tblPr>
        <w:tblW w:w="0" w:type="auto"/>
        <w:tblLayout w:type="fixed"/>
        <w:tblCellMar>
          <w:left w:w="62" w:type="dxa"/>
          <w:right w:w="62" w:type="dxa"/>
        </w:tblCellMar>
        <w:tblLook w:val="0000"/>
      </w:tblPr>
      <w:tblGrid>
        <w:gridCol w:w="3482"/>
        <w:gridCol w:w="5040"/>
      </w:tblGrid>
      <w:tr w:rsidTr="006136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RANGE STATEMENT</w:t>
            </w:r>
          </w:p>
        </w:tc>
      </w:tr>
      <w:tr w:rsidTr="006136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t>The range statement relates to the unit of competency as a whole. It allows for different work environments and situations that may affect performance. Bold italicised wording, if used in the performance criteria, is detailed below. Essential operating con</w:t>
            </w:r>
            <w:r w:rsidRPr="00FA23FF">
              <w:t>ditions that may be present with training and assessment (depending on the work situation, needs of the candidate, accessibility of the item, and local industry and regional contexts) may also be included.</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t>Where reference</w:t>
            </w:r>
            <w:r w:rsidRPr="00FA23FF">
              <w:t xml:space="preserve"> is made to industry codes of practice, and/or Australian/international standards, it is expected the latest version will be used</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Standards</w:t>
            </w:r>
            <w:r w:rsidRPr="00FA23FF">
              <w:t xml:space="preserve">, </w:t>
            </w:r>
            <w:r w:rsidRPr="00FA23FF">
              <w:rPr>
                <w:rStyle w:val="SpecialBold"/>
              </w:rPr>
              <w:t>codes</w:t>
            </w:r>
            <w:r w:rsidRPr="00FA23FF">
              <w:t xml:space="preserve">, </w:t>
            </w:r>
            <w:r w:rsidRPr="00FA23FF">
              <w:rPr>
                <w:rStyle w:val="SpecialBold"/>
              </w:rPr>
              <w:t>procedures and</w:t>
            </w:r>
            <w:r w:rsidRPr="00FA23FF">
              <w:t>/</w:t>
            </w:r>
            <w:r w:rsidRPr="00FA23FF">
              <w:rPr>
                <w:rStyle w:val="SpecialBold"/>
              </w:rPr>
              <w:t>or enterprise requirements</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 xml:space="preserve">Standards, codes, procedures and/or enterprise requirements may </w:t>
            </w:r>
            <w:r w:rsidRPr="00FA23FF">
              <w:t>include:</w:t>
            </w:r>
          </w:p>
          <w:p w:rsidR="00000000" w:rsidRPr="00FA23FF" w:rsidP="00FA23FF">
            <w:pPr>
              <w:pStyle w:val="ListBullet"/>
            </w:pPr>
            <w:r w:rsidRPr="00FA23FF">
              <w:t>Australian and international standards, such as:</w:t>
            </w:r>
          </w:p>
          <w:p w:rsidR="00000000" w:rsidRPr="00FA23FF" w:rsidP="00FA23FF">
            <w:pPr>
              <w:pStyle w:val="ListBullet2"/>
            </w:pPr>
            <w:r w:rsidRPr="00FA23FF">
              <w:t>AS/NZS 2243 Set:2006 Safety in laboratories set</w:t>
            </w:r>
          </w:p>
          <w:p w:rsidR="00000000" w:rsidRPr="00FA23FF" w:rsidP="00FA23FF">
            <w:pPr>
              <w:pStyle w:val="ListBullet2"/>
            </w:pPr>
            <w:r w:rsidRPr="00FA23FF">
              <w:t>AS/NZS 2982.1:1997 Laboratory design and construction - General requirements</w:t>
            </w:r>
          </w:p>
          <w:p w:rsidR="00000000" w:rsidRPr="00FA23FF" w:rsidP="00FA23FF">
            <w:pPr>
              <w:pStyle w:val="ListBullet2"/>
            </w:pPr>
            <w:r w:rsidRPr="00FA23FF">
              <w:t>AS/NZS 4187:2003 Cleaning, disinfecting and sterilising reusable medical and surgical instruments and equipment and maintenance of associated environments in health care facilities</w:t>
            </w:r>
          </w:p>
          <w:p w:rsidR="00000000" w:rsidRPr="00FA23FF" w:rsidP="00FA23FF">
            <w:pPr>
              <w:pStyle w:val="ListBullet2"/>
            </w:pPr>
            <w:r w:rsidRPr="00FA23FF">
              <w:t xml:space="preserve">AS/NZS ISO 14000 Set:2005 Environmental management standards set </w:t>
            </w:r>
          </w:p>
          <w:p w:rsidR="00000000" w:rsidRPr="00FA23FF" w:rsidP="00FA23FF">
            <w:pPr>
              <w:pStyle w:val="ListBullet"/>
            </w:pPr>
            <w:r w:rsidRPr="00FA23FF">
              <w:t>HB 9-199</w:t>
            </w:r>
            <w:r w:rsidRPr="00FA23FF">
              <w:t>4 Occupational personal protection</w:t>
            </w:r>
          </w:p>
          <w:p w:rsidR="00000000" w:rsidRPr="00FA23FF" w:rsidP="00FA23FF">
            <w:pPr>
              <w:pStyle w:val="ListBullet"/>
            </w:pPr>
            <w:r w:rsidRPr="00FA23FF">
              <w:t xml:space="preserve">Australia New Zealand Food Standards (ANZFS) Code </w:t>
            </w:r>
          </w:p>
          <w:p w:rsidR="00000000" w:rsidRPr="00FA23FF" w:rsidP="00FA23FF">
            <w:pPr>
              <w:pStyle w:val="ListBullet"/>
            </w:pPr>
            <w:r w:rsidRPr="00FA23FF">
              <w:t>Australian code of good manufacturing practice for medicinal products (GMP)</w:t>
            </w:r>
          </w:p>
          <w:p w:rsidR="00000000" w:rsidRPr="00FA23FF" w:rsidP="00FA23FF">
            <w:pPr>
              <w:pStyle w:val="ListBullet"/>
            </w:pPr>
            <w:r w:rsidRPr="00FA23FF">
              <w:t>Australian Dangerous Goods Code</w:t>
            </w:r>
          </w:p>
          <w:p w:rsidR="00000000" w:rsidRPr="00FA23FF" w:rsidP="00FA23FF">
            <w:pPr>
              <w:pStyle w:val="ListBullet"/>
            </w:pPr>
            <w:r w:rsidRPr="00FA23FF">
              <w:t>client and product specifications</w:t>
            </w:r>
          </w:p>
          <w:p w:rsidR="00000000" w:rsidRPr="00FA23FF" w:rsidP="00FA23FF">
            <w:pPr>
              <w:pStyle w:val="ListBullet"/>
            </w:pPr>
            <w:r w:rsidRPr="00FA23FF">
              <w:t xml:space="preserve">manufacturer's instructions </w:t>
            </w:r>
            <w:r w:rsidRPr="00FA23FF">
              <w:t>or verbal direction from laboratory manager, supervisor or senior technician</w:t>
            </w:r>
          </w:p>
          <w:p w:rsidR="00000000" w:rsidRPr="00FA23FF" w:rsidP="00FA23FF">
            <w:pPr>
              <w:pStyle w:val="ListBullet"/>
            </w:pPr>
            <w:r w:rsidRPr="00FA23FF">
              <w:t>material safety data sheets (MSDS)</w:t>
            </w:r>
          </w:p>
          <w:p w:rsidR="00000000" w:rsidRPr="00FA23FF" w:rsidP="00FA23FF">
            <w:pPr>
              <w:pStyle w:val="ListBullet"/>
            </w:pPr>
            <w:r w:rsidRPr="00FA23FF">
              <w:t>National Code of Practice for the labelling of workplace substances [NOHSC:2012 (1994)]</w:t>
            </w:r>
          </w:p>
          <w:p w:rsidR="00000000" w:rsidRPr="00FA23FF" w:rsidP="00FA23FF">
            <w:pPr>
              <w:pStyle w:val="ListBullet"/>
            </w:pPr>
            <w:r w:rsidRPr="00FA23FF">
              <w:t>National Health and Medical Research Council (NHMRC) Gui</w:t>
            </w:r>
            <w:r w:rsidRPr="00FA23FF">
              <w:t>delines</w:t>
            </w:r>
          </w:p>
          <w:p w:rsidR="00000000" w:rsidRPr="00FA23FF" w:rsidP="00FA23FF">
            <w:pPr>
              <w:pStyle w:val="ListBullet"/>
            </w:pPr>
            <w:r w:rsidRPr="00FA23FF">
              <w:t>OHS national standards and codes of practice</w:t>
            </w:r>
          </w:p>
          <w:p w:rsidR="00000000" w:rsidRPr="00FA23FF" w:rsidP="00FA23FF">
            <w:pPr>
              <w:pStyle w:val="ListBullet"/>
            </w:pPr>
            <w:r w:rsidRPr="00FA23FF">
              <w:t>operation and maintenance manuals for automated media preparation equipment</w:t>
            </w:r>
          </w:p>
          <w:p w:rsidR="00000000" w:rsidRPr="00FA23FF" w:rsidP="00FA23FF">
            <w:pPr>
              <w:pStyle w:val="ListBullet"/>
            </w:pPr>
            <w:r w:rsidRPr="00FA23FF">
              <w:t>principles of good laboratory practice (GLP)</w:t>
            </w:r>
          </w:p>
          <w:p w:rsidR="00000000" w:rsidRPr="00FA23FF" w:rsidP="00FA23FF">
            <w:pPr>
              <w:pStyle w:val="ListBullet"/>
            </w:pPr>
            <w:r w:rsidRPr="00FA23FF">
              <w:t>production schedules and instructions</w:t>
            </w:r>
          </w:p>
          <w:p w:rsidR="00000000" w:rsidP="00FA23FF">
            <w:pPr>
              <w:pStyle w:val="ListBullet"/>
              <w:rPr>
                <w:lang w:val="en-NZ"/>
              </w:rPr>
            </w:pPr>
            <w:r w:rsidRPr="00FA23FF">
              <w:t>standard operating procedures (SOPs)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Personal protective equipment</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Personal protective equipment may include:</w:t>
            </w:r>
          </w:p>
          <w:p w:rsidR="00000000" w:rsidRPr="00FA23FF" w:rsidP="00FA23FF">
            <w:pPr>
              <w:pStyle w:val="ListBullet"/>
            </w:pPr>
            <w:r w:rsidRPr="00FA23FF">
              <w:t>gloves, safety glasses, goggles, face guards, coveralls, gowns, body suits and respirators</w:t>
            </w:r>
          </w:p>
          <w:p w:rsidR="00000000" w:rsidP="00FA23FF">
            <w:pPr>
              <w:pStyle w:val="ListBullet"/>
              <w:rPr>
                <w:lang w:val="en-NZ"/>
              </w:rPr>
            </w:pPr>
            <w:r w:rsidRPr="00FA23FF">
              <w:t>biohazard containers and laminar flow cabinets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Sample pot and transfer media and the subc</w:t>
            </w:r>
            <w:r w:rsidRPr="00FA23FF">
              <w:rPr>
                <w:rStyle w:val="SpecialBold"/>
              </w:rPr>
              <w:t>ulturing and</w:t>
            </w:r>
            <w:r w:rsidRPr="00FA23FF">
              <w:t>/</w:t>
            </w:r>
            <w:r w:rsidRPr="00FA23FF">
              <w:rPr>
                <w:rStyle w:val="SpecialBold"/>
              </w:rPr>
              <w:t>or passaging of culture</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Sample pot and transfer media and the subculturing and/or passaging of culture to:</w:t>
            </w:r>
          </w:p>
          <w:p w:rsidR="00000000" w:rsidRPr="00FA23FF" w:rsidP="00FA23FF">
            <w:pPr>
              <w:pStyle w:val="ListBullet"/>
            </w:pPr>
            <w:r w:rsidRPr="00FA23FF">
              <w:t>sterile broth</w:t>
            </w:r>
          </w:p>
          <w:p w:rsidR="00000000" w:rsidRPr="00FA23FF" w:rsidP="00FA23FF">
            <w:pPr>
              <w:pStyle w:val="ListBullet"/>
            </w:pPr>
            <w:r w:rsidRPr="00FA23FF">
              <w:t>media for isolation of colony</w:t>
            </w:r>
          </w:p>
          <w:p w:rsidR="00000000" w:rsidRPr="00FA23FF" w:rsidP="00FA23FF">
            <w:pPr>
              <w:pStyle w:val="ListBullet"/>
            </w:pPr>
            <w:r w:rsidRPr="00FA23FF">
              <w:t>tissue culture media</w:t>
            </w:r>
          </w:p>
          <w:p w:rsidR="00000000" w:rsidP="00FA23FF">
            <w:pPr>
              <w:pStyle w:val="ListBullet"/>
              <w:rPr>
                <w:lang w:val="en-NZ"/>
              </w:rPr>
            </w:pPr>
            <w:r w:rsidRPr="00FA23FF">
              <w:t>media for continuous culture systems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Samples</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Samples may include:</w:t>
            </w:r>
          </w:p>
          <w:p w:rsidR="00000000" w:rsidRPr="00FA23FF" w:rsidP="00FA23FF">
            <w:pPr>
              <w:pStyle w:val="ListBullet"/>
            </w:pPr>
            <w:r w:rsidRPr="00FA23FF">
              <w:t>body fluids and liquids</w:t>
            </w:r>
          </w:p>
          <w:p w:rsidR="00000000" w:rsidRPr="00FA23FF" w:rsidP="00FA23FF">
            <w:pPr>
              <w:pStyle w:val="ListBullet"/>
            </w:pPr>
            <w:r w:rsidRPr="00FA23FF">
              <w:t>water and soil</w:t>
            </w:r>
          </w:p>
          <w:p w:rsidR="00000000" w:rsidRPr="00FA23FF" w:rsidP="00FA23FF">
            <w:pPr>
              <w:pStyle w:val="ListBullet"/>
            </w:pPr>
            <w:r w:rsidRPr="00FA23FF">
              <w:t>sterile pharmaceuticals</w:t>
            </w:r>
          </w:p>
          <w:p w:rsidR="00000000" w:rsidRPr="00FA23FF" w:rsidP="00FA23FF">
            <w:pPr>
              <w:pStyle w:val="ListBullet"/>
            </w:pPr>
            <w:r w:rsidRPr="00FA23FF">
              <w:t>yeasts and moulds</w:t>
            </w:r>
          </w:p>
          <w:p w:rsidR="00000000" w:rsidRPr="00FA23FF" w:rsidP="00FA23FF">
            <w:pPr>
              <w:pStyle w:val="ListBullet"/>
            </w:pPr>
            <w:r w:rsidRPr="00FA23FF">
              <w:t>milk and yoghurt</w:t>
            </w:r>
          </w:p>
          <w:p w:rsidR="00000000" w:rsidRPr="00FA23FF" w:rsidP="00FA23FF">
            <w:pPr>
              <w:pStyle w:val="ListBullet"/>
            </w:pPr>
            <w:r w:rsidRPr="00FA23FF">
              <w:t>swabs and smears</w:t>
            </w:r>
          </w:p>
          <w:p w:rsidR="00000000" w:rsidRPr="00FA23FF" w:rsidP="00FA23FF">
            <w:pPr>
              <w:pStyle w:val="ListBullet"/>
            </w:pPr>
            <w:r w:rsidRPr="00FA23FF">
              <w:t>propagation tissue</w:t>
            </w:r>
          </w:p>
          <w:p w:rsidR="00000000" w:rsidRPr="00FA23FF" w:rsidP="00FA23FF">
            <w:pPr>
              <w:pStyle w:val="ListBullet"/>
            </w:pPr>
            <w:r w:rsidRPr="00FA23FF">
              <w:t>plant material</w:t>
            </w:r>
          </w:p>
          <w:p w:rsidR="00000000" w:rsidP="00FA23FF">
            <w:pPr>
              <w:pStyle w:val="ListBullet"/>
              <w:rPr>
                <w:lang w:val="en-NZ"/>
              </w:rPr>
            </w:pPr>
            <w:r w:rsidRPr="00FA23FF">
              <w:t>fermented foods and beverages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Equipment</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Equipment may include:</w:t>
            </w:r>
          </w:p>
          <w:p w:rsidR="00000000" w:rsidRPr="00FA23FF" w:rsidP="00FA23FF">
            <w:pPr>
              <w:pStyle w:val="ListBullet"/>
            </w:pPr>
            <w:r w:rsidRPr="00FA23FF">
              <w:t>transfer equipment, such as inoculating loops, pipettes (quantitative and qualitative), flasks, tubes and spatulas</w:t>
            </w:r>
          </w:p>
          <w:p w:rsidR="00000000" w:rsidRPr="00FA23FF" w:rsidP="00FA23FF">
            <w:pPr>
              <w:pStyle w:val="ListBullet"/>
            </w:pPr>
            <w:r w:rsidRPr="00FA23FF">
              <w:t>Bunsen burners and bench incinerators</w:t>
            </w:r>
          </w:p>
          <w:p w:rsidR="00000000" w:rsidRPr="00FA23FF" w:rsidP="00FA23FF">
            <w:pPr>
              <w:pStyle w:val="ListBullet"/>
            </w:pPr>
            <w:r w:rsidRPr="00FA23FF">
              <w:t>anaerobic jars</w:t>
            </w:r>
          </w:p>
          <w:p w:rsidR="00000000" w:rsidRPr="00FA23FF" w:rsidP="00FA23FF">
            <w:pPr>
              <w:pStyle w:val="ListBullet"/>
            </w:pPr>
            <w:r w:rsidRPr="00FA23FF">
              <w:t>incubators, water baths, refrigerators, freezers and possibly dry ice and liquid nitroge</w:t>
            </w:r>
            <w:r w:rsidRPr="00FA23FF">
              <w:t>n cylinders</w:t>
            </w:r>
          </w:p>
          <w:p w:rsidR="00000000" w:rsidRPr="00FA23FF" w:rsidP="00FA23FF">
            <w:pPr>
              <w:pStyle w:val="ListBullet"/>
            </w:pPr>
            <w:r w:rsidRPr="00FA23FF">
              <w:t>laminar flow units and biohazard cabinets</w:t>
            </w:r>
          </w:p>
          <w:p w:rsidR="00000000" w:rsidRPr="00FA23FF" w:rsidP="00FA23FF">
            <w:pPr>
              <w:pStyle w:val="ListBullet"/>
            </w:pPr>
            <w:r w:rsidRPr="00FA23FF">
              <w:t>autoclave or pressure cooker</w:t>
            </w:r>
          </w:p>
          <w:p w:rsidR="00000000" w:rsidRPr="00FA23FF" w:rsidP="00FA23FF">
            <w:pPr>
              <w:pStyle w:val="ListBullet"/>
            </w:pPr>
            <w:r w:rsidRPr="00FA23FF">
              <w:t>swabs</w:t>
            </w:r>
          </w:p>
          <w:p w:rsidR="00000000" w:rsidP="00FA23FF">
            <w:pPr>
              <w:pStyle w:val="ListBullet"/>
              <w:rPr>
                <w:lang w:val="en-NZ"/>
              </w:rPr>
            </w:pPr>
            <w:r w:rsidRPr="00FA23FF">
              <w:t>continuous culture systems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The range of material</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The range of material may involve:</w:t>
            </w:r>
          </w:p>
          <w:p w:rsidR="00000000" w:rsidRPr="00FA23FF" w:rsidP="00FA23FF">
            <w:pPr>
              <w:pStyle w:val="ListBullet"/>
            </w:pPr>
            <w:r w:rsidRPr="00FA23FF">
              <w:t>solid and/or liquid media</w:t>
            </w:r>
          </w:p>
          <w:p w:rsidR="00000000" w:rsidRPr="00FA23FF" w:rsidP="00FA23FF">
            <w:pPr>
              <w:pStyle w:val="ListBullet"/>
            </w:pPr>
            <w:r w:rsidRPr="00FA23FF">
              <w:t>supplied media, such as media manufactured in the enter</w:t>
            </w:r>
            <w:r w:rsidRPr="00FA23FF">
              <w:t>prise or raw material supplies for media</w:t>
            </w:r>
          </w:p>
          <w:p w:rsidR="00000000" w:rsidRPr="00FA23FF" w:rsidP="00FA23FF">
            <w:pPr>
              <w:pStyle w:val="ListBullet"/>
            </w:pPr>
            <w:r w:rsidRPr="00FA23FF">
              <w:t>disinfecting and sterilising agents and materials, such as methylated spirits, ethanol and ether</w:t>
            </w:r>
          </w:p>
          <w:p w:rsidR="00000000" w:rsidRPr="00FA23FF" w:rsidP="00FA23FF">
            <w:pPr>
              <w:pStyle w:val="ListBullet"/>
            </w:pPr>
            <w:r w:rsidRPr="00FA23FF">
              <w:t>disposable equipment and clothing</w:t>
            </w:r>
          </w:p>
          <w:p w:rsidR="00000000" w:rsidRPr="00FA23FF" w:rsidP="00FA23FF">
            <w:pPr>
              <w:pStyle w:val="ListBullet"/>
            </w:pPr>
            <w:r w:rsidRPr="00FA23FF">
              <w:t>tissue culture media</w:t>
            </w:r>
          </w:p>
          <w:p w:rsidR="00000000" w:rsidRPr="00FA23FF" w:rsidP="00FA23FF">
            <w:pPr>
              <w:pStyle w:val="ListBullet"/>
            </w:pPr>
            <w:r w:rsidRPr="00FA23FF">
              <w:t>growth media in broths, plates, deeps or slopes</w:t>
            </w:r>
          </w:p>
          <w:p w:rsidR="00000000" w:rsidRPr="00FA23FF" w:rsidP="00FA23FF">
            <w:pPr>
              <w:pStyle w:val="ListBullet"/>
            </w:pPr>
            <w:r w:rsidRPr="00FA23FF">
              <w:t>receptacles for safe disposal of wastes and for processing of reusable materials</w:t>
            </w:r>
          </w:p>
          <w:p w:rsidR="00000000" w:rsidP="00FA23FF">
            <w:pPr>
              <w:pStyle w:val="ListBullet"/>
              <w:rPr>
                <w:lang w:val="en-NZ"/>
              </w:rPr>
            </w:pPr>
            <w:r w:rsidRPr="00FA23FF">
              <w:t>bar coding material and labels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Sterilisation techniques</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Sterilisation techniques may include:</w:t>
            </w:r>
          </w:p>
          <w:p w:rsidR="00000000" w:rsidRPr="00FA23FF" w:rsidP="00FA23FF">
            <w:pPr>
              <w:pStyle w:val="ListBullet"/>
            </w:pPr>
            <w:r w:rsidRPr="00FA23FF">
              <w:t>autoclaving</w:t>
            </w:r>
          </w:p>
          <w:p w:rsidR="00000000" w:rsidRPr="00FA23FF" w:rsidP="00FA23FF">
            <w:pPr>
              <w:pStyle w:val="ListBullet"/>
            </w:pPr>
            <w:r w:rsidRPr="00FA23FF">
              <w:t>flaming</w:t>
            </w:r>
          </w:p>
          <w:p w:rsidR="00000000" w:rsidRPr="00FA23FF" w:rsidP="00FA23FF">
            <w:pPr>
              <w:pStyle w:val="ListBullet"/>
            </w:pPr>
            <w:r w:rsidRPr="00FA23FF">
              <w:t>steam and membrane filtration</w:t>
            </w:r>
          </w:p>
          <w:p w:rsidR="00000000" w:rsidRPr="00FA23FF" w:rsidP="00FA23FF">
            <w:pPr>
              <w:pStyle w:val="ListBullet"/>
            </w:pPr>
            <w:r w:rsidRPr="00FA23FF">
              <w:t>boiling</w:t>
            </w:r>
          </w:p>
          <w:p w:rsidR="00000000" w:rsidRPr="00FA23FF" w:rsidP="00FA23FF">
            <w:pPr>
              <w:pStyle w:val="ListBullet"/>
            </w:pPr>
            <w:r w:rsidRPr="00FA23FF">
              <w:t>microwaving</w:t>
            </w:r>
          </w:p>
          <w:p w:rsidR="00000000" w:rsidRPr="00FA23FF" w:rsidP="00FA23FF">
            <w:pPr>
              <w:pStyle w:val="ListBullet"/>
            </w:pPr>
            <w:r w:rsidRPr="00FA23FF">
              <w:t>radiatio</w:t>
            </w:r>
            <w:r w:rsidRPr="00FA23FF">
              <w:t>n</w:t>
            </w:r>
          </w:p>
          <w:p w:rsidR="00000000" w:rsidRPr="00FA23FF" w:rsidP="00FA23FF">
            <w:pPr>
              <w:pStyle w:val="ListBullet"/>
            </w:pPr>
            <w:r w:rsidRPr="00FA23FF">
              <w:t>high temperature</w:t>
            </w:r>
          </w:p>
          <w:p w:rsidR="00000000" w:rsidRPr="00FA23FF" w:rsidP="00FA23FF">
            <w:pPr>
              <w:pStyle w:val="ListBullet"/>
            </w:pPr>
            <w:r w:rsidRPr="00FA23FF">
              <w:t>high pressure steam</w:t>
            </w:r>
          </w:p>
          <w:p w:rsidR="00000000" w:rsidP="00FA23FF">
            <w:pPr>
              <w:pStyle w:val="ListBullet"/>
              <w:rPr>
                <w:lang w:val="en-NZ"/>
              </w:rPr>
            </w:pPr>
            <w:r w:rsidRPr="00FA23FF">
              <w:t>gas and chemical treatments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Quality control checks</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Quality control checks may include:</w:t>
            </w:r>
          </w:p>
          <w:p w:rsidR="00000000" w:rsidRPr="00FA23FF" w:rsidP="00FA23FF">
            <w:pPr>
              <w:pStyle w:val="ListBullet"/>
            </w:pPr>
            <w:r w:rsidRPr="00FA23FF">
              <w:t>streaking out of cultures to a single colony</w:t>
            </w:r>
          </w:p>
          <w:p w:rsidR="00000000" w:rsidP="00FA23FF">
            <w:pPr>
              <w:pStyle w:val="ListBullet"/>
              <w:rPr>
                <w:lang w:val="en-NZ"/>
              </w:rPr>
            </w:pPr>
            <w:r w:rsidRPr="00FA23FF">
              <w:t>lawn cultures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Hazards</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Hazards may include:</w:t>
            </w:r>
          </w:p>
          <w:p w:rsidR="00000000" w:rsidRPr="00FA23FF" w:rsidP="00FA23FF">
            <w:pPr>
              <w:pStyle w:val="ListBullet"/>
            </w:pPr>
            <w:r w:rsidRPr="00FA23FF">
              <w:t>accessing the sample from difficult or dangerous areas</w:t>
            </w:r>
          </w:p>
          <w:p w:rsidR="00000000" w:rsidRPr="00FA23FF" w:rsidP="00FA23FF">
            <w:pPr>
              <w:pStyle w:val="ListBullet"/>
            </w:pPr>
            <w:r w:rsidRPr="00FA23FF">
              <w:t>dry ice and liquid nitrogen vapour</w:t>
            </w:r>
          </w:p>
          <w:p w:rsidR="00000000" w:rsidRPr="00FA23FF" w:rsidP="00FA23FF">
            <w:pPr>
              <w:pStyle w:val="ListBullet"/>
            </w:pPr>
            <w:r w:rsidRPr="00FA23FF">
              <w:t>ultraviolet (UV) light sources</w:t>
            </w:r>
          </w:p>
          <w:p w:rsidR="00000000" w:rsidRPr="00FA23FF" w:rsidP="00FA23FF">
            <w:pPr>
              <w:pStyle w:val="ListBullet"/>
            </w:pPr>
            <w:r w:rsidRPr="00FA23FF">
              <w:t>heat from Bunsen burners</w:t>
            </w:r>
          </w:p>
          <w:p w:rsidR="00000000" w:rsidRPr="00FA23FF" w:rsidP="00FA23FF">
            <w:pPr>
              <w:pStyle w:val="ListBullet"/>
            </w:pPr>
            <w:r w:rsidRPr="00FA23FF">
              <w:t>molten agar</w:t>
            </w:r>
          </w:p>
          <w:p w:rsidR="00000000" w:rsidRPr="00FA23FF" w:rsidP="00FA23FF">
            <w:pPr>
              <w:pStyle w:val="ListBullet"/>
            </w:pPr>
            <w:r w:rsidRPr="00FA23FF">
              <w:t>sharps</w:t>
            </w:r>
          </w:p>
          <w:p w:rsidR="00000000" w:rsidP="00FA23FF">
            <w:pPr>
              <w:pStyle w:val="ListBullet"/>
              <w:rPr>
                <w:lang w:val="en-NZ"/>
              </w:rPr>
            </w:pPr>
            <w:r w:rsidRPr="00FA23FF">
              <w:t>hazardous substances and/or infectious agents</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Workplace information may include:</w:t>
            </w:r>
          </w:p>
          <w:p w:rsidR="00000000" w:rsidRPr="00FA23FF" w:rsidP="00FA23FF">
            <w:pPr>
              <w:pStyle w:val="ListBullet"/>
            </w:pPr>
            <w:r w:rsidRPr="00FA23FF">
              <w:t>SOPs</w:t>
            </w:r>
          </w:p>
          <w:p w:rsidR="00000000" w:rsidRPr="00FA23FF" w:rsidP="00FA23FF">
            <w:pPr>
              <w:pStyle w:val="ListBullet"/>
            </w:pPr>
            <w:r w:rsidRPr="00FA23FF">
              <w:t>specifications for safe waste disposal of bio-hazardous materials</w:t>
            </w:r>
          </w:p>
          <w:p w:rsidR="00000000" w:rsidRPr="00FA23FF" w:rsidP="00FA23FF">
            <w:pPr>
              <w:pStyle w:val="ListBullet"/>
            </w:pPr>
            <w:r w:rsidRPr="00FA23FF">
              <w:t>production schedules and instructions</w:t>
            </w:r>
          </w:p>
          <w:p w:rsidR="00000000" w:rsidRPr="00FA23FF" w:rsidP="00FA23FF">
            <w:pPr>
              <w:pStyle w:val="ListBullet"/>
            </w:pPr>
            <w:r w:rsidRPr="00FA23FF">
              <w:t>work notes</w:t>
            </w:r>
          </w:p>
          <w:p w:rsidR="00000000" w:rsidRPr="00FA23FF" w:rsidP="00FA23FF">
            <w:pPr>
              <w:pStyle w:val="ListBullet"/>
            </w:pPr>
            <w:r w:rsidRPr="00FA23FF">
              <w:t>MSDS</w:t>
            </w:r>
          </w:p>
          <w:p w:rsidR="00000000" w:rsidRPr="00FA23FF" w:rsidP="00FA23FF">
            <w:pPr>
              <w:pStyle w:val="ListBullet"/>
            </w:pPr>
            <w:r w:rsidRPr="00FA23FF">
              <w:t>manufacturer's instructions</w:t>
            </w:r>
          </w:p>
          <w:p w:rsidR="00000000" w:rsidRPr="00FA23FF" w:rsidP="00FA23FF">
            <w:pPr>
              <w:pStyle w:val="ListBullet"/>
            </w:pPr>
            <w:r w:rsidRPr="00FA23FF">
              <w:t>verbal instructions from laboratory manager, supervisor or senior t</w:t>
            </w:r>
            <w:r w:rsidRPr="00FA23FF">
              <w:t>echnician</w:t>
            </w:r>
          </w:p>
          <w:p w:rsidR="00000000" w:rsidP="00FA23FF">
            <w:pPr>
              <w:pStyle w:val="ListBullet"/>
              <w:rPr>
                <w:lang w:val="en-NZ"/>
              </w:rPr>
            </w:pPr>
            <w:r w:rsidRPr="00FA23FF">
              <w:t>guidelines for small scale genetic manipulation work</w:t>
            </w:r>
          </w:p>
        </w:tc>
      </w:tr>
      <w:tr w:rsidTr="0061360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Occupational health and safety</w:t>
            </w:r>
            <w:r w:rsidRPr="00FA23FF">
              <w:t xml:space="preserve"> (</w:t>
            </w:r>
            <w:r w:rsidRPr="00FA23FF">
              <w:rPr>
                <w:rStyle w:val="SpecialBold"/>
              </w:rPr>
              <w:t>OHS</w:t>
            </w:r>
            <w:r w:rsidRPr="00FA23FF">
              <w:t xml:space="preserve">) </w:t>
            </w:r>
            <w:r w:rsidRPr="00FA23FF">
              <w:rPr>
                <w:rStyle w:val="SpecialBold"/>
              </w:rPr>
              <w:t>and environmental management requirements</w:t>
            </w:r>
            <w:r w:rsidRPr="00FA23F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OHS and environmental management requirements:</w:t>
            </w:r>
          </w:p>
          <w:p w:rsidR="00000000" w:rsidRPr="00FA23FF" w:rsidP="00FA23FF">
            <w:pPr>
              <w:pStyle w:val="ListBullet"/>
            </w:pPr>
            <w:r w:rsidRPr="00FA23FF">
              <w:t>all operations must comply with enterprise OHS and environmental management requirements, which may be imposed through state/territory or federal legislation - these requirements must not be compromised at any time</w:t>
            </w:r>
          </w:p>
          <w:p w:rsidR="00000000" w:rsidRPr="00FA23FF" w:rsidP="00FA23FF">
            <w:pPr>
              <w:pStyle w:val="ListBullet"/>
            </w:pPr>
            <w:r w:rsidRPr="00FA23FF">
              <w:t>all operations assume the potentially haz</w:t>
            </w:r>
            <w:r w:rsidRPr="00FA23FF">
              <w:t>ardous nature of samples and require standard precautions to be applied</w:t>
            </w:r>
          </w:p>
          <w:p w:rsidR="00000000" w:rsidRPr="00FA23FF" w:rsidP="00FA23FF">
            <w:pPr>
              <w:pStyle w:val="ListBullet"/>
            </w:pPr>
            <w:r w:rsidRPr="00FA23FF">
              <w:t>where relevant, users should access and apply current industry understanding of infection control issued by the National Health and Medical Research Council (NHMRC) and State and Terri</w:t>
            </w:r>
            <w:r w:rsidRPr="00FA23FF">
              <w:t>tory Departments of Health</w:t>
            </w:r>
          </w:p>
        </w:tc>
      </w:tr>
    </w:tbl>
    <w:p w:rsidR="00613600" w:rsidP="00FA23FF">
      <w:pPr>
        <w:pStyle w:val="BodyText"/>
      </w:pPr>
    </w:p>
    <w:p w:rsidR="00613600" w:rsidP="00FA23FF">
      <w:pPr>
        <w:pStyle w:val="BodyText"/>
      </w:pPr>
    </w:p>
    <w:p w:rsidR="00000000" w:rsidRPr="00FA23FF" w:rsidP="00FA23FF">
      <w:pPr>
        <w:pStyle w:val="Heading1"/>
      </w:pPr>
      <w:bookmarkStart w:id="12" w:name="O_103226"/>
      <w:bookmarkEnd w:id="12"/>
      <w:r w:rsidRPr="00FA23FF">
        <w:t>Unit Sector(s)</w:t>
      </w:r>
    </w:p>
    <w:tbl>
      <w:tblPr>
        <w:tblW w:w="0" w:type="auto"/>
        <w:tblLayout w:type="fixed"/>
        <w:tblCellMar>
          <w:left w:w="62" w:type="dxa"/>
          <w:right w:w="62" w:type="dxa"/>
        </w:tblCellMar>
        <w:tblLook w:val="0000"/>
      </w:tblPr>
      <w:tblGrid>
        <w:gridCol w:w="2619"/>
        <w:gridCol w:w="5903"/>
      </w:tblGrid>
      <w:tr w:rsidTr="0061360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r w:rsidRPr="00FA23FF">
              <w:t>Testing</w:t>
            </w: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13" w:name="O_159518"/>
      <w:bookmarkEnd w:id="13"/>
      <w:r w:rsidRPr="00FA23FF">
        <w:t>Competency field</w:t>
      </w:r>
    </w:p>
    <w:tbl>
      <w:tblPr>
        <w:tblW w:w="0" w:type="auto"/>
        <w:tblLayout w:type="fixed"/>
        <w:tblCellMar>
          <w:left w:w="62" w:type="dxa"/>
          <w:right w:w="62" w:type="dxa"/>
        </w:tblCellMar>
        <w:tblLook w:val="0000"/>
      </w:tblPr>
      <w:tblGrid>
        <w:gridCol w:w="2784"/>
        <w:gridCol w:w="5738"/>
      </w:tblGrid>
      <w:tr w:rsidTr="006136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p>
        </w:tc>
      </w:tr>
    </w:tbl>
    <w:p w:rsidR="00000000" w:rsidRPr="00FA23FF" w:rsidP="00FA23FF">
      <w:pPr>
        <w:pStyle w:val="BodyText"/>
      </w:pPr>
    </w:p>
    <w:p w:rsidR="00000000" w:rsidRPr="00FA23FF" w:rsidP="00FA23FF">
      <w:pPr>
        <w:pStyle w:val="AllowPageBreak"/>
      </w:pPr>
    </w:p>
    <w:p w:rsidR="00000000" w:rsidRPr="00FA23FF" w:rsidP="00FA23FF">
      <w:pPr>
        <w:pStyle w:val="Heading1"/>
      </w:pPr>
      <w:bookmarkStart w:id="14" w:name="O_159517"/>
      <w:bookmarkEnd w:id="14"/>
      <w:r w:rsidRPr="00FA23FF">
        <w:t>Co-requisite units</w:t>
      </w:r>
    </w:p>
    <w:tbl>
      <w:tblPr>
        <w:tblW w:w="0" w:type="auto"/>
        <w:tblLayout w:type="fixed"/>
        <w:tblCellMar>
          <w:left w:w="62" w:type="dxa"/>
          <w:right w:w="62" w:type="dxa"/>
        </w:tblCellMar>
        <w:tblLook w:val="0000"/>
      </w:tblPr>
      <w:tblGrid>
        <w:gridCol w:w="2641"/>
        <w:gridCol w:w="1322"/>
        <w:gridCol w:w="4559"/>
      </w:tblGrid>
      <w:tr w:rsidTr="006136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r w:rsidRPr="00FA23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p>
        </w:tc>
      </w:tr>
      <w:tr w:rsidTr="006136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3FF">
            <w:pPr>
              <w:pStyle w:val="BodyText"/>
              <w:rPr>
                <w:lang w:val="en-NZ"/>
              </w:rPr>
            </w:pPr>
          </w:p>
        </w:tc>
      </w:tr>
      <w:tr w:rsidTr="006136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3FF" w:rsidP="00FA23FF">
            <w:pPr>
              <w:pStyle w:val="BodyText"/>
            </w:pPr>
          </w:p>
        </w:tc>
      </w:tr>
    </w:tbl>
    <w:p w:rsidR="00000000" w:rsidRPr="00FA23FF" w:rsidP="00FA23FF">
      <w:pPr>
        <w:pStyle w:val="BodyText"/>
      </w:pPr>
    </w:p>
    <w:p w:rsidR="00000000" w:rsidRPr="00FA23FF" w:rsidP="00FA23FF"/>
    <w:sectPr w:rsidSect="00FA23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600" w:rsidP="00613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00" w:rsidP="00FA2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3600" w:rsidP="00FA23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3600" w:rsidP="00FA23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600" w:rsidP="006136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00" w:rsidP="00FA23FF">
    <w:pPr>
      <w:pStyle w:val="Header"/>
      <w:framePr w:wrap="around"/>
    </w:pPr>
    <w:r>
      <w:fldChar w:fldCharType="begin"/>
    </w:r>
    <w:r>
      <w:instrText xml:space="preserve"> TITLE   \* MERGEFORMAT </w:instrText>
    </w:r>
    <w:r>
      <w:fldChar w:fldCharType="separate"/>
    </w:r>
    <w:r>
      <w:t>MSL973004A Perform aseptic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600" w:rsidP="00FA23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26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47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8D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3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3FF"/>
    <w:pPr>
      <w:spacing w:before="360" w:after="60"/>
      <w:outlineLvl w:val="0"/>
    </w:pPr>
    <w:rPr>
      <w:sz w:val="32"/>
    </w:rPr>
  </w:style>
  <w:style w:type="paragraph" w:styleId="Heading2">
    <w:name w:val="heading 2"/>
    <w:basedOn w:val="HeadingBase"/>
    <w:next w:val="BodyText"/>
    <w:link w:val="Heading2Char"/>
    <w:qFormat/>
    <w:rsid w:val="00FA23FF"/>
    <w:pPr>
      <w:keepLines/>
      <w:spacing w:before="240" w:after="120"/>
      <w:outlineLvl w:val="1"/>
    </w:pPr>
    <w:rPr>
      <w:sz w:val="28"/>
      <w:szCs w:val="40"/>
    </w:rPr>
  </w:style>
  <w:style w:type="paragraph" w:styleId="Heading3">
    <w:name w:val="heading 3"/>
    <w:basedOn w:val="HeadingBase"/>
    <w:next w:val="BodyText"/>
    <w:link w:val="Heading3Char"/>
    <w:qFormat/>
    <w:rsid w:val="00FA23FF"/>
    <w:pPr>
      <w:spacing w:before="180" w:after="120"/>
      <w:outlineLvl w:val="2"/>
    </w:pPr>
    <w:rPr>
      <w:spacing w:val="-10"/>
      <w:kern w:val="32"/>
    </w:rPr>
  </w:style>
  <w:style w:type="paragraph" w:styleId="Heading4">
    <w:name w:val="heading 4"/>
    <w:basedOn w:val="HeadingBase"/>
    <w:next w:val="BodyText"/>
    <w:link w:val="Heading4Char"/>
    <w:qFormat/>
    <w:rsid w:val="00FA23FF"/>
    <w:pPr>
      <w:spacing w:before="160" w:after="120"/>
      <w:outlineLvl w:val="3"/>
    </w:pPr>
    <w:rPr>
      <w:sz w:val="22"/>
    </w:rPr>
  </w:style>
  <w:style w:type="paragraph" w:styleId="Heading5">
    <w:name w:val="heading 5"/>
    <w:basedOn w:val="HeadingBase"/>
    <w:next w:val="Normal"/>
    <w:link w:val="Heading5Char"/>
    <w:qFormat/>
    <w:rsid w:val="00FA23FF"/>
    <w:pPr>
      <w:spacing w:before="80"/>
      <w:outlineLvl w:val="4"/>
    </w:pPr>
    <w:rPr>
      <w:color w:val="918585"/>
      <w:sz w:val="20"/>
    </w:rPr>
  </w:style>
  <w:style w:type="paragraph" w:styleId="Heading6">
    <w:name w:val="heading 6"/>
    <w:basedOn w:val="HeadingBase"/>
    <w:next w:val="Normal"/>
    <w:link w:val="Heading6Char"/>
    <w:qFormat/>
    <w:rsid w:val="00FA23FF"/>
    <w:pPr>
      <w:spacing w:before="60"/>
      <w:outlineLvl w:val="5"/>
    </w:pPr>
    <w:rPr>
      <w:color w:val="918585"/>
      <w:sz w:val="20"/>
    </w:rPr>
  </w:style>
  <w:style w:type="paragraph" w:styleId="Heading7">
    <w:name w:val="heading 7"/>
    <w:basedOn w:val="Normal"/>
    <w:next w:val="Normal"/>
    <w:link w:val="Heading7Char"/>
    <w:qFormat/>
    <w:rsid w:val="00FA23FF"/>
    <w:pPr>
      <w:ind w:left="720"/>
      <w:outlineLvl w:val="6"/>
    </w:pPr>
    <w:rPr>
      <w:i/>
    </w:rPr>
  </w:style>
  <w:style w:type="paragraph" w:styleId="Heading8">
    <w:name w:val="heading 8"/>
    <w:basedOn w:val="Normal"/>
    <w:next w:val="Normal"/>
    <w:link w:val="Heading8Char"/>
    <w:qFormat/>
    <w:rsid w:val="00FA23FF"/>
    <w:pPr>
      <w:ind w:left="720"/>
      <w:outlineLvl w:val="7"/>
    </w:pPr>
    <w:rPr>
      <w:i/>
    </w:rPr>
  </w:style>
  <w:style w:type="paragraph" w:styleId="Heading9">
    <w:name w:val="heading 9"/>
    <w:basedOn w:val="Normal"/>
    <w:next w:val="Normal"/>
    <w:link w:val="Heading9Char"/>
    <w:qFormat/>
    <w:rsid w:val="00FA23FF"/>
    <w:pPr>
      <w:ind w:left="720"/>
      <w:outlineLvl w:val="8"/>
    </w:pPr>
    <w:rPr>
      <w:i/>
    </w:rPr>
  </w:style>
  <w:style w:type="character" w:default="1" w:styleId="DefaultParagraphFont">
    <w:name w:val="Default Paragraph Font"/>
    <w:uiPriority w:val="1"/>
    <w:unhideWhenUsed/>
    <w:rsid w:val="00FA2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3FF"/>
  </w:style>
  <w:style w:type="character" w:customStyle="1" w:styleId="Heading1Char">
    <w:name w:val="Heading 1 Char"/>
    <w:basedOn w:val="DefaultParagraphFont"/>
    <w:link w:val="Heading1"/>
    <w:rsid w:val="00FA23FF"/>
    <w:rPr>
      <w:rFonts w:ascii="Times New Roman" w:eastAsia="Times New Roman" w:hAnsi="Times New Roman" w:cs="Times New Roman"/>
      <w:b/>
      <w:sz w:val="32"/>
      <w:szCs w:val="20"/>
      <w:lang w:eastAsia="en-US"/>
    </w:rPr>
  </w:style>
  <w:style w:type="paragraph" w:styleId="BodyText">
    <w:name w:val="Body Text"/>
    <w:basedOn w:val="Normal"/>
    <w:link w:val="BodyTextChar"/>
    <w:rsid w:val="00FA23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3FF"/>
    <w:rPr>
      <w:rFonts w:ascii="Times New Roman" w:eastAsia="Times New Roman" w:hAnsi="Times New Roman" w:cs="Times New Roman"/>
      <w:sz w:val="24"/>
      <w:lang w:val="en-US" w:eastAsia="en-US"/>
    </w:rPr>
  </w:style>
  <w:style w:type="paragraph" w:styleId="Footer">
    <w:name w:val="footer"/>
    <w:basedOn w:val="Normal"/>
    <w:link w:val="FooterChar"/>
    <w:rsid w:val="00FA2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3FF"/>
    <w:rPr>
      <w:rFonts w:ascii="Times New Roman" w:eastAsia="Times New Roman" w:hAnsi="Times New Roman" w:cs="Times New Roman"/>
      <w:sz w:val="16"/>
      <w:lang w:val="en-US" w:eastAsia="en-US"/>
    </w:rPr>
  </w:style>
  <w:style w:type="paragraph" w:styleId="List">
    <w:name w:val="List"/>
    <w:basedOn w:val="BodyText"/>
    <w:next w:val="BodyText"/>
    <w:rsid w:val="00FA23FF"/>
    <w:pPr>
      <w:tabs>
        <w:tab w:val="left" w:pos="340"/>
      </w:tabs>
      <w:spacing w:before="60" w:after="60"/>
      <w:ind w:left="340" w:hanging="340"/>
    </w:pPr>
  </w:style>
  <w:style w:type="paragraph" w:styleId="ListBullet">
    <w:name w:val="List Bullet"/>
    <w:basedOn w:val="List"/>
    <w:rsid w:val="00FA23FF"/>
    <w:pPr>
      <w:numPr>
        <w:numId w:val="13"/>
      </w:numPr>
      <w:tabs>
        <w:tab w:val="clear" w:pos="340"/>
      </w:tabs>
      <w:spacing w:before="40" w:after="40"/>
    </w:pPr>
  </w:style>
  <w:style w:type="character" w:customStyle="1" w:styleId="SpecialBold">
    <w:name w:val="Special Bold"/>
    <w:basedOn w:val="DefaultParagraphFont"/>
    <w:rsid w:val="00FA23FF"/>
    <w:rPr>
      <w:b/>
      <w:spacing w:val="0"/>
    </w:rPr>
  </w:style>
  <w:style w:type="paragraph" w:styleId="ListBullet2">
    <w:name w:val="List Bullet 2"/>
    <w:basedOn w:val="List2"/>
    <w:rsid w:val="00FA23FF"/>
    <w:pPr>
      <w:numPr>
        <w:numId w:val="14"/>
      </w:numPr>
      <w:tabs>
        <w:tab w:val="clear" w:pos="680"/>
      </w:tabs>
    </w:pPr>
  </w:style>
  <w:style w:type="paragraph" w:styleId="Header">
    <w:name w:val="header"/>
    <w:basedOn w:val="Normal"/>
    <w:link w:val="HeaderChar"/>
    <w:rsid w:val="00FA2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3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23FF"/>
    <w:rPr>
      <w:i/>
    </w:rPr>
  </w:style>
  <w:style w:type="paragraph" w:customStyle="1" w:styleId="SuperHeading">
    <w:name w:val="SuperHeading"/>
    <w:basedOn w:val="Normal"/>
    <w:rsid w:val="00FA23FF"/>
    <w:pPr>
      <w:spacing w:before="240" w:after="120"/>
      <w:outlineLvl w:val="0"/>
    </w:pPr>
    <w:rPr>
      <w:rFonts w:ascii="Times New Roman" w:hAnsi="Times New Roman"/>
      <w:b/>
      <w:sz w:val="28"/>
    </w:rPr>
  </w:style>
  <w:style w:type="paragraph" w:customStyle="1" w:styleId="AllowPageBreak">
    <w:name w:val="AllowPageBreak"/>
    <w:rsid w:val="00FA23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3FF"/>
    <w:pPr>
      <w:tabs>
        <w:tab w:val="left" w:pos="680"/>
      </w:tabs>
      <w:spacing w:before="60" w:after="60"/>
      <w:ind w:left="680" w:hanging="340"/>
    </w:pPr>
  </w:style>
  <w:style w:type="character" w:customStyle="1" w:styleId="Heading2Char">
    <w:name w:val="Heading 2 Char"/>
    <w:basedOn w:val="DefaultParagraphFont"/>
    <w:link w:val="Heading2"/>
    <w:rsid w:val="00FA2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3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3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3FF"/>
    <w:rPr>
      <w:rFonts w:ascii="Courier New" w:eastAsia="Times New Roman" w:hAnsi="Courier New" w:cs="Times New Roman"/>
      <w:i/>
      <w:szCs w:val="20"/>
      <w:lang w:val="en-US" w:eastAsia="en-US"/>
    </w:rPr>
  </w:style>
  <w:style w:type="paragraph" w:customStyle="1" w:styleId="HeadingBase">
    <w:name w:val="Heading Base"/>
    <w:rsid w:val="00FA2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3FF"/>
    <w:pPr>
      <w:tabs>
        <w:tab w:val="right" w:leader="dot" w:pos="9072"/>
      </w:tabs>
      <w:ind w:left="567"/>
    </w:pPr>
    <w:rPr>
      <w:szCs w:val="22"/>
    </w:rPr>
  </w:style>
  <w:style w:type="paragraph" w:customStyle="1" w:styleId="TOCBase">
    <w:name w:val="TOC Base"/>
    <w:rsid w:val="00FA2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3FF"/>
    <w:pPr>
      <w:tabs>
        <w:tab w:val="right" w:leader="dot" w:pos="9072"/>
      </w:tabs>
      <w:spacing w:before="40" w:after="40"/>
      <w:ind w:left="284"/>
    </w:pPr>
    <w:rPr>
      <w:rFonts w:ascii="Times New Roman" w:hAnsi="Times New Roman"/>
    </w:rPr>
  </w:style>
  <w:style w:type="paragraph" w:styleId="TOC1">
    <w:name w:val="toc 1"/>
    <w:basedOn w:val="TOCBase"/>
    <w:next w:val="Normal"/>
    <w:rsid w:val="00FA23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3FF"/>
    <w:pPr>
      <w:spacing w:before="5040"/>
      <w:jc w:val="center"/>
    </w:pPr>
    <w:rPr>
      <w:sz w:val="48"/>
      <w:szCs w:val="72"/>
      <w:lang w:val="en-US"/>
    </w:rPr>
  </w:style>
  <w:style w:type="character" w:customStyle="1" w:styleId="TitleChar">
    <w:name w:val="Title Char"/>
    <w:basedOn w:val="DefaultParagraphFont"/>
    <w:link w:val="Title"/>
    <w:rsid w:val="00FA2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3FF"/>
    <w:pPr>
      <w:tabs>
        <w:tab w:val="left" w:pos="3600"/>
        <w:tab w:val="left" w:pos="3958"/>
      </w:tabs>
    </w:pPr>
  </w:style>
  <w:style w:type="paragraph" w:customStyle="1" w:styleId="Note">
    <w:name w:val="Note"/>
    <w:basedOn w:val="BodyText"/>
    <w:rsid w:val="00FA23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3FF"/>
    <w:pPr>
      <w:framePr w:wrap="auto" w:hAnchor="text" w:y="6049"/>
    </w:pPr>
    <w:rPr>
      <w:color w:val="000000"/>
      <w:sz w:val="40"/>
    </w:rPr>
  </w:style>
  <w:style w:type="paragraph" w:customStyle="1" w:styleId="TOCTitle">
    <w:name w:val="TOCTitle"/>
    <w:basedOn w:val="Heading1"/>
    <w:rsid w:val="00FA23FF"/>
    <w:pPr>
      <w:spacing w:after="240"/>
      <w:jc w:val="center"/>
      <w:outlineLvl w:val="9"/>
    </w:pPr>
    <w:rPr>
      <w:caps/>
    </w:rPr>
  </w:style>
  <w:style w:type="paragraph" w:customStyle="1" w:styleId="Version">
    <w:name w:val="Version"/>
    <w:rsid w:val="00FA23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3FF"/>
    <w:pPr>
      <w:keepNext w:val="0"/>
      <w:tabs>
        <w:tab w:val="right" w:pos="4176"/>
      </w:tabs>
      <w:ind w:left="198" w:hanging="198"/>
    </w:pPr>
    <w:rPr>
      <w:rFonts w:ascii="Garamond" w:hAnsi="Garamond"/>
    </w:rPr>
  </w:style>
  <w:style w:type="paragraph" w:styleId="IndexHeading">
    <w:name w:val="index heading"/>
    <w:basedOn w:val="Normal"/>
    <w:next w:val="Index1"/>
    <w:semiHidden/>
    <w:rsid w:val="00FA23FF"/>
    <w:pPr>
      <w:spacing w:before="120" w:after="120"/>
    </w:pPr>
    <w:rPr>
      <w:rFonts w:ascii="Arial" w:hAnsi="Arial"/>
      <w:b/>
      <w:color w:val="918585"/>
      <w:sz w:val="24"/>
    </w:rPr>
  </w:style>
  <w:style w:type="paragraph" w:customStyle="1" w:styleId="Chapter">
    <w:name w:val="Chapter"/>
    <w:basedOn w:val="Normal"/>
    <w:rsid w:val="00FA23FF"/>
    <w:pPr>
      <w:spacing w:before="240"/>
    </w:pPr>
    <w:rPr>
      <w:rFonts w:ascii="Times New Roman" w:hAnsi="Times New Roman"/>
      <w:smallCaps/>
      <w:spacing w:val="80"/>
      <w:sz w:val="28"/>
    </w:rPr>
  </w:style>
  <w:style w:type="paragraph" w:customStyle="1" w:styleId="InChapter">
    <w:name w:val="InChapter"/>
    <w:basedOn w:val="Heading3"/>
    <w:rsid w:val="00FA23FF"/>
    <w:pPr>
      <w:spacing w:after="240"/>
      <w:outlineLvl w:val="9"/>
    </w:pPr>
    <w:rPr>
      <w:noProof/>
    </w:rPr>
  </w:style>
  <w:style w:type="paragraph" w:styleId="Index2">
    <w:name w:val="index 2"/>
    <w:basedOn w:val="Normal"/>
    <w:next w:val="Normal"/>
    <w:semiHidden/>
    <w:rsid w:val="00FA23FF"/>
    <w:pPr>
      <w:tabs>
        <w:tab w:val="right" w:pos="4176"/>
      </w:tabs>
      <w:ind w:left="568" w:hanging="284"/>
    </w:pPr>
    <w:rPr>
      <w:rFonts w:ascii="Garamond" w:hAnsi="Garamond"/>
    </w:rPr>
  </w:style>
  <w:style w:type="paragraph" w:customStyle="1" w:styleId="Byline">
    <w:name w:val="Byline"/>
    <w:rsid w:val="00FA2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3FF"/>
    <w:pPr>
      <w:tabs>
        <w:tab w:val="clear" w:pos="3600"/>
        <w:tab w:val="clear" w:pos="3958"/>
      </w:tabs>
      <w:jc w:val="right"/>
    </w:pPr>
  </w:style>
  <w:style w:type="paragraph" w:styleId="Caption">
    <w:name w:val="caption"/>
    <w:basedOn w:val="BodyText"/>
    <w:next w:val="Normal"/>
    <w:qFormat/>
    <w:rsid w:val="00FA23FF"/>
    <w:pPr>
      <w:framePr w:w="2268" w:hSpace="181" w:vSpace="181" w:wrap="around" w:vAnchor="text" w:hAnchor="page" w:x="1135" w:y="285" w:anchorLock="1"/>
    </w:pPr>
    <w:rPr>
      <w:i/>
    </w:rPr>
  </w:style>
  <w:style w:type="paragraph" w:customStyle="1" w:styleId="MiniTOCTitle">
    <w:name w:val="MiniTOCTitle"/>
    <w:basedOn w:val="Heading4"/>
    <w:rsid w:val="00FA23FF"/>
    <w:pPr>
      <w:spacing w:before="240"/>
      <w:outlineLvl w:val="9"/>
    </w:pPr>
    <w:rPr>
      <w:noProof/>
      <w:sz w:val="24"/>
    </w:rPr>
  </w:style>
  <w:style w:type="paragraph" w:customStyle="1" w:styleId="MiniTOCItem">
    <w:name w:val="MiniTOCItem"/>
    <w:basedOn w:val="ListBullet"/>
    <w:rsid w:val="00FA23FF"/>
    <w:pPr>
      <w:numPr>
        <w:numId w:val="0"/>
      </w:numPr>
      <w:tabs>
        <w:tab w:val="right" w:leader="dot" w:pos="6521"/>
      </w:tabs>
      <w:spacing w:before="0" w:after="0"/>
    </w:pPr>
  </w:style>
  <w:style w:type="paragraph" w:customStyle="1" w:styleId="TOFTitle">
    <w:name w:val="TOFTitle"/>
    <w:basedOn w:val="TOCTitle"/>
    <w:rsid w:val="00FA23FF"/>
  </w:style>
  <w:style w:type="paragraph" w:styleId="TableofFigures">
    <w:name w:val="table of figures"/>
    <w:basedOn w:val="Normal"/>
    <w:next w:val="Normal"/>
    <w:semiHidden/>
    <w:rsid w:val="00FA23FF"/>
    <w:pPr>
      <w:tabs>
        <w:tab w:val="right" w:leader="dot" w:pos="9072"/>
      </w:tabs>
      <w:ind w:left="970" w:hanging="403"/>
    </w:pPr>
    <w:rPr>
      <w:rFonts w:ascii="Times New Roman" w:hAnsi="Times New Roman"/>
      <w:b/>
    </w:rPr>
  </w:style>
  <w:style w:type="paragraph" w:styleId="ListNumber">
    <w:name w:val="List Number"/>
    <w:basedOn w:val="List"/>
    <w:rsid w:val="00FA23FF"/>
    <w:pPr>
      <w:numPr>
        <w:numId w:val="11"/>
      </w:numPr>
    </w:pPr>
  </w:style>
  <w:style w:type="character" w:customStyle="1" w:styleId="WingdingSymbols">
    <w:name w:val="Wingding Symbols"/>
    <w:rsid w:val="00FA23FF"/>
    <w:rPr>
      <w:rFonts w:ascii="Wingdings" w:hAnsi="Wingdings"/>
    </w:rPr>
  </w:style>
  <w:style w:type="paragraph" w:customStyle="1" w:styleId="TableHeading">
    <w:name w:val="Table Heading"/>
    <w:basedOn w:val="HeadingBase"/>
    <w:rsid w:val="00FA23FF"/>
    <w:pPr>
      <w:keepLines/>
      <w:pBdr>
        <w:bottom w:val="single" w:sz="6" w:space="1" w:color="918585"/>
      </w:pBdr>
      <w:spacing w:before="240"/>
    </w:pPr>
  </w:style>
  <w:style w:type="character" w:customStyle="1" w:styleId="HotSpot">
    <w:name w:val="HotSpot"/>
    <w:rsid w:val="00FA23FF"/>
    <w:rPr>
      <w:color w:val="0033CC"/>
      <w:u w:val="none"/>
    </w:rPr>
  </w:style>
  <w:style w:type="paragraph" w:customStyle="1" w:styleId="BodyTextRight">
    <w:name w:val="Body Text Right"/>
    <w:basedOn w:val="BodyText"/>
    <w:rsid w:val="00FA23FF"/>
    <w:pPr>
      <w:spacing w:before="0" w:after="0"/>
      <w:jc w:val="right"/>
    </w:pPr>
  </w:style>
  <w:style w:type="paragraph" w:styleId="Index3">
    <w:name w:val="index 3"/>
    <w:basedOn w:val="ListNumber2"/>
    <w:next w:val="Normal"/>
    <w:semiHidden/>
    <w:rsid w:val="00FA23FF"/>
    <w:pPr>
      <w:numPr>
        <w:numId w:val="0"/>
      </w:numPr>
      <w:tabs>
        <w:tab w:val="right" w:leader="dot" w:pos="4176"/>
      </w:tabs>
    </w:pPr>
  </w:style>
  <w:style w:type="paragraph" w:styleId="ListNumber2">
    <w:name w:val="List Number 2"/>
    <w:basedOn w:val="List2"/>
    <w:rsid w:val="00FA23FF"/>
    <w:pPr>
      <w:numPr>
        <w:numId w:val="10"/>
      </w:numPr>
      <w:tabs>
        <w:tab w:val="clear" w:pos="1060"/>
      </w:tabs>
    </w:pPr>
  </w:style>
  <w:style w:type="paragraph" w:customStyle="1" w:styleId="MarginNote">
    <w:name w:val="Margin Note"/>
    <w:basedOn w:val="BodyText"/>
    <w:rsid w:val="00FA2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3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3FF"/>
    <w:rPr>
      <w:sz w:val="32"/>
    </w:rPr>
  </w:style>
  <w:style w:type="paragraph" w:customStyle="1" w:styleId="HeadingProcedure">
    <w:name w:val="Heading Procedure"/>
    <w:basedOn w:val="HeadingBase"/>
    <w:next w:val="Normal"/>
    <w:rsid w:val="00FA23FF"/>
    <w:pPr>
      <w:tabs>
        <w:tab w:val="left" w:pos="0"/>
      </w:tabs>
      <w:spacing w:before="120" w:after="60"/>
    </w:pPr>
    <w:rPr>
      <w:i/>
      <w:color w:val="918585"/>
      <w:sz w:val="22"/>
    </w:rPr>
  </w:style>
  <w:style w:type="paragraph" w:customStyle="1" w:styleId="TableBodyText">
    <w:name w:val="Table Body Text"/>
    <w:basedOn w:val="BodyText"/>
    <w:rsid w:val="00FA23FF"/>
    <w:pPr>
      <w:spacing w:before="60" w:after="60"/>
    </w:pPr>
  </w:style>
  <w:style w:type="paragraph" w:styleId="ListContinue">
    <w:name w:val="List Continue"/>
    <w:basedOn w:val="List"/>
    <w:rsid w:val="00FA23FF"/>
    <w:pPr>
      <w:ind w:firstLine="0"/>
    </w:pPr>
  </w:style>
  <w:style w:type="paragraph" w:customStyle="1" w:styleId="ListNote">
    <w:name w:val="List Note"/>
    <w:basedOn w:val="List"/>
    <w:rsid w:val="00FA23FF"/>
    <w:pPr>
      <w:pBdr>
        <w:top w:val="single" w:sz="6" w:space="2" w:color="918585"/>
        <w:bottom w:val="single" w:sz="6" w:space="2" w:color="918585"/>
      </w:pBdr>
      <w:tabs>
        <w:tab w:val="left" w:pos="1021"/>
      </w:tabs>
      <w:ind w:firstLine="0"/>
    </w:pPr>
  </w:style>
  <w:style w:type="paragraph" w:customStyle="1" w:styleId="Warning">
    <w:name w:val="Warning"/>
    <w:basedOn w:val="BodyText"/>
    <w:rsid w:val="00FA23FF"/>
    <w:pPr>
      <w:shd w:val="clear" w:color="auto" w:fill="D9D9D9"/>
      <w:tabs>
        <w:tab w:val="left" w:pos="992"/>
      </w:tabs>
      <w:ind w:left="119" w:right="119"/>
    </w:pPr>
    <w:rPr>
      <w:sz w:val="20"/>
    </w:rPr>
  </w:style>
  <w:style w:type="paragraph" w:customStyle="1" w:styleId="MarginIcons">
    <w:name w:val="Margin Icons"/>
    <w:basedOn w:val="BodyText"/>
    <w:rsid w:val="00FA2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3FF"/>
    <w:rPr>
      <w:rFonts w:ascii="Courier New" w:hAnsi="Courier New"/>
    </w:rPr>
  </w:style>
  <w:style w:type="paragraph" w:customStyle="1" w:styleId="NoteBullet">
    <w:name w:val="Note Bullet"/>
    <w:basedOn w:val="Note"/>
    <w:rsid w:val="00FA23FF"/>
    <w:pPr>
      <w:tabs>
        <w:tab w:val="clear" w:pos="680"/>
      </w:tabs>
      <w:spacing w:before="60" w:after="60"/>
    </w:pPr>
  </w:style>
  <w:style w:type="paragraph" w:customStyle="1" w:styleId="SubHeading2">
    <w:name w:val="SubHeading2"/>
    <w:basedOn w:val="HeadingBase"/>
    <w:rsid w:val="00FA23FF"/>
    <w:pPr>
      <w:spacing w:before="240" w:after="60"/>
    </w:pPr>
    <w:rPr>
      <w:sz w:val="20"/>
    </w:rPr>
  </w:style>
  <w:style w:type="paragraph" w:customStyle="1" w:styleId="SubHeading1">
    <w:name w:val="SubHeading1"/>
    <w:basedOn w:val="HeadingBase"/>
    <w:rsid w:val="00FA23FF"/>
    <w:pPr>
      <w:spacing w:before="240" w:after="60"/>
    </w:pPr>
    <w:rPr>
      <w:color w:val="918585"/>
      <w:sz w:val="22"/>
    </w:rPr>
  </w:style>
  <w:style w:type="paragraph" w:customStyle="1" w:styleId="SideHeading">
    <w:name w:val="Side Heading"/>
    <w:basedOn w:val="HeadingBase"/>
    <w:rsid w:val="00FA2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3FF"/>
    <w:pPr>
      <w:numPr>
        <w:numId w:val="12"/>
      </w:numPr>
    </w:pPr>
  </w:style>
  <w:style w:type="paragraph" w:styleId="PlainText">
    <w:name w:val="Plain Text"/>
    <w:basedOn w:val="Normal"/>
    <w:link w:val="PlainTextChar"/>
    <w:rsid w:val="00FA23FF"/>
    <w:rPr>
      <w:sz w:val="20"/>
    </w:rPr>
  </w:style>
  <w:style w:type="character" w:customStyle="1" w:styleId="PlainTextChar">
    <w:name w:val="Plain Text Char"/>
    <w:basedOn w:val="DefaultParagraphFont"/>
    <w:link w:val="PlainText"/>
    <w:rsid w:val="00FA23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3FF"/>
    <w:rPr>
      <w:b/>
      <w:smallCaps/>
    </w:rPr>
  </w:style>
  <w:style w:type="paragraph" w:customStyle="1" w:styleId="TableListNumber">
    <w:name w:val="Table List Number"/>
    <w:basedOn w:val="ListNumber"/>
    <w:rsid w:val="00FA23FF"/>
    <w:pPr>
      <w:numPr>
        <w:numId w:val="0"/>
      </w:numPr>
    </w:pPr>
  </w:style>
  <w:style w:type="paragraph" w:styleId="TOC4">
    <w:name w:val="toc 4"/>
    <w:basedOn w:val="TOCBase"/>
    <w:next w:val="Normal"/>
    <w:semiHidden/>
    <w:rsid w:val="00FA23FF"/>
    <w:pPr>
      <w:tabs>
        <w:tab w:val="right" w:leader="dot" w:pos="9071"/>
      </w:tabs>
      <w:ind w:left="1701"/>
    </w:pPr>
  </w:style>
  <w:style w:type="paragraph" w:customStyle="1" w:styleId="ListAlpha">
    <w:name w:val="List Alpha"/>
    <w:basedOn w:val="List"/>
    <w:rsid w:val="00FA23FF"/>
    <w:pPr>
      <w:numPr>
        <w:numId w:val="9"/>
      </w:numPr>
    </w:pPr>
  </w:style>
  <w:style w:type="paragraph" w:customStyle="1" w:styleId="ListAlpha2">
    <w:name w:val="List Alpha 2"/>
    <w:basedOn w:val="List2"/>
    <w:rsid w:val="00FA23FF"/>
    <w:pPr>
      <w:numPr>
        <w:numId w:val="8"/>
      </w:numPr>
    </w:pPr>
  </w:style>
  <w:style w:type="paragraph" w:styleId="List3">
    <w:name w:val="List 3"/>
    <w:basedOn w:val="BodyText"/>
    <w:rsid w:val="00FA23FF"/>
    <w:pPr>
      <w:tabs>
        <w:tab w:val="left" w:pos="1021"/>
      </w:tabs>
      <w:spacing w:before="60" w:after="60"/>
      <w:ind w:left="1020" w:hanging="340"/>
    </w:pPr>
  </w:style>
  <w:style w:type="paragraph" w:styleId="List4">
    <w:name w:val="List 4"/>
    <w:basedOn w:val="BodyText"/>
    <w:rsid w:val="00FA23FF"/>
    <w:pPr>
      <w:tabs>
        <w:tab w:val="left" w:pos="1361"/>
      </w:tabs>
      <w:spacing w:before="60" w:after="60"/>
      <w:ind w:left="1361" w:hanging="340"/>
    </w:pPr>
  </w:style>
  <w:style w:type="paragraph" w:styleId="List5">
    <w:name w:val="List 5"/>
    <w:basedOn w:val="BodyText"/>
    <w:rsid w:val="00FA23FF"/>
    <w:pPr>
      <w:tabs>
        <w:tab w:val="left" w:pos="1701"/>
      </w:tabs>
      <w:spacing w:before="60" w:after="60"/>
      <w:ind w:left="1701" w:hanging="340"/>
    </w:pPr>
  </w:style>
  <w:style w:type="paragraph" w:styleId="ListBullet3">
    <w:name w:val="List Bullet 3"/>
    <w:basedOn w:val="List3"/>
    <w:rsid w:val="00FA23FF"/>
    <w:pPr>
      <w:numPr>
        <w:numId w:val="15"/>
      </w:numPr>
      <w:tabs>
        <w:tab w:val="clear" w:pos="1021"/>
      </w:tabs>
      <w:ind w:left="1037" w:hanging="357"/>
    </w:pPr>
  </w:style>
  <w:style w:type="paragraph" w:styleId="ListBullet4">
    <w:name w:val="List Bullet 4"/>
    <w:basedOn w:val="List4"/>
    <w:rsid w:val="00FA23FF"/>
    <w:pPr>
      <w:numPr>
        <w:numId w:val="3"/>
      </w:numPr>
    </w:pPr>
  </w:style>
  <w:style w:type="paragraph" w:styleId="ListBullet5">
    <w:name w:val="List Bullet 5"/>
    <w:basedOn w:val="List5"/>
    <w:rsid w:val="00FA23FF"/>
    <w:pPr>
      <w:numPr>
        <w:numId w:val="4"/>
      </w:numPr>
    </w:pPr>
  </w:style>
  <w:style w:type="paragraph" w:styleId="ListContinue2">
    <w:name w:val="List Continue 2"/>
    <w:basedOn w:val="List2"/>
    <w:rsid w:val="00FA23FF"/>
    <w:pPr>
      <w:ind w:firstLine="0"/>
    </w:pPr>
  </w:style>
  <w:style w:type="paragraph" w:styleId="ListContinue3">
    <w:name w:val="List Continue 3"/>
    <w:basedOn w:val="List3"/>
    <w:rsid w:val="00FA23FF"/>
    <w:pPr>
      <w:ind w:left="1021" w:firstLine="0"/>
    </w:pPr>
  </w:style>
  <w:style w:type="paragraph" w:styleId="ListContinue4">
    <w:name w:val="List Continue 4"/>
    <w:basedOn w:val="List4"/>
    <w:rsid w:val="00FA23FF"/>
    <w:pPr>
      <w:ind w:firstLine="0"/>
    </w:pPr>
  </w:style>
  <w:style w:type="paragraph" w:styleId="ListContinue5">
    <w:name w:val="List Continue 5"/>
    <w:basedOn w:val="List5"/>
    <w:rsid w:val="00FA23FF"/>
    <w:pPr>
      <w:ind w:firstLine="0"/>
    </w:pPr>
  </w:style>
  <w:style w:type="paragraph" w:styleId="ListNumber3">
    <w:name w:val="List Number 3"/>
    <w:basedOn w:val="List3"/>
    <w:rsid w:val="00FA23FF"/>
    <w:pPr>
      <w:numPr>
        <w:numId w:val="5"/>
      </w:numPr>
    </w:pPr>
  </w:style>
  <w:style w:type="paragraph" w:styleId="ListNumber4">
    <w:name w:val="List Number 4"/>
    <w:basedOn w:val="List4"/>
    <w:rsid w:val="00FA23FF"/>
    <w:pPr>
      <w:numPr>
        <w:numId w:val="6"/>
      </w:numPr>
    </w:pPr>
  </w:style>
  <w:style w:type="paragraph" w:styleId="ListNumber5">
    <w:name w:val="List Number 5"/>
    <w:basedOn w:val="List5"/>
    <w:rsid w:val="00FA23FF"/>
    <w:pPr>
      <w:numPr>
        <w:numId w:val="7"/>
      </w:numPr>
    </w:pPr>
  </w:style>
  <w:style w:type="paragraph" w:styleId="BlockText">
    <w:name w:val="Block Text"/>
    <w:basedOn w:val="Normal"/>
    <w:rsid w:val="00FA23FF"/>
    <w:pPr>
      <w:spacing w:after="120"/>
      <w:ind w:left="1440" w:right="1440"/>
    </w:pPr>
  </w:style>
  <w:style w:type="character" w:customStyle="1" w:styleId="Subscript">
    <w:name w:val="Subscript"/>
    <w:basedOn w:val="DefaultParagraphFont"/>
    <w:rsid w:val="00FA23FF"/>
    <w:rPr>
      <w:sz w:val="16"/>
      <w:vertAlign w:val="subscript"/>
    </w:rPr>
  </w:style>
  <w:style w:type="character" w:customStyle="1" w:styleId="Superscript">
    <w:name w:val="Superscript"/>
    <w:basedOn w:val="DefaultParagraphFont"/>
    <w:rsid w:val="00FA23FF"/>
    <w:rPr>
      <w:sz w:val="16"/>
      <w:vertAlign w:val="superscript"/>
    </w:rPr>
  </w:style>
  <w:style w:type="character" w:customStyle="1" w:styleId="Symbols">
    <w:name w:val="Symbols"/>
    <w:basedOn w:val="DefaultParagraphFont"/>
    <w:rsid w:val="00FA23FF"/>
    <w:rPr>
      <w:rFonts w:ascii="Symbol" w:hAnsi="Symbol"/>
    </w:rPr>
  </w:style>
  <w:style w:type="character" w:customStyle="1" w:styleId="MenuOptions">
    <w:name w:val="Menu Options"/>
    <w:basedOn w:val="DefaultParagraphFont"/>
    <w:rsid w:val="00FA23FF"/>
    <w:rPr>
      <w:rFonts w:ascii="Arial Narrow" w:hAnsi="Arial Narrow"/>
      <w:smallCaps/>
    </w:rPr>
  </w:style>
  <w:style w:type="character" w:customStyle="1" w:styleId="Buttons">
    <w:name w:val="Buttons"/>
    <w:basedOn w:val="DefaultParagraphFont"/>
    <w:rsid w:val="00FA23FF"/>
    <w:rPr>
      <w:b/>
    </w:rPr>
  </w:style>
  <w:style w:type="character" w:customStyle="1" w:styleId="Underlined">
    <w:name w:val="Underlined"/>
    <w:basedOn w:val="DefaultParagraphFont"/>
    <w:rsid w:val="00FA23FF"/>
    <w:rPr>
      <w:u w:val="single"/>
    </w:rPr>
  </w:style>
  <w:style w:type="paragraph" w:customStyle="1" w:styleId="TableBodyTextRight">
    <w:name w:val="Table Body Text Right"/>
    <w:basedOn w:val="TableBodyText"/>
    <w:rsid w:val="00FA23FF"/>
    <w:pPr>
      <w:widowControl w:val="0"/>
      <w:autoSpaceDE w:val="0"/>
      <w:autoSpaceDN w:val="0"/>
      <w:adjustRightInd w:val="0"/>
      <w:jc w:val="right"/>
    </w:pPr>
    <w:rPr>
      <w:rFonts w:cs="Arial"/>
      <w:szCs w:val="18"/>
    </w:rPr>
  </w:style>
  <w:style w:type="paragraph" w:customStyle="1" w:styleId="CopyrightText">
    <w:name w:val="Copyright Text"/>
    <w:basedOn w:val="BodyText"/>
    <w:rsid w:val="00FA23FF"/>
    <w:rPr>
      <w:sz w:val="18"/>
    </w:rPr>
  </w:style>
  <w:style w:type="paragraph" w:customStyle="1" w:styleId="BodySmallRight">
    <w:name w:val="Body Small Right"/>
    <w:basedOn w:val="BodyTextRight"/>
    <w:rsid w:val="00FA23FF"/>
    <w:rPr>
      <w:sz w:val="18"/>
      <w:szCs w:val="18"/>
    </w:rPr>
  </w:style>
  <w:style w:type="paragraph" w:customStyle="1" w:styleId="MarginEdition">
    <w:name w:val="Margin Edition"/>
    <w:basedOn w:val="MarginNote"/>
    <w:rsid w:val="00FA23FF"/>
    <w:pPr>
      <w:spacing w:before="0" w:after="0"/>
    </w:pPr>
    <w:rPr>
      <w:rFonts w:ascii="Times New Roman" w:hAnsi="Times New Roman"/>
      <w:color w:val="999999"/>
    </w:rPr>
  </w:style>
  <w:style w:type="paragraph" w:customStyle="1" w:styleId="Spacer">
    <w:name w:val="Spacer"/>
    <w:basedOn w:val="Normal"/>
    <w:rsid w:val="00FA23FF"/>
    <w:rPr>
      <w:sz w:val="2"/>
      <w:szCs w:val="2"/>
    </w:rPr>
  </w:style>
  <w:style w:type="character" w:customStyle="1" w:styleId="Small">
    <w:name w:val="Small"/>
    <w:basedOn w:val="DefaultParagraphFont"/>
    <w:rsid w:val="00FA23FF"/>
    <w:rPr>
      <w:sz w:val="16"/>
    </w:rPr>
  </w:style>
  <w:style w:type="paragraph" w:customStyle="1" w:styleId="WideTable">
    <w:name w:val="Wide Table"/>
    <w:basedOn w:val="Normal"/>
    <w:rsid w:val="00FA23FF"/>
    <w:pPr>
      <w:ind w:left="-1418"/>
    </w:pPr>
    <w:rPr>
      <w:sz w:val="2"/>
      <w:szCs w:val="2"/>
    </w:rPr>
  </w:style>
  <w:style w:type="character" w:styleId="PageNumber">
    <w:name w:val="page number"/>
    <w:basedOn w:val="DefaultParagraphFont"/>
    <w:rsid w:val="00FA23FF"/>
  </w:style>
  <w:style w:type="paragraph" w:styleId="Quote">
    <w:name w:val="Quote"/>
    <w:basedOn w:val="Heading1"/>
    <w:link w:val="QuoteChar"/>
    <w:qFormat/>
    <w:rsid w:val="00FA23FF"/>
    <w:rPr>
      <w:b w:val="0"/>
      <w:sz w:val="72"/>
      <w:szCs w:val="72"/>
      <w:lang w:val="en-NZ"/>
    </w:rPr>
  </w:style>
  <w:style w:type="character" w:customStyle="1" w:styleId="QuoteChar">
    <w:name w:val="Quote Char"/>
    <w:basedOn w:val="DefaultParagraphFont"/>
    <w:link w:val="Quote"/>
    <w:rsid w:val="00FA2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3FF"/>
    <w:pPr>
      <w:pageBreakBefore/>
    </w:pPr>
  </w:style>
  <w:style w:type="paragraph" w:customStyle="1" w:styleId="Border">
    <w:name w:val="Border"/>
    <w:basedOn w:val="Normal"/>
    <w:qFormat/>
    <w:rsid w:val="00FA2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3FF"/>
    <w:rPr>
      <w:b/>
      <w:bCs/>
      <w:i/>
      <w:iCs/>
      <w:color w:val="auto"/>
    </w:rPr>
  </w:style>
  <w:style w:type="paragraph" w:styleId="IntenseQuote">
    <w:name w:val="Intense Quote"/>
    <w:basedOn w:val="Normal"/>
    <w:next w:val="Normal"/>
    <w:link w:val="IntenseQuoteChar"/>
    <w:uiPriority w:val="30"/>
    <w:qFormat/>
    <w:rsid w:val="00FA2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3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3FF"/>
    <w:rPr>
      <w:smallCaps/>
      <w:color w:val="auto"/>
      <w:u w:val="single"/>
    </w:rPr>
  </w:style>
  <w:style w:type="character" w:styleId="IntenseReference">
    <w:name w:val="Intense Reference"/>
    <w:basedOn w:val="DefaultParagraphFont"/>
    <w:uiPriority w:val="32"/>
    <w:qFormat/>
    <w:rsid w:val="00FA23FF"/>
    <w:rPr>
      <w:b/>
      <w:bCs/>
      <w:smallCaps/>
      <w:color w:val="auto"/>
      <w:spacing w:val="5"/>
      <w:u w:val="single"/>
    </w:rPr>
  </w:style>
  <w:style w:type="paragraph" w:customStyle="1" w:styleId="2ColumnHeading">
    <w:name w:val="2Column Heading"/>
    <w:basedOn w:val="BodyText"/>
    <w:qFormat/>
    <w:rsid w:val="00FA23FF"/>
    <w:pPr>
      <w:spacing w:after="60"/>
      <w:ind w:left="-2268"/>
    </w:pPr>
    <w:rPr>
      <w:b/>
    </w:rPr>
  </w:style>
  <w:style w:type="paragraph" w:customStyle="1" w:styleId="Heading1TOC">
    <w:name w:val="Heading1 TOC"/>
    <w:basedOn w:val="Normal"/>
    <w:qFormat/>
    <w:rsid w:val="00FA23FF"/>
    <w:pPr>
      <w:spacing w:before="240" w:after="120"/>
    </w:pPr>
    <w:rPr>
      <w:rFonts w:ascii="Times New Roman" w:hAnsi="Times New Roman"/>
      <w:b/>
      <w:sz w:val="32"/>
    </w:rPr>
  </w:style>
  <w:style w:type="paragraph" w:customStyle="1" w:styleId="Heading2TOC">
    <w:name w:val="Heading2 TOC"/>
    <w:basedOn w:val="Normal"/>
    <w:qFormat/>
    <w:rsid w:val="00FA23FF"/>
    <w:pPr>
      <w:spacing w:before="240" w:after="60"/>
    </w:pPr>
    <w:rPr>
      <w:rFonts w:ascii="Times New Roman" w:hAnsi="Times New Roman"/>
      <w:b/>
      <w:sz w:val="28"/>
    </w:rPr>
  </w:style>
  <w:style w:type="character" w:customStyle="1" w:styleId="Underline">
    <w:name w:val="Underline"/>
    <w:basedOn w:val="DefaultParagraphFont"/>
    <w:qFormat/>
    <w:rsid w:val="00FA23FF"/>
    <w:rPr>
      <w:u w:val="single"/>
    </w:rPr>
  </w:style>
  <w:style w:type="character" w:customStyle="1" w:styleId="BoldandItalics">
    <w:name w:val="Bold and Italics"/>
    <w:qFormat/>
    <w:rsid w:val="00FA23FF"/>
    <w:rPr>
      <w:b/>
      <w:i/>
      <w:u w:val="none"/>
    </w:rPr>
  </w:style>
  <w:style w:type="paragraph" w:styleId="BalloonText">
    <w:name w:val="Balloon Text"/>
    <w:basedOn w:val="Normal"/>
    <w:link w:val="BalloonTextChar"/>
    <w:rsid w:val="00FA23FF"/>
    <w:rPr>
      <w:rFonts w:ascii="Tahoma" w:hAnsi="Tahoma" w:cs="Tahoma"/>
      <w:sz w:val="16"/>
      <w:szCs w:val="16"/>
    </w:rPr>
  </w:style>
  <w:style w:type="character" w:customStyle="1" w:styleId="BalloonTextChar">
    <w:name w:val="Balloon Text Char"/>
    <w:basedOn w:val="DefaultParagraphFont"/>
    <w:link w:val="BalloonText"/>
    <w:rsid w:val="00FA23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3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3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1989</Words>
  <Characters>12553</Characters>
  <Application>Microsoft Office Word</Application>
  <DocSecurity>0</DocSecurity>
  <Lines>433</Lines>
  <Paragraphs>222</Paragraphs>
  <ScaleCrop>false</ScaleCrop>
  <Company>Author-it Software Corporation Ltd.</Company>
  <LinksUpToDate>false</LinksUpToDate>
  <CharactersWithSpaces>14447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MSL973004A Perform aseptic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