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0C1B" w:rsidP="00F50C1B">
      <w:pPr>
        <w:pStyle w:val="Title"/>
      </w:pPr>
      <w:bookmarkStart w:id="0" w:name="_GoBack"/>
      <w:bookmarkEnd w:id="0"/>
      <w:r>
        <w:fldChar w:fldCharType="begin"/>
      </w:r>
      <w:r>
        <w:instrText xml:space="preserve"> TITLE   \* MERGEFORMAT </w:instrText>
      </w:r>
      <w:r>
        <w:fldChar w:fldCharType="separate"/>
      </w:r>
      <w:r>
        <w:t>MSL954001A Obtain representative samples in accordance with sampling plan</w:t>
      </w:r>
      <w:r>
        <w:fldChar w:fldCharType="end"/>
      </w:r>
    </w:p>
    <w:p w:rsidR="00F50C1B" w:rsidP="00F50C1B">
      <w:pPr>
        <w:pStyle w:val="Version"/>
        <w:sectPr w:rsidSect="00C066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06675" w:rsidP="00C06675">
      <w:pPr>
        <w:pStyle w:val="SuperHeading"/>
      </w:pPr>
      <w:r w:rsidRPr="00C06675">
        <w:t>MSL954001A Obtain representative samples in accordance with sampling plan</w:t>
      </w:r>
    </w:p>
    <w:p w:rsidR="00000000" w:rsidRPr="00C06675" w:rsidP="00C06675">
      <w:pPr>
        <w:pStyle w:val="SuperHeading"/>
      </w:pPr>
    </w:p>
    <w:p w:rsidR="00000000" w:rsidRPr="00C06675" w:rsidP="00C06675">
      <w:pPr>
        <w:pStyle w:val="Heading1"/>
      </w:pPr>
      <w:bookmarkStart w:id="1" w:name="O_103071"/>
      <w:bookmarkEnd w:id="1"/>
      <w:r w:rsidRPr="00C06675">
        <w:t>Modification History</w:t>
      </w:r>
    </w:p>
    <w:p w:rsidR="00000000" w:rsidRPr="00C06675" w:rsidP="00C06675">
      <w:pPr>
        <w:pStyle w:val="BodyText"/>
      </w:pPr>
      <w:r w:rsidRPr="00C06675">
        <w:t>Not applicable.</w:t>
      </w:r>
    </w:p>
    <w:p w:rsidR="00000000" w:rsidRPr="00C06675" w:rsidP="00C06675">
      <w:pPr>
        <w:pStyle w:val="AllowPageBreak"/>
      </w:pPr>
    </w:p>
    <w:p w:rsidR="00000000" w:rsidRPr="00C06675" w:rsidP="00C06675">
      <w:pPr>
        <w:pStyle w:val="Heading1"/>
      </w:pPr>
      <w:bookmarkStart w:id="2" w:name="O_103072"/>
      <w:bookmarkEnd w:id="2"/>
      <w:r w:rsidRPr="00C06675">
        <w:t>Unit Descriptor</w:t>
      </w:r>
    </w:p>
    <w:tbl>
      <w:tblPr>
        <w:tblW w:w="0" w:type="auto"/>
        <w:tblLayout w:type="fixed"/>
        <w:tblCellMar>
          <w:left w:w="62" w:type="dxa"/>
          <w:right w:w="62" w:type="dxa"/>
        </w:tblCellMar>
        <w:tblLook w:val="0000"/>
      </w:tblPr>
      <w:tblGrid>
        <w:gridCol w:w="2667"/>
        <w:gridCol w:w="5855"/>
      </w:tblGrid>
      <w:tr w:rsidTr="00F50C1B">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rPr>
                <w:rStyle w:val="SpecialBold"/>
              </w:rPr>
              <w:t xml:space="preserve">Unit </w:t>
            </w:r>
            <w:r w:rsidRPr="00C06675">
              <w:rPr>
                <w:rStyle w:val="SpecialBold"/>
              </w:rPr>
              <w:t>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75" w:rsidP="00C06675">
            <w:pPr>
              <w:pStyle w:val="BodyText"/>
            </w:pPr>
            <w:r w:rsidRPr="00C06675">
              <w:t>This unit of competency covers the ability to obtain a range of samples that are representative of the source material (e.g. raw ingredients, product in process and final product) and to prepare the samples for testing. All sampling activities a</w:t>
            </w:r>
            <w:r w:rsidRPr="00C06675">
              <w:t>re conducted in accordance with a defined sampling plan. This unit does not cover the subsequent testing of the samples.</w:t>
            </w:r>
          </w:p>
        </w:tc>
      </w:tr>
    </w:tbl>
    <w:p w:rsidR="00000000" w:rsidRPr="00C06675" w:rsidP="00C06675">
      <w:pPr>
        <w:pStyle w:val="BodyText"/>
      </w:pPr>
    </w:p>
    <w:p w:rsidR="00000000" w:rsidRPr="00C06675" w:rsidP="00C06675">
      <w:pPr>
        <w:pStyle w:val="AllowPageBreak"/>
      </w:pPr>
    </w:p>
    <w:p w:rsidR="00000000" w:rsidRPr="00C06675" w:rsidP="00C06675">
      <w:pPr>
        <w:pStyle w:val="Heading1"/>
      </w:pPr>
      <w:bookmarkStart w:id="3" w:name="O_103073"/>
      <w:bookmarkEnd w:id="3"/>
      <w:r w:rsidRPr="00C06675">
        <w:t>Application of the Unit</w:t>
      </w:r>
    </w:p>
    <w:tbl>
      <w:tblPr>
        <w:tblW w:w="0" w:type="auto"/>
        <w:tblLayout w:type="fixed"/>
        <w:tblCellMar>
          <w:left w:w="62" w:type="dxa"/>
          <w:right w:w="62" w:type="dxa"/>
        </w:tblCellMar>
        <w:tblLook w:val="0000"/>
      </w:tblPr>
      <w:tblGrid>
        <w:gridCol w:w="2749"/>
        <w:gridCol w:w="5773"/>
      </w:tblGrid>
      <w:tr w:rsidTr="00F50C1B">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75" w:rsidP="00C06675">
            <w:pPr>
              <w:pStyle w:val="BodyText"/>
            </w:pPr>
            <w:r w:rsidRPr="00C06675">
              <w:t>This unit of competency is applicable to laboratory technicians in all industry sectors. It involves:</w:t>
            </w:r>
          </w:p>
          <w:p w:rsidR="00000000" w:rsidRPr="00C06675" w:rsidP="00C06675">
            <w:pPr>
              <w:pStyle w:val="ListBullet"/>
            </w:pPr>
            <w:r w:rsidRPr="00C06675">
              <w:t>a range of sampling plans, samples and sampling procedures, which apply to the enterprise site, plant laboratory or field sites</w:t>
            </w:r>
          </w:p>
          <w:p w:rsidR="00000000" w:rsidRPr="00C06675" w:rsidP="00C06675">
            <w:pPr>
              <w:pStyle w:val="ListBullet"/>
            </w:pPr>
            <w:r w:rsidRPr="00C06675">
              <w:t>enterprise products/materi</w:t>
            </w:r>
            <w:r w:rsidRPr="00C06675">
              <w:t>als and hazardous materials</w:t>
            </w:r>
          </w:p>
          <w:p w:rsidR="00000000" w:rsidRPr="00C06675" w:rsidP="00C06675">
            <w:pPr>
              <w:pStyle w:val="ListBullet"/>
            </w:pPr>
            <w:r w:rsidRPr="00C06675">
              <w:t>a range of sampling points and/locations.</w:t>
            </w:r>
          </w:p>
          <w:p w:rsidR="00000000" w:rsidRPr="00C06675" w:rsidP="00C06675">
            <w:pPr>
              <w:pStyle w:val="BodyText"/>
            </w:pPr>
            <w:r w:rsidRPr="00C06675">
              <w:t>Industry representatives have provided case studies to illustrate the practical application of this unit of competency and to show its relevance in a workplace setting. These are found a</w:t>
            </w:r>
            <w:r w:rsidRPr="00C06675">
              <w:t>t the end of this unit of competency under the section 'This competency in practice'.</w:t>
            </w:r>
          </w:p>
        </w:tc>
      </w:tr>
    </w:tbl>
    <w:p w:rsidR="00000000" w:rsidRPr="00C06675" w:rsidP="00C06675">
      <w:pPr>
        <w:pStyle w:val="BodyText"/>
      </w:pPr>
    </w:p>
    <w:p w:rsidR="00000000" w:rsidRPr="00C06675" w:rsidP="00C06675">
      <w:pPr>
        <w:pStyle w:val="AllowPageBreak"/>
      </w:pPr>
    </w:p>
    <w:p w:rsidR="00000000" w:rsidRPr="00C06675" w:rsidP="00C06675">
      <w:pPr>
        <w:pStyle w:val="Heading1"/>
      </w:pPr>
      <w:bookmarkStart w:id="4" w:name="O_103074"/>
      <w:bookmarkEnd w:id="4"/>
      <w:r w:rsidRPr="00C06675">
        <w:t>Licensing/Regulatory Information</w:t>
      </w:r>
    </w:p>
    <w:p w:rsidR="00000000" w:rsidRPr="00C06675" w:rsidP="00C06675">
      <w:pPr>
        <w:pStyle w:val="BodyText"/>
      </w:pPr>
      <w:r w:rsidRPr="00C06675">
        <w:t>Not applicable.</w:t>
      </w:r>
    </w:p>
    <w:p w:rsidR="00000000" w:rsidRPr="00C06675" w:rsidP="00C06675">
      <w:pPr>
        <w:pStyle w:val="AllowPageBreak"/>
      </w:pPr>
    </w:p>
    <w:p w:rsidR="00000000" w:rsidRPr="00C06675" w:rsidP="00C06675">
      <w:pPr>
        <w:pStyle w:val="Heading1"/>
      </w:pPr>
      <w:bookmarkStart w:id="5" w:name="O_103076"/>
      <w:bookmarkEnd w:id="5"/>
      <w:r w:rsidRPr="00C06675">
        <w:t>Pre-Requisites</w:t>
      </w:r>
    </w:p>
    <w:tbl>
      <w:tblPr>
        <w:tblW w:w="0" w:type="auto"/>
        <w:tblLayout w:type="fixed"/>
        <w:tblCellMar>
          <w:left w:w="62" w:type="dxa"/>
          <w:right w:w="62" w:type="dxa"/>
        </w:tblCellMar>
        <w:tblLook w:val="0000"/>
      </w:tblPr>
      <w:tblGrid>
        <w:gridCol w:w="2775"/>
        <w:gridCol w:w="1295"/>
        <w:gridCol w:w="4452"/>
      </w:tblGrid>
      <w:tr w:rsidTr="00F50C1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p>
        </w:tc>
      </w:tr>
      <w:tr w:rsidTr="00F50C1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p>
        </w:tc>
      </w:tr>
      <w:tr w:rsidTr="00F50C1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75" w:rsidP="00C06675">
            <w:pPr>
              <w:pStyle w:val="BodyText"/>
            </w:pPr>
          </w:p>
        </w:tc>
      </w:tr>
    </w:tbl>
    <w:p w:rsidR="00000000" w:rsidRPr="00C06675" w:rsidP="00C06675">
      <w:pPr>
        <w:pStyle w:val="BodyText"/>
      </w:pPr>
    </w:p>
    <w:p w:rsidR="00000000" w:rsidRPr="00C06675" w:rsidP="00C06675">
      <w:pPr>
        <w:pStyle w:val="AllowPageBreak"/>
      </w:pPr>
    </w:p>
    <w:p w:rsidR="00000000" w:rsidRPr="00C06675" w:rsidP="00C06675">
      <w:pPr>
        <w:pStyle w:val="Heading1"/>
      </w:pPr>
      <w:bookmarkStart w:id="6" w:name="O_103075"/>
      <w:bookmarkEnd w:id="6"/>
      <w:r w:rsidRPr="00C06675">
        <w:t>Employability Skills Information</w:t>
      </w:r>
    </w:p>
    <w:tbl>
      <w:tblPr>
        <w:tblW w:w="0" w:type="auto"/>
        <w:tblLayout w:type="fixed"/>
        <w:tblCellMar>
          <w:left w:w="62" w:type="dxa"/>
          <w:right w:w="62" w:type="dxa"/>
        </w:tblCellMar>
        <w:tblLook w:val="0000"/>
      </w:tblPr>
      <w:tblGrid>
        <w:gridCol w:w="2802"/>
        <w:gridCol w:w="5720"/>
      </w:tblGrid>
      <w:tr w:rsidTr="00F50C1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75" w:rsidP="00C06675">
            <w:pPr>
              <w:pStyle w:val="BodyText"/>
            </w:pPr>
            <w:r w:rsidRPr="00C06675">
              <w:t>This unit contains employability skills.</w:t>
            </w:r>
          </w:p>
        </w:tc>
      </w:tr>
    </w:tbl>
    <w:p w:rsidR="00000000" w:rsidRPr="00C06675" w:rsidP="00C06675">
      <w:pPr>
        <w:pStyle w:val="BodyText"/>
      </w:pPr>
    </w:p>
    <w:p w:rsidR="00000000" w:rsidRPr="00C06675" w:rsidP="00C06675">
      <w:pPr>
        <w:pStyle w:val="AllowPageBreak"/>
      </w:pPr>
    </w:p>
    <w:p w:rsidR="00000000" w:rsidRPr="00C06675" w:rsidP="00C06675">
      <w:pPr>
        <w:pStyle w:val="Heading1"/>
      </w:pPr>
      <w:bookmarkStart w:id="7" w:name="O_103077"/>
      <w:bookmarkEnd w:id="7"/>
      <w:r w:rsidRPr="00C06675">
        <w:t>Elements and Performance Criteria Pre-Content</w:t>
      </w:r>
    </w:p>
    <w:tbl>
      <w:tblPr>
        <w:tblW w:w="0" w:type="auto"/>
        <w:tblLayout w:type="fixed"/>
        <w:tblCellMar>
          <w:left w:w="62" w:type="dxa"/>
          <w:right w:w="62" w:type="dxa"/>
        </w:tblCellMar>
        <w:tblLook w:val="0000"/>
      </w:tblPr>
      <w:tblGrid>
        <w:gridCol w:w="2554"/>
        <w:gridCol w:w="5968"/>
      </w:tblGrid>
      <w:tr w:rsidTr="00F50C1B">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75" w:rsidP="00C06675">
            <w:pPr>
              <w:pStyle w:val="BodyText"/>
            </w:pPr>
            <w:r w:rsidRPr="00C06675">
              <w:t xml:space="preserve">Performance criteria describe </w:t>
            </w:r>
            <w:r w:rsidRPr="00C06675">
              <w:t>the performance needed to demonstrate achievement of the element. Where bold italicised text is used, further information is detailed in the required skills and knowledge section and the range statement. Assessment of performance is to be consistent with t</w:t>
            </w:r>
            <w:r w:rsidRPr="00C06675">
              <w:t>he evidence guide.</w:t>
            </w:r>
          </w:p>
        </w:tc>
      </w:tr>
    </w:tbl>
    <w:p w:rsidR="00000000" w:rsidRPr="00C06675" w:rsidP="00C06675">
      <w:pPr>
        <w:pStyle w:val="BodyText"/>
      </w:pPr>
    </w:p>
    <w:p w:rsidR="00000000" w:rsidRPr="00C06675" w:rsidP="00C06675">
      <w:pPr>
        <w:pStyle w:val="AllowPageBreak"/>
      </w:pPr>
    </w:p>
    <w:p w:rsidR="00000000" w:rsidRPr="00C06675" w:rsidP="00C06675">
      <w:pPr>
        <w:pStyle w:val="Heading1"/>
      </w:pPr>
      <w:bookmarkStart w:id="8" w:name="O_103078"/>
      <w:bookmarkEnd w:id="8"/>
      <w:r w:rsidRPr="00C06675">
        <w:t>Elements and Performance Criteria</w:t>
      </w:r>
    </w:p>
    <w:tbl>
      <w:tblPr>
        <w:tblW w:w="0" w:type="auto"/>
        <w:tblLayout w:type="fixed"/>
        <w:tblCellMar>
          <w:left w:w="62" w:type="dxa"/>
          <w:right w:w="62" w:type="dxa"/>
        </w:tblCellMar>
        <w:tblLook w:val="0000"/>
      </w:tblPr>
      <w:tblGrid>
        <w:gridCol w:w="2554"/>
        <w:gridCol w:w="5968"/>
      </w:tblGrid>
      <w:tr w:rsidTr="00F50C1B">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75" w:rsidP="00C06675">
            <w:pPr>
              <w:pStyle w:val="BodyText"/>
            </w:pPr>
            <w:r w:rsidRPr="00C06675">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rPr>
                <w:rStyle w:val="SpecialBold"/>
              </w:rPr>
              <w:t>PERFORMANCE CRITERIA</w:t>
            </w:r>
          </w:p>
        </w:tc>
      </w:tr>
      <w:tr w:rsidTr="00F50C1B">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List"/>
              <w:rPr>
                <w:lang w:val="en-NZ"/>
              </w:rPr>
            </w:pPr>
            <w:r w:rsidRPr="00C06675">
              <w:t>1.</w:t>
            </w:r>
            <w:r w:rsidRPr="00C06675">
              <w:tab/>
              <w:t>Prepare for sampling</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75" w:rsidP="00C06675">
            <w:pPr>
              <w:pStyle w:val="List2"/>
            </w:pPr>
            <w:r w:rsidRPr="00C06675">
              <w:t>1.1.</w:t>
            </w:r>
            <w:r w:rsidRPr="00C06675">
              <w:tab/>
              <w:t xml:space="preserve">Confirm the sampling location, number and type of samples, and timing and frequency of sampling from enterprise or client's </w:t>
            </w:r>
            <w:r w:rsidRPr="00C06675">
              <w:t xml:space="preserve">sampling plan </w:t>
            </w:r>
          </w:p>
          <w:p w:rsidR="00000000" w:rsidRPr="00C06675" w:rsidP="00C06675">
            <w:pPr>
              <w:pStyle w:val="List2"/>
            </w:pPr>
            <w:r w:rsidRPr="00C06675">
              <w:t>1.2.</w:t>
            </w:r>
            <w:r w:rsidRPr="00C06675">
              <w:tab/>
              <w:t>Liaise with relevant personnel to arrange site access and, if appropriate, all necessary clearances and/or permits</w:t>
            </w:r>
          </w:p>
          <w:p w:rsidR="00000000" w:rsidRPr="00C06675" w:rsidP="00C06675">
            <w:pPr>
              <w:pStyle w:val="List2"/>
            </w:pPr>
            <w:r w:rsidRPr="00C06675">
              <w:t>1.3.</w:t>
            </w:r>
            <w:r w:rsidRPr="00C06675">
              <w:tab/>
              <w:t>Select sampling equipment and conditions to achieve representative samples and preserve sample integrity during coll</w:t>
            </w:r>
            <w:r w:rsidRPr="00C06675">
              <w:t>ection, storage and transit</w:t>
            </w:r>
          </w:p>
          <w:p w:rsidR="00000000" w:rsidRPr="00C06675" w:rsidP="00C06675">
            <w:pPr>
              <w:pStyle w:val="List2"/>
            </w:pPr>
            <w:r w:rsidRPr="00C06675">
              <w:t>1.4.</w:t>
            </w:r>
            <w:r w:rsidRPr="00C06675">
              <w:tab/>
              <w:t>Check that all procedures are in accordance with client or enterprise requirements, relevant standards and codes</w:t>
            </w:r>
          </w:p>
          <w:p w:rsidR="00000000" w:rsidRPr="00C06675" w:rsidP="00C06675">
            <w:pPr>
              <w:pStyle w:val="List2"/>
            </w:pPr>
            <w:r w:rsidRPr="00C06675">
              <w:t>1.5.</w:t>
            </w:r>
            <w:r w:rsidRPr="00C06675">
              <w:tab/>
              <w:t>Identify site and sampling hazards and review enterprise safety procedures</w:t>
            </w:r>
          </w:p>
          <w:p w:rsidR="00000000" w:rsidRPr="00C06675" w:rsidP="00C06675">
            <w:pPr>
              <w:pStyle w:val="List2"/>
            </w:pPr>
            <w:r w:rsidRPr="00C06675">
              <w:t>1.6.</w:t>
            </w:r>
            <w:r w:rsidRPr="00C06675">
              <w:tab/>
            </w:r>
            <w:r w:rsidRPr="00C06675">
              <w:t>Assemble and check all sampling equipment, materials, containers and safety equipment</w:t>
            </w:r>
          </w:p>
          <w:p w:rsidR="00000000" w:rsidP="00C06675">
            <w:pPr>
              <w:pStyle w:val="List2"/>
              <w:rPr>
                <w:lang w:val="en-NZ"/>
              </w:rPr>
            </w:pPr>
            <w:r w:rsidRPr="00C06675">
              <w:t>1.7.</w:t>
            </w:r>
            <w:r w:rsidRPr="00C06675">
              <w:tab/>
              <w:t>Arrange suitable transport to, from and around site as required</w:t>
            </w:r>
          </w:p>
        </w:tc>
      </w:tr>
      <w:tr w:rsidTr="00F50C1B">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List"/>
              <w:rPr>
                <w:lang w:val="en-NZ"/>
              </w:rPr>
            </w:pPr>
            <w:r w:rsidRPr="00C06675">
              <w:t>2.</w:t>
            </w:r>
            <w:r w:rsidRPr="00C06675">
              <w:tab/>
              <w:t>Conduct sampling and log samples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75" w:rsidP="00C06675">
            <w:pPr>
              <w:pStyle w:val="List2"/>
            </w:pPr>
            <w:r w:rsidRPr="00C06675">
              <w:t>2.1.</w:t>
            </w:r>
            <w:r w:rsidRPr="00C06675">
              <w:tab/>
              <w:t>Locate sampling sites and, if required, services at the sit</w:t>
            </w:r>
            <w:r w:rsidRPr="00C06675">
              <w:t>e</w:t>
            </w:r>
          </w:p>
          <w:p w:rsidR="00000000" w:rsidRPr="00C06675" w:rsidP="00C06675">
            <w:pPr>
              <w:pStyle w:val="List2"/>
            </w:pPr>
            <w:r w:rsidRPr="00C06675">
              <w:t>2.2.</w:t>
            </w:r>
            <w:r w:rsidRPr="00C06675">
              <w:tab/>
              <w:t>Conduct representative sampling in accordance with sampling plan and defined procedures</w:t>
            </w:r>
          </w:p>
          <w:p w:rsidR="00000000" w:rsidRPr="00C06675" w:rsidP="00C06675">
            <w:pPr>
              <w:pStyle w:val="List2"/>
            </w:pPr>
            <w:r w:rsidRPr="00C06675">
              <w:t>2.3.</w:t>
            </w:r>
            <w:r w:rsidRPr="00C06675">
              <w:tab/>
              <w:t>Record all information and label samples in accordance with traceability requirements</w:t>
            </w:r>
          </w:p>
          <w:p w:rsidR="00000000" w:rsidRPr="00C06675" w:rsidP="00C06675">
            <w:pPr>
              <w:pStyle w:val="List2"/>
            </w:pPr>
            <w:r w:rsidRPr="00C06675">
              <w:t>2.4.</w:t>
            </w:r>
            <w:r w:rsidRPr="00C06675">
              <w:tab/>
              <w:t>Record environment or production conditions and any atypical obse</w:t>
            </w:r>
            <w:r w:rsidRPr="00C06675">
              <w:t>rvations made during sampling that may impact on sample representativeness or integrity</w:t>
            </w:r>
          </w:p>
          <w:p w:rsidR="00000000" w:rsidP="00C06675">
            <w:pPr>
              <w:pStyle w:val="List2"/>
              <w:rPr>
                <w:lang w:val="en-NZ"/>
              </w:rPr>
            </w:pPr>
            <w:r w:rsidRPr="00C06675">
              <w:t>2.5.</w:t>
            </w:r>
            <w:r w:rsidRPr="00C06675">
              <w:tab/>
              <w:t>Transport all samples back to base according to standard operating procedures (SOPs) and relevant codes</w:t>
            </w:r>
          </w:p>
        </w:tc>
      </w:tr>
      <w:tr w:rsidTr="00F50C1B">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List"/>
              <w:rPr>
                <w:lang w:val="en-NZ"/>
              </w:rPr>
            </w:pPr>
            <w:r w:rsidRPr="00C06675">
              <w:t>3.</w:t>
            </w:r>
            <w:r w:rsidRPr="00C06675">
              <w:tab/>
              <w:t>Prepare samples for testing</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75" w:rsidP="00C06675">
            <w:pPr>
              <w:pStyle w:val="List2"/>
            </w:pPr>
            <w:r w:rsidRPr="00C06675">
              <w:t>3.1.</w:t>
            </w:r>
            <w:r w:rsidRPr="00C06675">
              <w:tab/>
              <w:t>Prepare sub-samples an</w:t>
            </w:r>
            <w:r w:rsidRPr="00C06675">
              <w:t>d back-up sub-samples that are representative of the source</w:t>
            </w:r>
          </w:p>
          <w:p w:rsidR="00000000" w:rsidRPr="00C06675" w:rsidP="00C06675">
            <w:pPr>
              <w:pStyle w:val="List2"/>
            </w:pPr>
            <w:r w:rsidRPr="00C06675">
              <w:t>3.2.</w:t>
            </w:r>
            <w:r w:rsidRPr="00C06675">
              <w:tab/>
              <w:t>Label all sub-samples to ensure traceability and store in accordance with SOPs</w:t>
            </w:r>
          </w:p>
          <w:p w:rsidR="00000000" w:rsidRPr="00C06675" w:rsidP="00C06675">
            <w:pPr>
              <w:pStyle w:val="List2"/>
            </w:pPr>
            <w:r w:rsidRPr="00C06675">
              <w:t>3.3.</w:t>
            </w:r>
            <w:r w:rsidRPr="00C06675">
              <w:tab/>
              <w:t>Follow defined preparation and safety procedures to limit hazard or contamination to samples, self, work ar</w:t>
            </w:r>
            <w:r w:rsidRPr="00C06675">
              <w:t>ea and environment</w:t>
            </w:r>
          </w:p>
          <w:p w:rsidR="00000000" w:rsidP="00C06675">
            <w:pPr>
              <w:pStyle w:val="List2"/>
              <w:rPr>
                <w:lang w:val="en-NZ"/>
              </w:rPr>
            </w:pPr>
            <w:r w:rsidRPr="00C06675">
              <w:t>3.4.</w:t>
            </w:r>
            <w:r w:rsidRPr="00C06675">
              <w:tab/>
              <w:t>Distribute sub-samples to defined work stations maintaining sample integrity and traceability requirements</w:t>
            </w:r>
          </w:p>
        </w:tc>
      </w:tr>
      <w:tr w:rsidTr="00F50C1B">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List"/>
              <w:rPr>
                <w:lang w:val="en-NZ"/>
              </w:rPr>
            </w:pPr>
            <w:r w:rsidRPr="00C06675">
              <w:t>4.</w:t>
            </w:r>
            <w:r w:rsidRPr="00C06675">
              <w:tab/>
              <w:t>Address client issues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75" w:rsidP="00C06675">
            <w:pPr>
              <w:pStyle w:val="List2"/>
            </w:pPr>
            <w:r w:rsidRPr="00C06675">
              <w:t>4.1.</w:t>
            </w:r>
            <w:r w:rsidRPr="00C06675">
              <w:tab/>
              <w:t>Enter approved information into laboratory information management system (LIMS)</w:t>
            </w:r>
          </w:p>
          <w:p w:rsidR="00000000" w:rsidRPr="00C06675" w:rsidP="00C06675">
            <w:pPr>
              <w:pStyle w:val="List2"/>
            </w:pPr>
            <w:r w:rsidRPr="00C06675">
              <w:t>4.2.</w:t>
            </w:r>
            <w:r w:rsidRPr="00C06675">
              <w:tab/>
            </w:r>
            <w:r w:rsidRPr="00C06675">
              <w:t>Report all relevant aspects of the sampling and preparation phases in accordance with enterprise procedures</w:t>
            </w:r>
          </w:p>
          <w:p w:rsidR="00000000" w:rsidRPr="00C06675" w:rsidP="00C06675">
            <w:pPr>
              <w:pStyle w:val="List2"/>
            </w:pPr>
            <w:r w:rsidRPr="00C06675">
              <w:t>4.3.</w:t>
            </w:r>
            <w:r w:rsidRPr="00C06675">
              <w:tab/>
              <w:t>Ensure that information provided to client is accurate, relevant and authorised for release</w:t>
            </w:r>
          </w:p>
          <w:p w:rsidR="00000000" w:rsidP="00C06675">
            <w:pPr>
              <w:pStyle w:val="List2"/>
              <w:rPr>
                <w:lang w:val="en-NZ"/>
              </w:rPr>
            </w:pPr>
            <w:r w:rsidRPr="00C06675">
              <w:t>4.4.</w:t>
            </w:r>
            <w:r w:rsidRPr="00C06675">
              <w:tab/>
              <w:t>Maintain security and confidentiality of all c</w:t>
            </w:r>
            <w:r w:rsidRPr="00C06675">
              <w:t>lient/enterprise data and information</w:t>
            </w:r>
          </w:p>
        </w:tc>
      </w:tr>
      <w:tr w:rsidTr="00F50C1B">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List"/>
              <w:rPr>
                <w:lang w:val="en-NZ"/>
              </w:rPr>
            </w:pPr>
            <w:r w:rsidRPr="00C06675">
              <w:t>5.</w:t>
            </w:r>
            <w:r w:rsidRPr="00C06675">
              <w:tab/>
              <w:t>Maintain a safe work environment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75" w:rsidP="00C06675">
            <w:pPr>
              <w:pStyle w:val="List2"/>
            </w:pPr>
            <w:r w:rsidRPr="00C06675">
              <w:t>5.1.</w:t>
            </w:r>
            <w:r w:rsidRPr="00C06675">
              <w:tab/>
              <w:t>Clean all equipment, containers, work area and vehicles according to enterprise procedures</w:t>
            </w:r>
          </w:p>
          <w:p w:rsidR="00000000" w:rsidRPr="00C06675" w:rsidP="00C06675">
            <w:pPr>
              <w:pStyle w:val="List2"/>
            </w:pPr>
            <w:r w:rsidRPr="00C06675">
              <w:t>5.2.</w:t>
            </w:r>
            <w:r w:rsidRPr="00C06675">
              <w:tab/>
              <w:t>Check serviceability of all equipment before storage</w:t>
            </w:r>
          </w:p>
          <w:p w:rsidR="00000000" w:rsidRPr="00C06675" w:rsidP="00C06675">
            <w:pPr>
              <w:pStyle w:val="List2"/>
            </w:pPr>
            <w:r w:rsidRPr="00C06675">
              <w:t>5.3.</w:t>
            </w:r>
            <w:r w:rsidRPr="00C06675">
              <w:tab/>
              <w:t xml:space="preserve">Use defined safe work </w:t>
            </w:r>
            <w:r w:rsidRPr="00C06675">
              <w:t>practices and personal protective equipment to ensure personal safety and that of other laboratory personnel</w:t>
            </w:r>
          </w:p>
          <w:p w:rsidR="00000000" w:rsidRPr="00C06675" w:rsidP="00C06675">
            <w:pPr>
              <w:pStyle w:val="List2"/>
            </w:pPr>
            <w:r w:rsidRPr="00C06675">
              <w:t>5.4.</w:t>
            </w:r>
            <w:r w:rsidRPr="00C06675">
              <w:tab/>
              <w:t xml:space="preserve">Minimise the generation of wastes and environment impacts </w:t>
            </w:r>
          </w:p>
          <w:p w:rsidR="00000000" w:rsidRPr="00C06675" w:rsidP="00C06675">
            <w:pPr>
              <w:pStyle w:val="List2"/>
            </w:pPr>
            <w:r w:rsidRPr="00C06675">
              <w:t>5.5.</w:t>
            </w:r>
            <w:r w:rsidRPr="00C06675">
              <w:tab/>
              <w:t>Ensure the safe collection of all hazardous wastes for appropriate disposal</w:t>
            </w:r>
          </w:p>
        </w:tc>
      </w:tr>
    </w:tbl>
    <w:p w:rsidR="00000000" w:rsidRPr="00C06675" w:rsidP="00C06675">
      <w:pPr>
        <w:pStyle w:val="BodyText"/>
      </w:pPr>
    </w:p>
    <w:p w:rsidR="00000000" w:rsidRPr="00C06675" w:rsidP="00C06675">
      <w:pPr>
        <w:pStyle w:val="AllowPageBreak"/>
      </w:pPr>
    </w:p>
    <w:p w:rsidR="00000000" w:rsidRPr="00C06675" w:rsidP="00C06675">
      <w:pPr>
        <w:pStyle w:val="Heading1"/>
      </w:pPr>
      <w:bookmarkStart w:id="9" w:name="O_103079"/>
      <w:bookmarkEnd w:id="9"/>
      <w:r w:rsidRPr="00C06675">
        <w:t>Required Skills and Knowledge</w:t>
      </w:r>
    </w:p>
    <w:tbl>
      <w:tblPr>
        <w:tblW w:w="0" w:type="auto"/>
        <w:tblLayout w:type="fixed"/>
        <w:tblCellMar>
          <w:left w:w="62" w:type="dxa"/>
          <w:right w:w="62" w:type="dxa"/>
        </w:tblCellMar>
        <w:tblLook w:val="0000"/>
      </w:tblPr>
      <w:tblGrid>
        <w:gridCol w:w="8522"/>
      </w:tblGrid>
      <w:tr w:rsidTr="00F50C1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06675">
            <w:pPr>
              <w:pStyle w:val="BodyText"/>
              <w:rPr>
                <w:lang w:val="en-NZ"/>
              </w:rPr>
            </w:pPr>
            <w:r w:rsidRPr="00C06675">
              <w:rPr>
                <w:rStyle w:val="SpecialBold"/>
              </w:rPr>
              <w:t>REQUIRED SKILLS AND KNOWLEDGE</w:t>
            </w:r>
          </w:p>
        </w:tc>
      </w:tr>
      <w:tr w:rsidTr="00F50C1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t>This section describes the skills and knowledge required for this unit.</w:t>
            </w:r>
          </w:p>
        </w:tc>
      </w:tr>
      <w:tr w:rsidTr="00F50C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rPr>
                <w:rStyle w:val="SpecialBold"/>
              </w:rPr>
              <w:t>Required skills</w:t>
            </w:r>
          </w:p>
        </w:tc>
      </w:tr>
      <w:tr w:rsidTr="00F50C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75" w:rsidP="00C06675">
            <w:pPr>
              <w:pStyle w:val="BodyText"/>
            </w:pPr>
            <w:r w:rsidRPr="00C06675">
              <w:t>Required skills include:</w:t>
            </w:r>
          </w:p>
          <w:p w:rsidR="00000000" w:rsidRPr="00C06675" w:rsidP="00C06675">
            <w:pPr>
              <w:pStyle w:val="ListBullet"/>
            </w:pPr>
            <w:r w:rsidRPr="00C06675">
              <w:t>collecting representative samples in accordance with a sampling plan</w:t>
            </w:r>
          </w:p>
          <w:p w:rsidR="00000000" w:rsidRPr="00C06675" w:rsidP="00C06675">
            <w:pPr>
              <w:pStyle w:val="ListBullet"/>
            </w:pPr>
            <w:r w:rsidRPr="00C06675">
              <w:t xml:space="preserve">techniques to preserve the integrity of samples </w:t>
            </w:r>
          </w:p>
          <w:p w:rsidR="00000000" w:rsidRPr="00C06675" w:rsidP="00C06675">
            <w:pPr>
              <w:pStyle w:val="ListBullet"/>
            </w:pPr>
            <w:r w:rsidRPr="00C06675">
              <w:t>identifying atypical materials and samples and taking appropriate action</w:t>
            </w:r>
          </w:p>
          <w:p w:rsidR="00000000" w:rsidRPr="00C06675" w:rsidP="00C06675">
            <w:pPr>
              <w:pStyle w:val="ListBullet"/>
            </w:pPr>
            <w:r w:rsidRPr="00C06675">
              <w:t xml:space="preserve">maintaining sampling equipment </w:t>
            </w:r>
          </w:p>
          <w:p w:rsidR="00000000" w:rsidRPr="00C06675" w:rsidP="00C06675">
            <w:pPr>
              <w:pStyle w:val="ListBullet"/>
            </w:pPr>
            <w:r w:rsidRPr="00C06675">
              <w:t xml:space="preserve">completing sampling records </w:t>
            </w:r>
          </w:p>
          <w:p w:rsidR="00000000" w:rsidRPr="00C06675" w:rsidP="00C06675">
            <w:pPr>
              <w:pStyle w:val="ListBullet"/>
            </w:pPr>
            <w:r w:rsidRPr="00C06675">
              <w:t>working safely</w:t>
            </w:r>
          </w:p>
          <w:p w:rsidR="00000000" w:rsidP="00C06675">
            <w:pPr>
              <w:pStyle w:val="ListBullet"/>
              <w:rPr>
                <w:lang w:val="en-NZ"/>
              </w:rPr>
            </w:pPr>
            <w:r w:rsidRPr="00C06675">
              <w:t>following requirements for the disposal of waste and the preservation of the environment</w:t>
            </w:r>
          </w:p>
        </w:tc>
      </w:tr>
      <w:tr w:rsidTr="00F50C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rPr>
                <w:rStyle w:val="SpecialBold"/>
              </w:rPr>
              <w:t>Required knowledge</w:t>
            </w:r>
          </w:p>
        </w:tc>
      </w:tr>
      <w:tr w:rsidTr="00F50C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75" w:rsidP="00C06675">
            <w:pPr>
              <w:pStyle w:val="BodyText"/>
            </w:pPr>
            <w:r w:rsidRPr="00C06675">
              <w:t>Required knowledge includes:</w:t>
            </w:r>
          </w:p>
          <w:p w:rsidR="00000000" w:rsidRPr="00C06675" w:rsidP="00C06675">
            <w:pPr>
              <w:pStyle w:val="ListBullet"/>
            </w:pPr>
            <w:r w:rsidRPr="00C06675">
              <w:t>principles of representative samples</w:t>
            </w:r>
          </w:p>
          <w:p w:rsidR="00000000" w:rsidRPr="00C06675" w:rsidP="00C06675">
            <w:pPr>
              <w:pStyle w:val="ListBullet"/>
            </w:pPr>
            <w:r w:rsidRPr="00C06675">
              <w:t>principles and procedures for random, systematic and stratified s</w:t>
            </w:r>
            <w:r w:rsidRPr="00C06675">
              <w:t>ampling, consistency of sampling procedures</w:t>
            </w:r>
          </w:p>
          <w:p w:rsidR="00000000" w:rsidRPr="00C06675" w:rsidP="00C06675">
            <w:pPr>
              <w:pStyle w:val="ListBullet"/>
            </w:pPr>
            <w:r w:rsidRPr="00C06675">
              <w:t>preservation of the integrity of samples</w:t>
            </w:r>
          </w:p>
          <w:p w:rsidR="00000000" w:rsidRPr="00C06675" w:rsidP="00C06675">
            <w:pPr>
              <w:pStyle w:val="ListBullet"/>
            </w:pPr>
            <w:r w:rsidRPr="00C06675">
              <w:t>maintaining identification of samples relative to their source</w:t>
            </w:r>
          </w:p>
          <w:p w:rsidR="00000000" w:rsidRPr="00C06675" w:rsidP="00C06675">
            <w:pPr>
              <w:pStyle w:val="ListBullet"/>
            </w:pPr>
            <w:r w:rsidRPr="00C06675">
              <w:t>enterprise and/or legal traceability requirements</w:t>
            </w:r>
          </w:p>
          <w:p w:rsidR="00000000" w:rsidRPr="00C06675" w:rsidP="00C06675">
            <w:pPr>
              <w:pStyle w:val="ListBullet"/>
            </w:pPr>
            <w:r w:rsidRPr="00C06675">
              <w:t>cost effectiveness of sampling</w:t>
            </w:r>
          </w:p>
          <w:p w:rsidR="00000000" w:rsidRPr="00C06675" w:rsidP="00C06675">
            <w:pPr>
              <w:pStyle w:val="ListBullet"/>
            </w:pPr>
            <w:r w:rsidRPr="00C06675">
              <w:t>characteristics of product/</w:t>
            </w:r>
            <w:r w:rsidRPr="00C06675">
              <w:t>material to be sampled and likely contaminants</w:t>
            </w:r>
          </w:p>
          <w:p w:rsidR="00000000" w:rsidRPr="00C06675" w:rsidP="00C06675">
            <w:pPr>
              <w:pStyle w:val="ListBullet"/>
            </w:pPr>
            <w:r w:rsidRPr="00C06675">
              <w:t>links between quality control, quality assurance, quality management systems and sampling procedures</w:t>
            </w:r>
          </w:p>
          <w:p w:rsidR="00000000" w:rsidRPr="00C06675" w:rsidP="00C06675">
            <w:pPr>
              <w:pStyle w:val="ListBullet"/>
            </w:pPr>
            <w:r w:rsidRPr="00C06675">
              <w:t>enterprise procedures dealing with legislative requirements for the handling, labelling and transport of haz</w:t>
            </w:r>
            <w:r w:rsidRPr="00C06675">
              <w:t>ardous goods</w:t>
            </w:r>
          </w:p>
          <w:p w:rsidR="00000000" w:rsidRPr="00C06675" w:rsidP="00C06675">
            <w:pPr>
              <w:pStyle w:val="ListBullet"/>
            </w:pPr>
            <w:r w:rsidRPr="00C06675">
              <w:t>links between correct occupational health and safety (OHS) procedures and personal and environmental safety particularly at high risk sites</w:t>
            </w:r>
          </w:p>
          <w:p w:rsidR="00000000" w:rsidRPr="00C06675" w:rsidP="00C06675">
            <w:pPr>
              <w:pStyle w:val="BodyText"/>
            </w:pPr>
            <w:r w:rsidRPr="00C06675">
              <w:rPr>
                <w:rStyle w:val="SpecialBold"/>
              </w:rPr>
              <w:t>Specific industry</w:t>
            </w:r>
          </w:p>
          <w:p w:rsidR="00000000" w:rsidRPr="00C06675" w:rsidP="00C06675">
            <w:pPr>
              <w:pStyle w:val="BodyText"/>
            </w:pPr>
            <w:r w:rsidRPr="00C06675">
              <w:t>Additional knowledge requirements may apply for different industry sectors. For examp</w:t>
            </w:r>
            <w:r w:rsidRPr="00C06675">
              <w:t>le:Biomedical and environmental services:</w:t>
            </w:r>
          </w:p>
          <w:p w:rsidR="00000000" w:rsidRPr="00C06675" w:rsidP="00C06675">
            <w:pPr>
              <w:pStyle w:val="ListBullet"/>
            </w:pPr>
            <w:r w:rsidRPr="00C06675">
              <w:t>specific legislation on biohazards</w:t>
            </w:r>
          </w:p>
          <w:p w:rsidR="00000000" w:rsidRPr="00C06675" w:rsidP="00C06675">
            <w:pPr>
              <w:pStyle w:val="ListBullet"/>
            </w:pPr>
            <w:r w:rsidRPr="00C06675">
              <w:t>documentation procedures for the chain of custody for samples to be used as evidence or for blood transfusion</w:t>
            </w:r>
          </w:p>
        </w:tc>
      </w:tr>
    </w:tbl>
    <w:p w:rsidR="00000000" w:rsidRPr="00C06675" w:rsidP="00C06675">
      <w:pPr>
        <w:pStyle w:val="BodyText"/>
      </w:pPr>
    </w:p>
    <w:p w:rsidR="00000000" w:rsidRPr="00C06675" w:rsidP="00C06675">
      <w:pPr>
        <w:pStyle w:val="AllowPageBreak"/>
      </w:pPr>
    </w:p>
    <w:p w:rsidR="00000000" w:rsidRPr="00C06675" w:rsidP="00C06675">
      <w:pPr>
        <w:pStyle w:val="Heading1"/>
      </w:pPr>
      <w:bookmarkStart w:id="10" w:name="O_103080"/>
      <w:bookmarkEnd w:id="10"/>
      <w:r w:rsidRPr="00C06675">
        <w:t>Evidence Guide</w:t>
      </w:r>
    </w:p>
    <w:tbl>
      <w:tblPr>
        <w:tblW w:w="9570" w:type="dxa"/>
        <w:tblLayout w:type="fixed"/>
        <w:tblCellMar>
          <w:left w:w="62" w:type="dxa"/>
          <w:right w:w="62" w:type="dxa"/>
        </w:tblCellMar>
        <w:tblLook w:val="0000"/>
      </w:tblPr>
      <w:tblGrid>
        <w:gridCol w:w="3908"/>
        <w:gridCol w:w="5662"/>
      </w:tblGrid>
      <w:tr w:rsidTr="00F50C1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rPr>
                <w:rStyle w:val="SpecialBold"/>
              </w:rPr>
              <w:t>EVIDENCE GUIDE</w:t>
            </w:r>
          </w:p>
        </w:tc>
      </w:tr>
      <w:tr w:rsidTr="00F50C1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t>The Evidence Guide provides advice on assessment and must be read in conjunction with the performance criteria, required skills and knowledge, range statement and the Assessment Guidelines for the Training Package.</w:t>
            </w:r>
          </w:p>
        </w:tc>
      </w:tr>
      <w:tr w:rsidTr="00F50C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p>
        </w:tc>
      </w:tr>
      <w:tr w:rsidTr="00F50C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75" w:rsidP="00C06675">
            <w:pPr>
              <w:pStyle w:val="BodyText"/>
            </w:pPr>
            <w:r w:rsidRPr="00C06675">
              <w:t>Assessors should ensure that candidates can:</w:t>
            </w:r>
          </w:p>
          <w:p w:rsidR="00000000" w:rsidRPr="00C06675" w:rsidP="00C06675">
            <w:pPr>
              <w:pStyle w:val="ListBullet"/>
            </w:pPr>
            <w:r w:rsidRPr="00C06675">
              <w:t>collect the specified quantity of sample to enable all processing and testing to occur and back-up samples to be store</w:t>
            </w:r>
            <w:r w:rsidRPr="00C06675">
              <w:t>d</w:t>
            </w:r>
          </w:p>
          <w:p w:rsidR="00000000" w:rsidRPr="00C06675" w:rsidP="00C06675">
            <w:pPr>
              <w:pStyle w:val="ListBullet"/>
            </w:pPr>
            <w:r w:rsidRPr="00C06675">
              <w:t>obtain a sample that is representative of the bulk material</w:t>
            </w:r>
          </w:p>
          <w:p w:rsidR="00000000" w:rsidRPr="00C06675" w:rsidP="00C06675">
            <w:pPr>
              <w:pStyle w:val="ListBullet"/>
            </w:pPr>
            <w:r w:rsidRPr="00C06675">
              <w:t>preserve the integrity of samples by closely adhering to procedures</w:t>
            </w:r>
          </w:p>
          <w:p w:rsidR="00000000" w:rsidRPr="00C06675" w:rsidP="00C06675">
            <w:pPr>
              <w:pStyle w:val="ListBullet"/>
            </w:pPr>
            <w:r w:rsidRPr="00C06675">
              <w:t>label samples and sub-samples to satisfy enterprise/legal traceability requirements</w:t>
            </w:r>
          </w:p>
          <w:p w:rsidR="00000000" w:rsidRPr="00C06675" w:rsidP="00C06675">
            <w:pPr>
              <w:pStyle w:val="ListBullet"/>
            </w:pPr>
            <w:r w:rsidRPr="00C06675">
              <w:t>identify atypical materials and samples an</w:t>
            </w:r>
            <w:r w:rsidRPr="00C06675">
              <w:t>d take appropriate action</w:t>
            </w:r>
          </w:p>
          <w:p w:rsidR="00000000" w:rsidRPr="00C06675" w:rsidP="00C06675">
            <w:pPr>
              <w:pStyle w:val="ListBullet"/>
            </w:pPr>
            <w:r w:rsidRPr="00C06675">
              <w:t>maintain sampling equipment in appropriate condition</w:t>
            </w:r>
          </w:p>
          <w:p w:rsidR="00000000" w:rsidRPr="00C06675" w:rsidP="00C06675">
            <w:pPr>
              <w:pStyle w:val="ListBullet"/>
            </w:pPr>
            <w:r w:rsidRPr="00C06675">
              <w:t>complete sampling records using enterprise procedures</w:t>
            </w:r>
          </w:p>
          <w:p w:rsidR="00000000" w:rsidRPr="00C06675" w:rsidP="00C06675">
            <w:pPr>
              <w:pStyle w:val="ListBullet"/>
            </w:pPr>
            <w:r w:rsidRPr="00C06675">
              <w:t>follow safety regulations and enterprise OHS procedures during sampling, transport and storage</w:t>
            </w:r>
          </w:p>
          <w:p w:rsidR="00000000" w:rsidP="00C06675">
            <w:pPr>
              <w:pStyle w:val="ListBullet"/>
              <w:rPr>
                <w:lang w:val="en-NZ"/>
              </w:rPr>
            </w:pPr>
            <w:r w:rsidRPr="00C06675">
              <w:t xml:space="preserve">follow relevant legislative </w:t>
            </w:r>
            <w:r w:rsidRPr="00C06675">
              <w:t>requirements for the disposal of waste and the preservation of the environment.</w:t>
            </w:r>
          </w:p>
        </w:tc>
      </w:tr>
      <w:tr w:rsidTr="00F50C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75" w:rsidP="00C06675">
            <w:pPr>
              <w:pStyle w:val="BodyText"/>
            </w:pPr>
            <w:r w:rsidRPr="00C06675">
              <w:t xml:space="preserve">This unit of competency is to be assessed in the workplace or simulated workplace environment. </w:t>
            </w:r>
          </w:p>
          <w:p w:rsidR="00000000" w:rsidRPr="00C06675" w:rsidP="00C06675">
            <w:pPr>
              <w:pStyle w:val="BodyText"/>
            </w:pPr>
            <w:r w:rsidRPr="00C06675">
              <w:t>This unit of competency may be assessed with:</w:t>
            </w:r>
          </w:p>
          <w:p w:rsidR="00000000" w:rsidRPr="00C06675" w:rsidP="00C06675">
            <w:pPr>
              <w:pStyle w:val="ListBullet"/>
            </w:pPr>
            <w:r w:rsidRPr="00C06675">
              <w:rPr>
                <w:rStyle w:val="Emphasis"/>
              </w:rPr>
              <w:t>MSL924001A Process and interpret data</w:t>
            </w:r>
          </w:p>
          <w:p w:rsidR="00000000" w:rsidRPr="00C06675" w:rsidP="00C06675">
            <w:pPr>
              <w:pStyle w:val="ListBullet"/>
            </w:pPr>
            <w:r w:rsidRPr="00C06675">
              <w:rPr>
                <w:rStyle w:val="Emphasis"/>
              </w:rPr>
              <w:t>MSL943002A Participate in laboratory</w:t>
            </w:r>
            <w:r w:rsidRPr="00C06675">
              <w:t>/</w:t>
            </w:r>
            <w:r w:rsidRPr="00C06675">
              <w:rPr>
                <w:rStyle w:val="Emphasis"/>
              </w:rPr>
              <w:t>field workplace safety</w:t>
            </w:r>
          </w:p>
          <w:p w:rsidR="00000000" w:rsidRPr="00C06675" w:rsidP="00C06675">
            <w:pPr>
              <w:pStyle w:val="ListBullet"/>
            </w:pPr>
            <w:r w:rsidRPr="00C06675">
              <w:rPr>
                <w:rStyle w:val="Emphasis"/>
              </w:rPr>
              <w:t>relevant MSAL974000 series units of competency</w:t>
            </w:r>
          </w:p>
          <w:p w:rsidR="00000000" w:rsidRPr="00C06675" w:rsidP="00C06675">
            <w:pPr>
              <w:pStyle w:val="ListBullet"/>
            </w:pPr>
            <w:r w:rsidRPr="00C06675">
              <w:rPr>
                <w:rStyle w:val="Emphasis"/>
              </w:rPr>
              <w:t>relevant MSAL975000 series units of competency relevant to the sa</w:t>
            </w:r>
            <w:r w:rsidRPr="00C06675">
              <w:rPr>
                <w:rStyle w:val="Emphasis"/>
              </w:rPr>
              <w:t>mpling</w:t>
            </w:r>
            <w:r w:rsidRPr="00C06675">
              <w:t>.</w:t>
            </w:r>
          </w:p>
          <w:p w:rsidR="00000000" w:rsidRPr="00C06675" w:rsidP="00C06675">
            <w:pPr>
              <w:pStyle w:val="BodyText"/>
            </w:pPr>
            <w:r w:rsidRPr="00C06675">
              <w:t>Resources may include:</w:t>
            </w:r>
          </w:p>
          <w:p w:rsidR="00000000" w:rsidRPr="00C06675" w:rsidP="00C06675">
            <w:pPr>
              <w:pStyle w:val="ListBullet"/>
            </w:pPr>
            <w:r w:rsidRPr="00C06675">
              <w:t>variety of sample types</w:t>
            </w:r>
          </w:p>
          <w:p w:rsidR="00000000" w:rsidRPr="00C06675" w:rsidP="00C06675">
            <w:pPr>
              <w:pStyle w:val="ListBullet"/>
            </w:pPr>
            <w:r w:rsidRPr="00C06675">
              <w:t>sampling plans</w:t>
            </w:r>
          </w:p>
          <w:p w:rsidR="00000000" w:rsidP="00C06675">
            <w:pPr>
              <w:pStyle w:val="ListBullet"/>
              <w:rPr>
                <w:lang w:val="en-NZ"/>
              </w:rPr>
            </w:pPr>
            <w:r w:rsidRPr="00C06675">
              <w:t>a selection of sampling containers and sampling equipment.</w:t>
            </w:r>
          </w:p>
        </w:tc>
      </w:tr>
      <w:tr w:rsidTr="00F50C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75" w:rsidP="00C06675">
            <w:pPr>
              <w:pStyle w:val="BodyText"/>
            </w:pPr>
            <w:r w:rsidRPr="00C06675">
              <w:t>The following assessment methods are suggested:</w:t>
            </w:r>
          </w:p>
          <w:p w:rsidR="00000000" w:rsidRPr="00C06675" w:rsidP="00C06675">
            <w:pPr>
              <w:pStyle w:val="ListBullet"/>
            </w:pPr>
            <w:r w:rsidRPr="00C06675">
              <w:t>inspection of samples collected by the candidate</w:t>
            </w:r>
          </w:p>
          <w:p w:rsidR="00000000" w:rsidRPr="00C06675" w:rsidP="00C06675">
            <w:pPr>
              <w:pStyle w:val="ListBullet"/>
            </w:pPr>
            <w:r w:rsidRPr="00C06675">
              <w:t>review o</w:t>
            </w:r>
            <w:r w:rsidRPr="00C06675">
              <w:t>f sampling documentation completed by the candidate</w:t>
            </w:r>
          </w:p>
          <w:p w:rsidR="00000000" w:rsidRPr="00C06675" w:rsidP="00C06675">
            <w:pPr>
              <w:pStyle w:val="ListBullet"/>
            </w:pPr>
            <w:r w:rsidRPr="00C06675">
              <w:t>feedback from peers, customers and supervisors that sampling plans were followed</w:t>
            </w:r>
          </w:p>
          <w:p w:rsidR="00000000" w:rsidRPr="00C06675" w:rsidP="00C06675">
            <w:pPr>
              <w:pStyle w:val="ListBullet"/>
            </w:pPr>
            <w:r w:rsidRPr="00C06675">
              <w:t>questioning to assess underpinning knowledge of representative sampling procedures</w:t>
            </w:r>
          </w:p>
          <w:p w:rsidR="00000000" w:rsidRPr="00C06675" w:rsidP="00C06675">
            <w:pPr>
              <w:pStyle w:val="ListBullet"/>
            </w:pPr>
            <w:r w:rsidRPr="00C06675">
              <w:t>observation of the candidate taking a range of samples.</w:t>
            </w:r>
          </w:p>
          <w:p w:rsidR="00000000" w:rsidRPr="00C06675" w:rsidP="00C06675">
            <w:pPr>
              <w:pStyle w:val="BodyText"/>
            </w:pPr>
            <w:r w:rsidRPr="00C06675">
              <w:t xml:space="preserve">In all cases, practical assessment should be supported by questions to assess underpinning knowledge and those aspects of competency which are difficult to assess directly. </w:t>
            </w:r>
          </w:p>
          <w:p w:rsidR="00000000" w:rsidRPr="00C06675" w:rsidP="00C06675">
            <w:pPr>
              <w:pStyle w:val="BodyText"/>
            </w:pPr>
            <w:r w:rsidRPr="00C06675">
              <w:t>Where applicable, reasonab</w:t>
            </w:r>
            <w:r w:rsidRPr="00C06675">
              <w:t xml:space="preserve">le adjustment must be made to work environments and training situations to accommodate ethnicity, age, gender, demographics and disability. </w:t>
            </w:r>
          </w:p>
          <w:p w:rsidR="00000000" w:rsidRPr="00C06675" w:rsidP="00C06675">
            <w:pPr>
              <w:pStyle w:val="BodyText"/>
            </w:pPr>
            <w:r w:rsidRPr="00C06675">
              <w:t xml:space="preserve">Access must be provided to appropriate learning and/or assessment support when required. </w:t>
            </w:r>
          </w:p>
          <w:p w:rsidR="00000000" w:rsidP="00C06675">
            <w:pPr>
              <w:pStyle w:val="BodyText"/>
              <w:rPr>
                <w:lang w:val="en-NZ"/>
              </w:rPr>
            </w:pPr>
            <w:r w:rsidRPr="00C06675">
              <w:t>The language, literacy an</w:t>
            </w:r>
            <w:r w:rsidRPr="00C06675">
              <w:t>d numeracy demands of assessment should not be greater than those required to undertake the unit of competency in a work like environment.</w:t>
            </w:r>
          </w:p>
        </w:tc>
      </w:tr>
      <w:tr w:rsidTr="00F50C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75" w:rsidP="00C06675">
            <w:pPr>
              <w:pStyle w:val="BodyText"/>
            </w:pPr>
            <w:r w:rsidRPr="00C06675">
              <w:t>Industry representatives have provided the case studies below to illustrate the practica</w:t>
            </w:r>
            <w:r w:rsidRPr="00C06675">
              <w:t xml:space="preserve">l application of this unit of competency and to show its relevance in a workplace setting. </w:t>
            </w:r>
          </w:p>
          <w:p w:rsidR="00000000" w:rsidRPr="00C06675" w:rsidP="00C06675">
            <w:pPr>
              <w:pStyle w:val="BodyText"/>
            </w:pPr>
            <w:r w:rsidRPr="00C06675">
              <w:rPr>
                <w:rStyle w:val="SpecialBold"/>
              </w:rPr>
              <w:t>Manufacturing</w:t>
            </w:r>
          </w:p>
          <w:p w:rsidR="00000000" w:rsidRPr="00C06675" w:rsidP="00C06675">
            <w:pPr>
              <w:pStyle w:val="BodyText"/>
            </w:pPr>
            <w:r w:rsidRPr="00C06675">
              <w:t>A metallurgical laboratory technician is very familiar with preparing representative samples for a range of final products in a steelmaking plant. One</w:t>
            </w:r>
            <w:r w:rsidRPr="00C06675">
              <w:t xml:space="preserve"> day, he/she is asked to sample a 50 tonne small-particle coal delivery which is believed to have a higher than acceptable sulphur content. Having never prepared representative samples for such a large quantity of material, the technician consulted their s</w:t>
            </w:r>
            <w:r w:rsidRPr="00C06675">
              <w:t>upervisor and developed an appropriate sampling plan. The technician arranged for the operator of a small front-end loader to take buckets of coal from five equally spaced points around the pile. The resulting material was then combined and mixed in one he</w:t>
            </w:r>
            <w:r w:rsidRPr="00C06675">
              <w:t>ap. The technician coned and quartered the heap enough times to obtain a representative sample of about 5kg. He/she arranged for the unwanted material to be returned to the stockpile. On return to the laboratory, the technician crushed the sample and repea</w:t>
            </w:r>
            <w:r w:rsidRPr="00C06675">
              <w:t>tedly coned and quartered the material to obtain an analytical portion.</w:t>
            </w:r>
          </w:p>
          <w:p w:rsidR="00000000" w:rsidRPr="00C06675" w:rsidP="00C06675">
            <w:pPr>
              <w:pStyle w:val="BodyText"/>
            </w:pPr>
            <w:r w:rsidRPr="00C06675">
              <w:rPr>
                <w:rStyle w:val="SpecialBold"/>
              </w:rPr>
              <w:t>Environmental</w:t>
            </w:r>
          </w:p>
          <w:p w:rsidR="00000000" w:rsidRPr="00C06675" w:rsidP="00C06675">
            <w:pPr>
              <w:pStyle w:val="BodyText"/>
            </w:pPr>
            <w:r w:rsidRPr="00C06675">
              <w:t xml:space="preserve">A field technician trained in sampling natural water systems is asked to sample a bright yellow industrial wastewater discharge into a small creek. The relevant sampling </w:t>
            </w:r>
            <w:r w:rsidRPr="00C06675">
              <w:t>plan specifies that the samples should be collected where the waste water is well mixed near the centre of the creek and at the mid-depth point. The technician also notes that the samples must be collected where turbulence is at a maximum so that the settl</w:t>
            </w:r>
            <w:r w:rsidRPr="00C06675">
              <w:t>ing of solids is minimal. On arrival at the site, the technician locates where the wastewater is entering the creek. He/she moves downstream to where the waste water and creek water is well mixed and there is little apparent loss of the yellow suspended so</w:t>
            </w:r>
            <w:r w:rsidRPr="00C06675">
              <w:t>lids. The technician dons the required personal protective equipment and uses a convenient bridge to collect a set of six samples and duplicates over a half-hour period using the equipment and procedures specified in the sampling plan. Using a field notebo</w:t>
            </w:r>
            <w:r w:rsidRPr="00C06675">
              <w:t>ok, the technician records all information specified in the laboratory's chain of custody requirements and safety plan for handling potentially hazardous industrial waste.</w:t>
            </w:r>
          </w:p>
        </w:tc>
      </w:tr>
    </w:tbl>
    <w:p w:rsidR="00000000" w:rsidRPr="00C06675" w:rsidP="00C06675">
      <w:pPr>
        <w:pStyle w:val="BodyText"/>
      </w:pPr>
    </w:p>
    <w:p w:rsidR="00000000" w:rsidRPr="00C06675" w:rsidP="00C06675">
      <w:pPr>
        <w:pStyle w:val="AllowPageBreak"/>
      </w:pPr>
    </w:p>
    <w:p w:rsidR="00000000" w:rsidRPr="00C06675" w:rsidP="00C06675">
      <w:pPr>
        <w:pStyle w:val="Heading1"/>
      </w:pPr>
      <w:bookmarkStart w:id="11" w:name="O_103081"/>
      <w:bookmarkEnd w:id="11"/>
      <w:r w:rsidRPr="00C06675">
        <w:t>Range Statement</w:t>
      </w:r>
    </w:p>
    <w:tbl>
      <w:tblPr>
        <w:tblW w:w="0" w:type="auto"/>
        <w:tblLayout w:type="fixed"/>
        <w:tblCellMar>
          <w:left w:w="62" w:type="dxa"/>
          <w:right w:w="62" w:type="dxa"/>
        </w:tblCellMar>
        <w:tblLook w:val="0000"/>
      </w:tblPr>
      <w:tblGrid>
        <w:gridCol w:w="3482"/>
        <w:gridCol w:w="5040"/>
      </w:tblGrid>
      <w:tr w:rsidTr="00F50C1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rPr>
                <w:rStyle w:val="SpecialBold"/>
              </w:rPr>
              <w:t>RANGE STATEMENT</w:t>
            </w:r>
          </w:p>
        </w:tc>
      </w:tr>
      <w:tr w:rsidTr="00F50C1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t>The range statement relates to the unit of competency as a whole. It allows for different work environments and situations that may affect performance. Bold italicised wording, if used in the performance criteria, is detailed below. Essential operating con</w:t>
            </w:r>
            <w:r w:rsidRPr="00C06675">
              <w:t>ditions that may be present with training and assessment (depending on the work situation, needs of the candidate, accessibility of the item, and local industry and regional contexts) may also be included.</w:t>
            </w:r>
          </w:p>
        </w:tc>
      </w:tr>
      <w:tr w:rsidTr="00F50C1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t>Where reference is made to ind</w:t>
            </w:r>
            <w:r w:rsidRPr="00C06675">
              <w:t>ustry codes of practice, and/or Australian/international standards, it is expected the latest version will be used</w:t>
            </w:r>
          </w:p>
        </w:tc>
      </w:tr>
      <w:tr w:rsidTr="00F50C1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rPr>
                <w:rStyle w:val="SpecialBold"/>
              </w:rPr>
              <w:t>Standards</w:t>
            </w:r>
            <w:r w:rsidRPr="00C06675">
              <w:t xml:space="preserve">, </w:t>
            </w:r>
            <w:r w:rsidRPr="00C06675">
              <w:rPr>
                <w:rStyle w:val="SpecialBold"/>
              </w:rPr>
              <w:t>codes</w:t>
            </w:r>
            <w:r w:rsidRPr="00C06675">
              <w:t xml:space="preserve">, </w:t>
            </w:r>
            <w:r w:rsidRPr="00C06675">
              <w:rPr>
                <w:rStyle w:val="SpecialBold"/>
              </w:rPr>
              <w:t>procedures and</w:t>
            </w:r>
            <w:r w:rsidRPr="00C06675">
              <w:t>/</w:t>
            </w:r>
            <w:r w:rsidRPr="00C06675">
              <w:rPr>
                <w:rStyle w:val="SpecialBold"/>
              </w:rPr>
              <w:t>or enterprise requirements</w:t>
            </w:r>
            <w:r w:rsidRPr="00C06675">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75" w:rsidP="00C06675">
            <w:pPr>
              <w:pStyle w:val="BodyText"/>
            </w:pPr>
            <w:r w:rsidRPr="00C06675">
              <w:t>Standards, codes, procedures and/or enterprise requirements may include:</w:t>
            </w:r>
          </w:p>
          <w:p w:rsidR="00000000" w:rsidRPr="00C06675" w:rsidP="00C06675">
            <w:pPr>
              <w:pStyle w:val="ListBullet"/>
            </w:pPr>
            <w:r w:rsidRPr="00C06675">
              <w:t>Austra</w:t>
            </w:r>
            <w:r w:rsidRPr="00C06675">
              <w:t>lian and international standards, such as:</w:t>
            </w:r>
          </w:p>
          <w:p w:rsidR="00000000" w:rsidRPr="00C06675" w:rsidP="00C06675">
            <w:pPr>
              <w:pStyle w:val="ListBullet2"/>
            </w:pPr>
            <w:r w:rsidRPr="00C06675">
              <w:t>AS 1199 Sampling procedures and tables for inspection by attributes</w:t>
            </w:r>
          </w:p>
          <w:p w:rsidR="00000000" w:rsidRPr="00C06675" w:rsidP="00C06675">
            <w:pPr>
              <w:pStyle w:val="ListBullet2"/>
            </w:pPr>
            <w:r w:rsidRPr="00C06675">
              <w:t>AS 1678 Emergency procedure guide -Transport</w:t>
            </w:r>
          </w:p>
          <w:p w:rsidR="00000000" w:rsidRPr="00C06675" w:rsidP="00C06675">
            <w:pPr>
              <w:pStyle w:val="ListBullet2"/>
            </w:pPr>
            <w:r w:rsidRPr="00C06675">
              <w:t>AS 1940-2004 Storage and handling of flammable and combustible liquids</w:t>
            </w:r>
          </w:p>
          <w:p w:rsidR="00000000" w:rsidRPr="00C06675" w:rsidP="00C06675">
            <w:pPr>
              <w:pStyle w:val="ListBullet2"/>
            </w:pPr>
            <w:r w:rsidRPr="00C06675">
              <w:t>AS 3780-2008 The storage an</w:t>
            </w:r>
            <w:r w:rsidRPr="00C06675">
              <w:t>d handling of corrosive substances</w:t>
            </w:r>
          </w:p>
          <w:p w:rsidR="00000000" w:rsidRPr="00C06675" w:rsidP="00C06675">
            <w:pPr>
              <w:pStyle w:val="ListBullet2"/>
            </w:pPr>
            <w:r w:rsidRPr="00C06675">
              <w:t>AS 4433.2-1997 Guide to the sampling of particulate materials - Preparation of samples</w:t>
            </w:r>
          </w:p>
          <w:p w:rsidR="00000000" w:rsidRPr="00C06675" w:rsidP="00C06675">
            <w:pPr>
              <w:pStyle w:val="ListBullet2"/>
            </w:pPr>
            <w:r w:rsidRPr="00C06675">
              <w:t>AS/NZS 4452:1997 The storage and handling of toxic substances</w:t>
            </w:r>
          </w:p>
          <w:p w:rsidR="00000000" w:rsidRPr="00C06675" w:rsidP="00C06675">
            <w:pPr>
              <w:pStyle w:val="ListBullet"/>
            </w:pPr>
            <w:r w:rsidRPr="00C06675">
              <w:t>American Association of Cereal Chemists (AACC) Approved Methods of Analy</w:t>
            </w:r>
            <w:r w:rsidRPr="00C06675">
              <w:t>sis</w:t>
            </w:r>
          </w:p>
          <w:p w:rsidR="00000000" w:rsidRPr="00C06675" w:rsidP="00C06675">
            <w:pPr>
              <w:pStyle w:val="ListBullet"/>
            </w:pPr>
            <w:r w:rsidRPr="00C06675">
              <w:t>Australian Dangerous Goods Code</w:t>
            </w:r>
          </w:p>
          <w:p w:rsidR="00000000" w:rsidRPr="00C06675" w:rsidP="00C06675">
            <w:pPr>
              <w:pStyle w:val="ListBullet"/>
            </w:pPr>
            <w:r w:rsidRPr="00C06675">
              <w:t>enterprise and/or client sampling schemes and sampling plans</w:t>
            </w:r>
          </w:p>
          <w:p w:rsidR="00000000" w:rsidRPr="00C06675" w:rsidP="00C06675">
            <w:pPr>
              <w:pStyle w:val="ListBullet"/>
            </w:pPr>
            <w:r w:rsidRPr="00C06675">
              <w:t>enterprise recording and reporting procedures</w:t>
            </w:r>
          </w:p>
          <w:p w:rsidR="00000000" w:rsidRPr="00C06675" w:rsidP="00C06675">
            <w:pPr>
              <w:pStyle w:val="ListBullet"/>
            </w:pPr>
            <w:r w:rsidRPr="00C06675">
              <w:t>gene technology regulations</w:t>
            </w:r>
          </w:p>
          <w:p w:rsidR="00000000" w:rsidRPr="00C06675" w:rsidP="00C06675">
            <w:pPr>
              <w:pStyle w:val="ListBullet"/>
            </w:pPr>
            <w:r w:rsidRPr="00C06675">
              <w:t>material safety data sheets (MSDS)</w:t>
            </w:r>
          </w:p>
          <w:p w:rsidR="00000000" w:rsidRPr="00C06675" w:rsidP="00C06675">
            <w:pPr>
              <w:pStyle w:val="ListBullet"/>
            </w:pPr>
            <w:r w:rsidRPr="00C06675">
              <w:t>methods and procedures which may be written to mee</w:t>
            </w:r>
            <w:r w:rsidRPr="00C06675">
              <w:t>t enterprise, client and/or regulatory/certifying body requirements</w:t>
            </w:r>
          </w:p>
          <w:p w:rsidR="00000000" w:rsidRPr="00C06675" w:rsidP="00C06675">
            <w:pPr>
              <w:pStyle w:val="ListBullet"/>
            </w:pPr>
            <w:r w:rsidRPr="00C06675">
              <w:t>National Code of Practice for the labelling of workplace substances [NOHSC:2012 (1994)]</w:t>
            </w:r>
          </w:p>
          <w:p w:rsidR="00000000" w:rsidP="00C06675">
            <w:pPr>
              <w:pStyle w:val="ListBullet"/>
              <w:rPr>
                <w:lang w:val="en-NZ"/>
              </w:rPr>
            </w:pPr>
            <w:r w:rsidRPr="00C06675">
              <w:t>site plans, maps and specifications</w:t>
            </w:r>
          </w:p>
        </w:tc>
      </w:tr>
      <w:tr w:rsidTr="00F50C1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rPr>
                <w:rStyle w:val="SpecialBold"/>
              </w:rPr>
              <w:t>Basic principles of sampling</w:t>
            </w:r>
            <w:r w:rsidRPr="00C06675">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75" w:rsidP="00C06675">
            <w:pPr>
              <w:pStyle w:val="BodyText"/>
            </w:pPr>
            <w:r w:rsidRPr="00C06675">
              <w:t>Basic principles of sampling include:</w:t>
            </w:r>
          </w:p>
          <w:p w:rsidR="00000000" w:rsidRPr="00C06675" w:rsidP="00C06675">
            <w:pPr>
              <w:pStyle w:val="ListBullet"/>
            </w:pPr>
            <w:r w:rsidRPr="00C06675">
              <w:t>representative samples</w:t>
            </w:r>
          </w:p>
          <w:p w:rsidR="00000000" w:rsidRPr="00C06675" w:rsidP="00C06675">
            <w:pPr>
              <w:pStyle w:val="ListBullet"/>
            </w:pPr>
            <w:r w:rsidRPr="00C06675">
              <w:t>preservation of integrity of samples</w:t>
            </w:r>
          </w:p>
          <w:p w:rsidR="00000000" w:rsidRPr="00C06675" w:rsidP="00C06675">
            <w:pPr>
              <w:pStyle w:val="ListBullet"/>
            </w:pPr>
            <w:r w:rsidRPr="00C06675">
              <w:t>maintaining identification of samples relative to their source, enterprise and legal traceability</w:t>
            </w:r>
          </w:p>
          <w:p w:rsidR="00000000" w:rsidRPr="00C06675" w:rsidP="00C06675">
            <w:pPr>
              <w:pStyle w:val="ListBullet"/>
            </w:pPr>
            <w:r w:rsidRPr="00C06675">
              <w:t>cost-effectiveness of sampling</w:t>
            </w:r>
          </w:p>
          <w:p w:rsidR="00000000" w:rsidRPr="00C06675" w:rsidP="00C06675">
            <w:pPr>
              <w:pStyle w:val="ListBullet"/>
            </w:pPr>
            <w:r w:rsidRPr="00C06675">
              <w:t>consistency of sampling proce</w:t>
            </w:r>
            <w:r w:rsidRPr="00C06675">
              <w:t>dures</w:t>
            </w:r>
          </w:p>
          <w:p w:rsidR="00000000" w:rsidP="00C06675">
            <w:pPr>
              <w:pStyle w:val="ListBullet"/>
              <w:rPr>
                <w:lang w:val="en-NZ"/>
              </w:rPr>
            </w:pPr>
            <w:r w:rsidRPr="00C06675">
              <w:t>sampling principles, including random, systematic and stratified sampling</w:t>
            </w:r>
          </w:p>
        </w:tc>
      </w:tr>
      <w:tr w:rsidTr="00F50C1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rPr>
                <w:rStyle w:val="SpecialBold"/>
              </w:rPr>
              <w:t>Materials sampled</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75" w:rsidP="00C06675">
            <w:pPr>
              <w:pStyle w:val="BodyText"/>
            </w:pPr>
            <w:r w:rsidRPr="00C06675">
              <w:t>Materials sampled may include:</w:t>
            </w:r>
          </w:p>
          <w:p w:rsidR="00000000" w:rsidRPr="00C06675" w:rsidP="00C06675">
            <w:pPr>
              <w:pStyle w:val="ListBullet"/>
            </w:pPr>
            <w:r w:rsidRPr="00C06675">
              <w:t>gas or air samples</w:t>
            </w:r>
          </w:p>
          <w:p w:rsidR="00000000" w:rsidRPr="00C06675" w:rsidP="00C06675">
            <w:pPr>
              <w:pStyle w:val="ListBullet"/>
            </w:pPr>
            <w:r w:rsidRPr="00C06675">
              <w:t>liquid samples, such as water, groundwater, waste water, stormwater, sludges and sewage</w:t>
            </w:r>
          </w:p>
          <w:p w:rsidR="00000000" w:rsidRPr="00C06675" w:rsidP="00C06675">
            <w:pPr>
              <w:pStyle w:val="ListBullet"/>
            </w:pPr>
            <w:r w:rsidRPr="00C06675">
              <w:t>solid samples, such</w:t>
            </w:r>
            <w:r w:rsidRPr="00C06675">
              <w:t xml:space="preserve"> as soil, sediments, rocks, concrete, quarry and mining material</w:t>
            </w:r>
          </w:p>
          <w:p w:rsidR="00000000" w:rsidRPr="00C06675" w:rsidP="00C06675">
            <w:pPr>
              <w:pStyle w:val="ListBullet"/>
            </w:pPr>
            <w:r w:rsidRPr="00C06675">
              <w:t>solid wastes</w:t>
            </w:r>
          </w:p>
          <w:p w:rsidR="00000000" w:rsidRPr="00C06675" w:rsidP="00C06675">
            <w:pPr>
              <w:pStyle w:val="ListBullet"/>
            </w:pPr>
            <w:r w:rsidRPr="00C06675">
              <w:t>raw materials, start, middle, end of production run samples, final products and materials used in production processes, such as flocculants</w:t>
            </w:r>
          </w:p>
          <w:p w:rsidR="00000000" w:rsidRPr="00C06675" w:rsidP="00C06675">
            <w:pPr>
              <w:pStyle w:val="ListBullet"/>
            </w:pPr>
            <w:r w:rsidRPr="00C06675">
              <w:t>plants</w:t>
            </w:r>
          </w:p>
          <w:p w:rsidR="00000000" w:rsidRPr="00C06675" w:rsidP="00C06675">
            <w:pPr>
              <w:pStyle w:val="ListBullet"/>
            </w:pPr>
            <w:r w:rsidRPr="00C06675">
              <w:t>animals</w:t>
            </w:r>
          </w:p>
          <w:p w:rsidR="00000000" w:rsidP="00C06675">
            <w:pPr>
              <w:pStyle w:val="ListBullet"/>
              <w:rPr>
                <w:lang w:val="en-NZ"/>
              </w:rPr>
            </w:pPr>
            <w:r w:rsidRPr="00C06675">
              <w:t>microbiological samples</w:t>
            </w:r>
          </w:p>
        </w:tc>
      </w:tr>
      <w:tr w:rsidTr="00F50C1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rPr>
                <w:rStyle w:val="SpecialBold"/>
              </w:rPr>
              <w:t>Types of samples</w:t>
            </w:r>
            <w:r w:rsidRPr="00C06675">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75" w:rsidP="00C06675">
            <w:pPr>
              <w:pStyle w:val="BodyText"/>
            </w:pPr>
            <w:r w:rsidRPr="00C06675">
              <w:t>Types of samples may include:</w:t>
            </w:r>
          </w:p>
          <w:p w:rsidR="00000000" w:rsidRPr="00C06675" w:rsidP="00C06675">
            <w:pPr>
              <w:pStyle w:val="ListBullet"/>
            </w:pPr>
            <w:r w:rsidRPr="00C06675">
              <w:t>grab samples</w:t>
            </w:r>
          </w:p>
          <w:p w:rsidR="00000000" w:rsidRPr="00C06675" w:rsidP="00C06675">
            <w:pPr>
              <w:pStyle w:val="ListBullet"/>
            </w:pPr>
            <w:r w:rsidRPr="00C06675">
              <w:t>composite samples</w:t>
            </w:r>
          </w:p>
          <w:p w:rsidR="00000000" w:rsidRPr="00C06675" w:rsidP="00C06675">
            <w:pPr>
              <w:pStyle w:val="ListBullet"/>
            </w:pPr>
            <w:r w:rsidRPr="00C06675">
              <w:t>quality control samples</w:t>
            </w:r>
          </w:p>
          <w:p w:rsidR="00000000" w:rsidRPr="00C06675" w:rsidP="00C06675">
            <w:pPr>
              <w:pStyle w:val="ListBullet"/>
            </w:pPr>
            <w:r w:rsidRPr="00C06675">
              <w:t>research or one-off samples</w:t>
            </w:r>
          </w:p>
          <w:p w:rsidR="00000000" w:rsidP="00C06675">
            <w:pPr>
              <w:pStyle w:val="ListBullet"/>
              <w:rPr>
                <w:lang w:val="en-NZ"/>
              </w:rPr>
            </w:pPr>
            <w:r w:rsidRPr="00C06675">
              <w:t>environmental or survey samples</w:t>
            </w:r>
          </w:p>
        </w:tc>
      </w:tr>
      <w:tr w:rsidTr="00F50C1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rPr>
                <w:rStyle w:val="SpecialBold"/>
              </w:rPr>
              <w:t>Sampling tools and equipment</w:t>
            </w:r>
            <w:r w:rsidRPr="00C06675">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75" w:rsidP="00C06675">
            <w:pPr>
              <w:pStyle w:val="BodyText"/>
            </w:pPr>
            <w:r w:rsidRPr="00C06675">
              <w:t>Sampling tools and equipment may include:</w:t>
            </w:r>
          </w:p>
          <w:p w:rsidR="00000000" w:rsidRPr="00C06675" w:rsidP="00C06675">
            <w:pPr>
              <w:pStyle w:val="ListBullet"/>
            </w:pPr>
            <w:r w:rsidRPr="00C06675">
              <w:t>shovels, augers and chain saws</w:t>
            </w:r>
          </w:p>
          <w:p w:rsidR="00000000" w:rsidRPr="00C06675" w:rsidP="00C06675">
            <w:pPr>
              <w:pStyle w:val="ListBullet"/>
            </w:pPr>
            <w:r w:rsidRPr="00C06675">
              <w:t>sampling frames, sampling tubes, dip tubes, spears, flexible bladders and syringes</w:t>
            </w:r>
          </w:p>
          <w:p w:rsidR="00000000" w:rsidRPr="00C06675" w:rsidP="00C06675">
            <w:pPr>
              <w:pStyle w:val="ListBullet"/>
            </w:pPr>
            <w:r w:rsidRPr="00C06675">
              <w:t>front-end loader, backhoe, excavator and drill rig</w:t>
            </w:r>
          </w:p>
          <w:p w:rsidR="00000000" w:rsidRPr="00C06675" w:rsidP="00C06675">
            <w:pPr>
              <w:pStyle w:val="ListBullet"/>
            </w:pPr>
            <w:r w:rsidRPr="00C06675">
              <w:t>sample bottles or containers, plastic containers and disposable buckets</w:t>
            </w:r>
          </w:p>
          <w:p w:rsidR="00000000" w:rsidRPr="00C06675" w:rsidP="00C06675">
            <w:pPr>
              <w:pStyle w:val="ListBullet"/>
            </w:pPr>
            <w:r w:rsidRPr="00C06675">
              <w:t>access valves</w:t>
            </w:r>
          </w:p>
          <w:p w:rsidR="00000000" w:rsidRPr="00C06675" w:rsidP="00C06675">
            <w:pPr>
              <w:pStyle w:val="ListBullet"/>
            </w:pPr>
            <w:r w:rsidRPr="00C06675">
              <w:t>sampl</w:t>
            </w:r>
            <w:r w:rsidRPr="00C06675">
              <w:t>e thief</w:t>
            </w:r>
          </w:p>
          <w:p w:rsidR="00000000" w:rsidRPr="00C06675" w:rsidP="00C06675">
            <w:pPr>
              <w:pStyle w:val="ListBullet"/>
            </w:pPr>
            <w:r w:rsidRPr="00C06675">
              <w:t>auto samplers</w:t>
            </w:r>
          </w:p>
          <w:p w:rsidR="00000000" w:rsidRPr="00C06675" w:rsidP="00C06675">
            <w:pPr>
              <w:pStyle w:val="ListBullet"/>
            </w:pPr>
            <w:r w:rsidRPr="00C06675">
              <w:t>pumps and stainless steel bailers</w:t>
            </w:r>
          </w:p>
          <w:p w:rsidR="00000000" w:rsidRPr="00C06675" w:rsidP="00C06675">
            <w:pPr>
              <w:pStyle w:val="ListBullet"/>
            </w:pPr>
            <w:r w:rsidRPr="00C06675">
              <w:t>traps and cages</w:t>
            </w:r>
          </w:p>
          <w:p w:rsidR="00000000" w:rsidP="00C06675">
            <w:pPr>
              <w:pStyle w:val="ListBullet"/>
              <w:rPr>
                <w:lang w:val="en-NZ"/>
              </w:rPr>
            </w:pPr>
            <w:r w:rsidRPr="00C06675">
              <w:t>sterile containers, pipettes, inoculating loops and disposable spoons</w:t>
            </w:r>
          </w:p>
        </w:tc>
      </w:tr>
      <w:tr w:rsidTr="00F50C1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rPr>
                <w:rStyle w:val="SpecialBold"/>
              </w:rPr>
              <w:t>Maintenance of integrity of samples</w:t>
            </w:r>
            <w:r w:rsidRPr="00C06675">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75" w:rsidP="00C06675">
            <w:pPr>
              <w:pStyle w:val="BodyText"/>
            </w:pPr>
            <w:r w:rsidRPr="00C06675">
              <w:t>Maintenance of integrity of samples may include:</w:t>
            </w:r>
          </w:p>
          <w:p w:rsidR="00000000" w:rsidRPr="00C06675" w:rsidP="00C06675">
            <w:pPr>
              <w:pStyle w:val="ListBullet"/>
            </w:pPr>
            <w:r w:rsidRPr="00C06675">
              <w:t>use of compatible container, such as glass, plastic, amber and opaque bottles</w:t>
            </w:r>
          </w:p>
          <w:p w:rsidR="00000000" w:rsidRPr="00C06675" w:rsidP="00C06675">
            <w:pPr>
              <w:pStyle w:val="ListBullet"/>
            </w:pPr>
            <w:r w:rsidRPr="00C06675">
              <w:t>use of appropriate preservatives, such as sodium azide, toluene or antibiotics</w:t>
            </w:r>
          </w:p>
          <w:p w:rsidR="00000000" w:rsidRPr="00C06675" w:rsidP="00C06675">
            <w:pPr>
              <w:pStyle w:val="ListBullet"/>
            </w:pPr>
            <w:r w:rsidRPr="00C06675">
              <w:t>decontamination of sampling tools between collection of consecutive samples</w:t>
            </w:r>
          </w:p>
          <w:p w:rsidR="00000000" w:rsidRPr="00C06675" w:rsidP="00C06675">
            <w:pPr>
              <w:pStyle w:val="ListBullet"/>
            </w:pPr>
            <w:r w:rsidRPr="00C06675">
              <w:t>wrapping container in f</w:t>
            </w:r>
            <w:r w:rsidRPr="00C06675">
              <w:t>oil</w:t>
            </w:r>
          </w:p>
          <w:p w:rsidR="00000000" w:rsidRPr="00C06675" w:rsidP="00C06675">
            <w:pPr>
              <w:pStyle w:val="ListBullet"/>
            </w:pPr>
            <w:r w:rsidRPr="00C06675">
              <w:t>purging of sample lines and boxes</w:t>
            </w:r>
          </w:p>
          <w:p w:rsidR="00000000" w:rsidRPr="00C06675" w:rsidP="00C06675">
            <w:pPr>
              <w:pStyle w:val="ListBullet"/>
            </w:pPr>
            <w:r w:rsidRPr="00C06675">
              <w:t>handling and transport to avoid disturbance or damage</w:t>
            </w:r>
          </w:p>
          <w:p w:rsidR="00000000" w:rsidRPr="00C06675" w:rsidP="00C06675">
            <w:pPr>
              <w:pStyle w:val="ListBullet"/>
            </w:pPr>
            <w:r w:rsidRPr="00C06675">
              <w:t>temperature control which may involve insulation of sample without direct contact with the coolant</w:t>
            </w:r>
          </w:p>
          <w:p w:rsidR="00000000" w:rsidRPr="00C06675" w:rsidP="00C06675">
            <w:pPr>
              <w:pStyle w:val="ListBullet"/>
            </w:pPr>
            <w:r w:rsidRPr="00C06675">
              <w:t>wrapping in wet newspaper, cloth, sand or sawdust</w:t>
            </w:r>
          </w:p>
          <w:p w:rsidR="00000000" w:rsidRPr="00C06675" w:rsidP="00C06675">
            <w:pPr>
              <w:pStyle w:val="ListBullet"/>
            </w:pPr>
            <w:r w:rsidRPr="00C06675">
              <w:t>transfer of ste</w:t>
            </w:r>
            <w:r w:rsidRPr="00C06675">
              <w:t>rile sample into sterile container</w:t>
            </w:r>
          </w:p>
          <w:p w:rsidR="00000000" w:rsidP="00C06675">
            <w:pPr>
              <w:pStyle w:val="ListBullet"/>
              <w:rPr>
                <w:lang w:val="en-NZ"/>
              </w:rPr>
            </w:pPr>
            <w:r w:rsidRPr="00C06675">
              <w:t>monitoring of storage conditions</w:t>
            </w:r>
          </w:p>
        </w:tc>
      </w:tr>
      <w:tr w:rsidTr="00F50C1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rPr>
                <w:rStyle w:val="SpecialBold"/>
              </w:rPr>
              <w:t>Site and sampling hazards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75" w:rsidP="00C06675">
            <w:pPr>
              <w:pStyle w:val="BodyText"/>
            </w:pPr>
            <w:r w:rsidRPr="00C06675">
              <w:t>Site and sampling hazards may include:</w:t>
            </w:r>
          </w:p>
          <w:p w:rsidR="00000000" w:rsidRPr="00C06675" w:rsidP="00C06675">
            <w:pPr>
              <w:pStyle w:val="ListBullet"/>
            </w:pPr>
            <w:r w:rsidRPr="00C06675">
              <w:t>solar radiation, dust and noise</w:t>
            </w:r>
          </w:p>
          <w:p w:rsidR="00000000" w:rsidRPr="00C06675" w:rsidP="00C06675">
            <w:pPr>
              <w:pStyle w:val="ListBullet"/>
            </w:pPr>
            <w:r w:rsidRPr="00C06675">
              <w:t>wildlife, such as snakes, spiders and domestic animals</w:t>
            </w:r>
          </w:p>
          <w:p w:rsidR="00000000" w:rsidRPr="00C06675" w:rsidP="00C06675">
            <w:pPr>
              <w:pStyle w:val="ListBullet"/>
            </w:pPr>
            <w:r w:rsidRPr="00C06675">
              <w:t>biohazards, such as micro-organisms and agents associated with soil, air, water, blood and blood products, and human or animal tissue and fluids</w:t>
            </w:r>
          </w:p>
          <w:p w:rsidR="00000000" w:rsidRPr="00C06675" w:rsidP="00C06675">
            <w:pPr>
              <w:pStyle w:val="ListBullet"/>
            </w:pPr>
            <w:r w:rsidRPr="00C06675">
              <w:t>chemicals, such as acids and hydrocarbons</w:t>
            </w:r>
          </w:p>
          <w:p w:rsidR="00000000" w:rsidRPr="00C06675" w:rsidP="00C06675">
            <w:pPr>
              <w:pStyle w:val="ListBullet"/>
            </w:pPr>
            <w:r w:rsidRPr="00C06675">
              <w:t>aerosols</w:t>
            </w:r>
          </w:p>
          <w:p w:rsidR="00000000" w:rsidRPr="00C06675" w:rsidP="00C06675">
            <w:pPr>
              <w:pStyle w:val="ListBullet"/>
            </w:pPr>
            <w:r w:rsidRPr="00C06675">
              <w:t>sharps and broken glassware</w:t>
            </w:r>
          </w:p>
          <w:p w:rsidR="00000000" w:rsidRPr="00C06675" w:rsidP="00C06675">
            <w:pPr>
              <w:pStyle w:val="ListBullet"/>
            </w:pPr>
            <w:r w:rsidRPr="00C06675">
              <w:t xml:space="preserve">manual handling of heavy sample </w:t>
            </w:r>
            <w:r w:rsidRPr="00C06675">
              <w:t>bags and containers</w:t>
            </w:r>
          </w:p>
          <w:p w:rsidR="00000000" w:rsidRPr="00C06675" w:rsidP="00C06675">
            <w:pPr>
              <w:pStyle w:val="ListBullet"/>
            </w:pPr>
            <w:r w:rsidRPr="00C06675">
              <w:t>crushing, entanglement and cuts associated with moving machinery and hand tools</w:t>
            </w:r>
          </w:p>
          <w:p w:rsidR="00000000" w:rsidP="00C06675">
            <w:pPr>
              <w:pStyle w:val="ListBullet"/>
              <w:rPr>
                <w:lang w:val="en-NZ"/>
              </w:rPr>
            </w:pPr>
            <w:r w:rsidRPr="00C06675">
              <w:t>vehicular and pedestrian traffic</w:t>
            </w:r>
          </w:p>
        </w:tc>
      </w:tr>
      <w:tr w:rsidTr="00F50C1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rPr>
                <w:rStyle w:val="SpecialBold"/>
              </w:rPr>
              <w:t>Safety procedures</w:t>
            </w:r>
            <w:r w:rsidRPr="00C06675">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75" w:rsidP="00C06675">
            <w:pPr>
              <w:pStyle w:val="BodyText"/>
            </w:pPr>
            <w:r w:rsidRPr="00C06675">
              <w:t>Safety procedures may include:</w:t>
            </w:r>
          </w:p>
          <w:p w:rsidR="00000000" w:rsidRPr="00C06675" w:rsidP="00C06675">
            <w:pPr>
              <w:pStyle w:val="ListBullet"/>
            </w:pPr>
            <w:r w:rsidRPr="00C06675">
              <w:t>use of MSDS</w:t>
            </w:r>
          </w:p>
          <w:p w:rsidR="00000000" w:rsidRPr="00C06675" w:rsidP="00C06675">
            <w:pPr>
              <w:pStyle w:val="ListBullet"/>
            </w:pPr>
            <w:r w:rsidRPr="00C06675">
              <w:t>use of personal protective equipment, such as hard hats, hea</w:t>
            </w:r>
            <w:r w:rsidRPr="00C06675">
              <w:t>ring protection, gloves, safety glasses, goggles, face guards, coveralls, gowns, body suits, respirators and safety boots</w:t>
            </w:r>
          </w:p>
          <w:p w:rsidR="00000000" w:rsidRPr="00C06675" w:rsidP="00C06675">
            <w:pPr>
              <w:pStyle w:val="ListBullet"/>
            </w:pPr>
            <w:r w:rsidRPr="00C06675">
              <w:t>use of biohazard containers and laminar flow cabinets</w:t>
            </w:r>
          </w:p>
          <w:p w:rsidR="00000000" w:rsidRPr="00C06675" w:rsidP="00C06675">
            <w:pPr>
              <w:pStyle w:val="ListBullet"/>
            </w:pPr>
            <w:r w:rsidRPr="00C06675">
              <w:t>correct labelling of reagents and hazardous materials</w:t>
            </w:r>
          </w:p>
          <w:p w:rsidR="00000000" w:rsidRPr="00C06675" w:rsidP="00C06675">
            <w:pPr>
              <w:pStyle w:val="ListBullet"/>
            </w:pPr>
            <w:r w:rsidRPr="00C06675">
              <w:t>handling, and storing haza</w:t>
            </w:r>
            <w:r w:rsidRPr="00C06675">
              <w:t>rdous materials and equipment in accordance with labels, MSDS, manufacturer's instructions, and enterprise procedures and regulations</w:t>
            </w:r>
          </w:p>
          <w:p w:rsidR="00000000" w:rsidRPr="00C06675" w:rsidP="00C06675">
            <w:pPr>
              <w:pStyle w:val="ListBullet"/>
            </w:pPr>
            <w:r w:rsidRPr="00C06675">
              <w:t>regular cleaning and/or decontaminating equipment and work areas</w:t>
            </w:r>
          </w:p>
          <w:p w:rsidR="00000000" w:rsidRPr="00C06675" w:rsidP="00C06675">
            <w:pPr>
              <w:pStyle w:val="ListBullet"/>
            </w:pPr>
            <w:r w:rsidRPr="00C06675">
              <w:t>machinery guards</w:t>
            </w:r>
          </w:p>
          <w:p w:rsidR="00000000" w:rsidRPr="00C06675" w:rsidP="00C06675">
            <w:pPr>
              <w:pStyle w:val="ListBullet"/>
            </w:pPr>
            <w:r w:rsidRPr="00C06675">
              <w:t>signage, barriers, service isolation tag</w:t>
            </w:r>
            <w:r w:rsidRPr="00C06675">
              <w:t>s, traffic control and flashing lights</w:t>
            </w:r>
          </w:p>
          <w:p w:rsidR="00000000" w:rsidP="00C06675">
            <w:pPr>
              <w:pStyle w:val="ListBullet"/>
              <w:rPr>
                <w:lang w:val="en-NZ"/>
              </w:rPr>
            </w:pPr>
            <w:r w:rsidRPr="00C06675">
              <w:t>lockout and tag-out procedures</w:t>
            </w:r>
          </w:p>
        </w:tc>
      </w:tr>
      <w:tr w:rsidTr="00F50C1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rPr>
                <w:rStyle w:val="SpecialBold"/>
              </w:rPr>
              <w:t>Occupational health and safety</w:t>
            </w:r>
            <w:r w:rsidRPr="00C06675">
              <w:t xml:space="preserve"> (</w:t>
            </w:r>
            <w:r w:rsidRPr="00C06675">
              <w:rPr>
                <w:rStyle w:val="SpecialBold"/>
              </w:rPr>
              <w:t>OHS</w:t>
            </w:r>
            <w:r w:rsidRPr="00C06675">
              <w:t xml:space="preserve">) </w:t>
            </w:r>
            <w:r w:rsidRPr="00C06675">
              <w:rPr>
                <w:rStyle w:val="SpecialBold"/>
              </w:rPr>
              <w:t>and environmental management requirements</w:t>
            </w:r>
            <w:r w:rsidRPr="00C06675">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75" w:rsidP="00C06675">
            <w:pPr>
              <w:pStyle w:val="BodyText"/>
            </w:pPr>
            <w:r w:rsidRPr="00C06675">
              <w:t>OHS and environmental management requirements:</w:t>
            </w:r>
          </w:p>
          <w:p w:rsidR="00000000" w:rsidRPr="00C06675" w:rsidP="00C06675">
            <w:pPr>
              <w:pStyle w:val="ListBullet"/>
            </w:pPr>
            <w:r w:rsidRPr="00C06675">
              <w:t xml:space="preserve">all operations must comply with enterprise OHS and </w:t>
            </w:r>
            <w:r w:rsidRPr="00C06675">
              <w:t>environmental management requirements, which may be imposed through state/territory or federal legislation - these requirements must not be compromised at any time</w:t>
            </w:r>
          </w:p>
          <w:p w:rsidR="00000000" w:rsidRPr="00C06675" w:rsidP="00C06675">
            <w:pPr>
              <w:pStyle w:val="ListBullet"/>
            </w:pPr>
            <w:r w:rsidRPr="00C06675">
              <w:t>all operations assume the potentially hazardous nature of samples and require standard preca</w:t>
            </w:r>
            <w:r w:rsidRPr="00C06675">
              <w:t>utions to be applied</w:t>
            </w:r>
          </w:p>
          <w:p w:rsidR="00000000" w:rsidRPr="00C06675" w:rsidP="00C06675">
            <w:pPr>
              <w:pStyle w:val="ListBullet"/>
            </w:pPr>
            <w:r w:rsidRPr="00C06675">
              <w:t>where relevant, users should access and apply current industry understanding of infection control issued by the National Health and Medical Research Council (NHMRC) and State and Territory Departments of Health</w:t>
            </w:r>
          </w:p>
        </w:tc>
      </w:tr>
    </w:tbl>
    <w:p w:rsidR="00F50C1B" w:rsidP="00C06675">
      <w:pPr>
        <w:pStyle w:val="BodyText"/>
      </w:pPr>
    </w:p>
    <w:p w:rsidR="00F50C1B" w:rsidP="00C06675">
      <w:pPr>
        <w:pStyle w:val="BodyText"/>
      </w:pPr>
    </w:p>
    <w:p w:rsidR="00000000" w:rsidRPr="00C06675" w:rsidP="00C06675">
      <w:pPr>
        <w:pStyle w:val="Heading1"/>
      </w:pPr>
      <w:bookmarkStart w:id="12" w:name="O_103082"/>
      <w:bookmarkEnd w:id="12"/>
      <w:r w:rsidRPr="00C06675">
        <w:t>Unit Sector(s)</w:t>
      </w:r>
    </w:p>
    <w:tbl>
      <w:tblPr>
        <w:tblW w:w="0" w:type="auto"/>
        <w:tblLayout w:type="fixed"/>
        <w:tblCellMar>
          <w:left w:w="62" w:type="dxa"/>
          <w:right w:w="62" w:type="dxa"/>
        </w:tblCellMar>
        <w:tblLook w:val="0000"/>
      </w:tblPr>
      <w:tblGrid>
        <w:gridCol w:w="2613"/>
        <w:gridCol w:w="5909"/>
      </w:tblGrid>
      <w:tr w:rsidTr="00F50C1B">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75" w:rsidP="00C06675">
            <w:pPr>
              <w:pStyle w:val="BodyText"/>
            </w:pPr>
            <w:r w:rsidRPr="00C06675">
              <w:t>Sampling</w:t>
            </w:r>
          </w:p>
        </w:tc>
      </w:tr>
    </w:tbl>
    <w:p w:rsidR="00000000" w:rsidRPr="00C06675" w:rsidP="00C06675">
      <w:pPr>
        <w:pStyle w:val="BodyText"/>
      </w:pPr>
    </w:p>
    <w:p w:rsidR="00000000" w:rsidRPr="00C06675" w:rsidP="00C06675">
      <w:pPr>
        <w:pStyle w:val="AllowPageBreak"/>
      </w:pPr>
    </w:p>
    <w:p w:rsidR="00000000" w:rsidRPr="00C06675" w:rsidP="00C06675">
      <w:pPr>
        <w:pStyle w:val="Heading1"/>
      </w:pPr>
      <w:bookmarkStart w:id="13" w:name="O_159494"/>
      <w:bookmarkEnd w:id="13"/>
      <w:r w:rsidRPr="00C06675">
        <w:t>Competency field</w:t>
      </w:r>
    </w:p>
    <w:tbl>
      <w:tblPr>
        <w:tblW w:w="0" w:type="auto"/>
        <w:tblLayout w:type="fixed"/>
        <w:tblCellMar>
          <w:left w:w="62" w:type="dxa"/>
          <w:right w:w="62" w:type="dxa"/>
        </w:tblCellMar>
        <w:tblLook w:val="0000"/>
      </w:tblPr>
      <w:tblGrid>
        <w:gridCol w:w="2784"/>
        <w:gridCol w:w="5738"/>
      </w:tblGrid>
      <w:tr w:rsidTr="00F50C1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75" w:rsidP="00C06675">
            <w:pPr>
              <w:pStyle w:val="BodyText"/>
            </w:pPr>
          </w:p>
        </w:tc>
      </w:tr>
    </w:tbl>
    <w:p w:rsidR="00000000" w:rsidRPr="00C06675" w:rsidP="00C06675">
      <w:pPr>
        <w:pStyle w:val="BodyText"/>
      </w:pPr>
    </w:p>
    <w:p w:rsidR="00000000" w:rsidRPr="00C06675" w:rsidP="00C06675">
      <w:pPr>
        <w:pStyle w:val="AllowPageBreak"/>
      </w:pPr>
    </w:p>
    <w:p w:rsidR="00000000" w:rsidRPr="00C06675" w:rsidP="00C06675">
      <w:pPr>
        <w:pStyle w:val="Heading1"/>
      </w:pPr>
      <w:bookmarkStart w:id="14" w:name="O_159493"/>
      <w:bookmarkEnd w:id="14"/>
      <w:r w:rsidRPr="00C06675">
        <w:t>Co-requisite units</w:t>
      </w:r>
    </w:p>
    <w:tbl>
      <w:tblPr>
        <w:tblW w:w="0" w:type="auto"/>
        <w:tblLayout w:type="fixed"/>
        <w:tblCellMar>
          <w:left w:w="62" w:type="dxa"/>
          <w:right w:w="62" w:type="dxa"/>
        </w:tblCellMar>
        <w:tblLook w:val="0000"/>
      </w:tblPr>
      <w:tblGrid>
        <w:gridCol w:w="2641"/>
        <w:gridCol w:w="1322"/>
        <w:gridCol w:w="4559"/>
      </w:tblGrid>
      <w:tr w:rsidTr="00F50C1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r w:rsidRPr="00C0667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p>
        </w:tc>
      </w:tr>
      <w:tr w:rsidTr="00F50C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75">
            <w:pPr>
              <w:pStyle w:val="BodyText"/>
              <w:rPr>
                <w:lang w:val="en-NZ"/>
              </w:rPr>
            </w:pPr>
          </w:p>
        </w:tc>
      </w:tr>
      <w:tr w:rsidTr="00F50C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75" w:rsidP="00C06675">
            <w:pPr>
              <w:pStyle w:val="BodyText"/>
            </w:pPr>
          </w:p>
        </w:tc>
      </w:tr>
    </w:tbl>
    <w:p w:rsidR="00000000" w:rsidRPr="00C06675" w:rsidP="00C06675">
      <w:pPr>
        <w:pStyle w:val="BodyText"/>
      </w:pPr>
    </w:p>
    <w:p w:rsidR="00000000" w:rsidRPr="00C06675" w:rsidP="00C06675"/>
    <w:sectPr w:rsidSect="00C066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6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0C1B" w:rsidP="00F50C1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6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C1B" w:rsidP="00C0667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F50C1B" w:rsidP="00C066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50C1B" w:rsidP="00C066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6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675" w:rsidRPr="00F50C1B" w:rsidP="00F50C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6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C1B" w:rsidRPr="002D2AF8" w:rsidP="00C06675">
    <w:pPr>
      <w:pStyle w:val="Header"/>
      <w:framePr w:wrap="around"/>
    </w:pPr>
    <w:r>
      <w:fldChar w:fldCharType="begin"/>
    </w:r>
    <w:r>
      <w:instrText xml:space="preserve"> TITLE   \* MERGEFORMAT </w:instrText>
    </w:r>
    <w:r>
      <w:fldChar w:fldCharType="separate"/>
    </w:r>
    <w:r>
      <w:t>MSL954001A Obtain representative samples in accordance with sampling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50C1B" w:rsidP="00C066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0242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00F9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F0DD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6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6675"/>
    <w:pPr>
      <w:spacing w:before="360" w:after="60"/>
      <w:outlineLvl w:val="0"/>
    </w:pPr>
    <w:rPr>
      <w:sz w:val="32"/>
    </w:rPr>
  </w:style>
  <w:style w:type="paragraph" w:styleId="Heading2">
    <w:name w:val="heading 2"/>
    <w:basedOn w:val="HeadingBase"/>
    <w:next w:val="BodyText"/>
    <w:link w:val="Heading2Char"/>
    <w:qFormat/>
    <w:rsid w:val="00C06675"/>
    <w:pPr>
      <w:keepLines/>
      <w:spacing w:before="240" w:after="120"/>
      <w:outlineLvl w:val="1"/>
    </w:pPr>
    <w:rPr>
      <w:sz w:val="28"/>
      <w:szCs w:val="40"/>
    </w:rPr>
  </w:style>
  <w:style w:type="paragraph" w:styleId="Heading3">
    <w:name w:val="heading 3"/>
    <w:basedOn w:val="HeadingBase"/>
    <w:next w:val="BodyText"/>
    <w:link w:val="Heading3Char"/>
    <w:qFormat/>
    <w:rsid w:val="00C06675"/>
    <w:pPr>
      <w:spacing w:before="180" w:after="120"/>
      <w:outlineLvl w:val="2"/>
    </w:pPr>
    <w:rPr>
      <w:spacing w:val="-10"/>
      <w:kern w:val="32"/>
    </w:rPr>
  </w:style>
  <w:style w:type="paragraph" w:styleId="Heading4">
    <w:name w:val="heading 4"/>
    <w:basedOn w:val="HeadingBase"/>
    <w:next w:val="BodyText"/>
    <w:link w:val="Heading4Char"/>
    <w:qFormat/>
    <w:rsid w:val="00C06675"/>
    <w:pPr>
      <w:spacing w:before="160" w:after="120"/>
      <w:outlineLvl w:val="3"/>
    </w:pPr>
    <w:rPr>
      <w:sz w:val="22"/>
    </w:rPr>
  </w:style>
  <w:style w:type="paragraph" w:styleId="Heading5">
    <w:name w:val="heading 5"/>
    <w:basedOn w:val="HeadingBase"/>
    <w:next w:val="Normal"/>
    <w:link w:val="Heading5Char"/>
    <w:qFormat/>
    <w:rsid w:val="00C06675"/>
    <w:pPr>
      <w:spacing w:before="80"/>
      <w:outlineLvl w:val="4"/>
    </w:pPr>
    <w:rPr>
      <w:color w:val="918585"/>
      <w:sz w:val="20"/>
    </w:rPr>
  </w:style>
  <w:style w:type="paragraph" w:styleId="Heading6">
    <w:name w:val="heading 6"/>
    <w:basedOn w:val="HeadingBase"/>
    <w:next w:val="Normal"/>
    <w:link w:val="Heading6Char"/>
    <w:qFormat/>
    <w:rsid w:val="00C06675"/>
    <w:pPr>
      <w:spacing w:before="60"/>
      <w:outlineLvl w:val="5"/>
    </w:pPr>
    <w:rPr>
      <w:color w:val="918585"/>
      <w:sz w:val="20"/>
    </w:rPr>
  </w:style>
  <w:style w:type="paragraph" w:styleId="Heading7">
    <w:name w:val="heading 7"/>
    <w:basedOn w:val="Normal"/>
    <w:next w:val="Normal"/>
    <w:link w:val="Heading7Char"/>
    <w:qFormat/>
    <w:rsid w:val="00C06675"/>
    <w:pPr>
      <w:ind w:left="720"/>
      <w:outlineLvl w:val="6"/>
    </w:pPr>
    <w:rPr>
      <w:i/>
    </w:rPr>
  </w:style>
  <w:style w:type="paragraph" w:styleId="Heading8">
    <w:name w:val="heading 8"/>
    <w:basedOn w:val="Normal"/>
    <w:next w:val="Normal"/>
    <w:link w:val="Heading8Char"/>
    <w:qFormat/>
    <w:rsid w:val="00C06675"/>
    <w:pPr>
      <w:ind w:left="720"/>
      <w:outlineLvl w:val="7"/>
    </w:pPr>
    <w:rPr>
      <w:i/>
    </w:rPr>
  </w:style>
  <w:style w:type="paragraph" w:styleId="Heading9">
    <w:name w:val="heading 9"/>
    <w:basedOn w:val="Normal"/>
    <w:next w:val="Normal"/>
    <w:link w:val="Heading9Char"/>
    <w:qFormat/>
    <w:rsid w:val="00C06675"/>
    <w:pPr>
      <w:ind w:left="720"/>
      <w:outlineLvl w:val="8"/>
    </w:pPr>
    <w:rPr>
      <w:i/>
    </w:rPr>
  </w:style>
  <w:style w:type="character" w:default="1" w:styleId="DefaultParagraphFont">
    <w:name w:val="Default Paragraph Font"/>
    <w:uiPriority w:val="1"/>
    <w:unhideWhenUsed/>
    <w:rsid w:val="00C066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6675"/>
  </w:style>
  <w:style w:type="character" w:customStyle="1" w:styleId="Heading1Char">
    <w:name w:val="Heading 1 Char"/>
    <w:basedOn w:val="DefaultParagraphFont"/>
    <w:link w:val="Heading1"/>
    <w:rsid w:val="00C06675"/>
    <w:rPr>
      <w:rFonts w:ascii="Times New Roman" w:eastAsia="Times New Roman" w:hAnsi="Times New Roman" w:cs="Times New Roman"/>
      <w:b/>
      <w:sz w:val="32"/>
      <w:szCs w:val="20"/>
      <w:lang w:eastAsia="en-US"/>
    </w:rPr>
  </w:style>
  <w:style w:type="paragraph" w:styleId="BodyText">
    <w:name w:val="Body Text"/>
    <w:basedOn w:val="Normal"/>
    <w:link w:val="BodyTextChar"/>
    <w:rsid w:val="00C066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6675"/>
    <w:rPr>
      <w:rFonts w:ascii="Times New Roman" w:eastAsia="Times New Roman" w:hAnsi="Times New Roman" w:cs="Times New Roman"/>
      <w:sz w:val="24"/>
      <w:lang w:eastAsia="en-US"/>
    </w:rPr>
  </w:style>
  <w:style w:type="paragraph" w:styleId="Footer">
    <w:name w:val="footer"/>
    <w:basedOn w:val="Normal"/>
    <w:link w:val="FooterChar"/>
    <w:rsid w:val="00C066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6675"/>
    <w:rPr>
      <w:rFonts w:ascii="Times New Roman" w:eastAsia="Times New Roman" w:hAnsi="Times New Roman" w:cs="Times New Roman"/>
      <w:sz w:val="16"/>
      <w:lang w:eastAsia="en-US"/>
    </w:rPr>
  </w:style>
  <w:style w:type="paragraph" w:styleId="List">
    <w:name w:val="List"/>
    <w:basedOn w:val="BodyText"/>
    <w:next w:val="BodyText"/>
    <w:rsid w:val="00C06675"/>
    <w:pPr>
      <w:tabs>
        <w:tab w:val="left" w:pos="340"/>
      </w:tabs>
      <w:spacing w:before="60" w:after="60"/>
      <w:ind w:left="340" w:hanging="340"/>
    </w:pPr>
  </w:style>
  <w:style w:type="paragraph" w:styleId="ListBullet">
    <w:name w:val="List Bullet"/>
    <w:basedOn w:val="List"/>
    <w:rsid w:val="00C06675"/>
    <w:pPr>
      <w:numPr>
        <w:numId w:val="13"/>
      </w:numPr>
      <w:tabs>
        <w:tab w:val="clear" w:pos="340"/>
      </w:tabs>
      <w:spacing w:before="40" w:after="40"/>
    </w:pPr>
  </w:style>
  <w:style w:type="character" w:customStyle="1" w:styleId="SpecialBold">
    <w:name w:val="Special Bold"/>
    <w:basedOn w:val="DefaultParagraphFont"/>
    <w:rsid w:val="00C06675"/>
    <w:rPr>
      <w:b/>
      <w:spacing w:val="0"/>
    </w:rPr>
  </w:style>
  <w:style w:type="paragraph" w:styleId="ListBullet2">
    <w:name w:val="List Bullet 2"/>
    <w:basedOn w:val="List2"/>
    <w:rsid w:val="00C06675"/>
    <w:pPr>
      <w:numPr>
        <w:numId w:val="14"/>
      </w:numPr>
      <w:tabs>
        <w:tab w:val="clear" w:pos="680"/>
      </w:tabs>
    </w:pPr>
  </w:style>
  <w:style w:type="character" w:styleId="Emphasis">
    <w:name w:val="Emphasis"/>
    <w:basedOn w:val="DefaultParagraphFont"/>
    <w:qFormat/>
    <w:rsid w:val="00C06675"/>
    <w:rPr>
      <w:i/>
    </w:rPr>
  </w:style>
  <w:style w:type="paragraph" w:customStyle="1" w:styleId="SuperHeading">
    <w:name w:val="SuperHeading"/>
    <w:basedOn w:val="Normal"/>
    <w:rsid w:val="00C06675"/>
    <w:pPr>
      <w:spacing w:before="240" w:after="120"/>
      <w:outlineLvl w:val="0"/>
    </w:pPr>
    <w:rPr>
      <w:rFonts w:ascii="Times New Roman" w:hAnsi="Times New Roman"/>
      <w:b/>
      <w:sz w:val="28"/>
    </w:rPr>
  </w:style>
  <w:style w:type="paragraph" w:customStyle="1" w:styleId="AllowPageBreak">
    <w:name w:val="AllowPageBreak"/>
    <w:rsid w:val="00C066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6675"/>
    <w:pPr>
      <w:tabs>
        <w:tab w:val="left" w:pos="680"/>
      </w:tabs>
      <w:spacing w:before="60" w:after="60"/>
      <w:ind w:left="680" w:hanging="340"/>
    </w:pPr>
  </w:style>
  <w:style w:type="character" w:customStyle="1" w:styleId="Heading2Char">
    <w:name w:val="Heading 2 Char"/>
    <w:basedOn w:val="DefaultParagraphFont"/>
    <w:link w:val="Heading2"/>
    <w:rsid w:val="00C066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66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66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66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66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66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66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6675"/>
    <w:rPr>
      <w:rFonts w:ascii="Courier New" w:eastAsia="Times New Roman" w:hAnsi="Courier New" w:cs="Times New Roman"/>
      <w:i/>
      <w:szCs w:val="20"/>
      <w:lang w:eastAsia="en-US"/>
    </w:rPr>
  </w:style>
  <w:style w:type="paragraph" w:customStyle="1" w:styleId="HeadingBase">
    <w:name w:val="Heading Base"/>
    <w:rsid w:val="00C066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6675"/>
    <w:pPr>
      <w:tabs>
        <w:tab w:val="right" w:leader="dot" w:pos="9072"/>
      </w:tabs>
      <w:ind w:left="567"/>
    </w:pPr>
    <w:rPr>
      <w:szCs w:val="22"/>
    </w:rPr>
  </w:style>
  <w:style w:type="paragraph" w:customStyle="1" w:styleId="TOCBase">
    <w:name w:val="TOC Base"/>
    <w:rsid w:val="00C066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6675"/>
    <w:pPr>
      <w:tabs>
        <w:tab w:val="right" w:leader="dot" w:pos="9072"/>
      </w:tabs>
      <w:spacing w:before="40" w:after="40"/>
      <w:ind w:left="284"/>
    </w:pPr>
    <w:rPr>
      <w:rFonts w:ascii="Times New Roman" w:hAnsi="Times New Roman"/>
    </w:rPr>
  </w:style>
  <w:style w:type="paragraph" w:styleId="TOC1">
    <w:name w:val="toc 1"/>
    <w:basedOn w:val="TOCBase"/>
    <w:next w:val="Normal"/>
    <w:rsid w:val="00C066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6675"/>
    <w:pPr>
      <w:spacing w:before="5040"/>
      <w:jc w:val="center"/>
    </w:pPr>
    <w:rPr>
      <w:sz w:val="48"/>
      <w:szCs w:val="72"/>
      <w:lang w:val="en-US"/>
    </w:rPr>
  </w:style>
  <w:style w:type="character" w:customStyle="1" w:styleId="TitleChar">
    <w:name w:val="Title Char"/>
    <w:basedOn w:val="DefaultParagraphFont"/>
    <w:link w:val="Title"/>
    <w:rsid w:val="00C066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6675"/>
    <w:pPr>
      <w:tabs>
        <w:tab w:val="left" w:pos="3600"/>
        <w:tab w:val="left" w:pos="3958"/>
      </w:tabs>
    </w:pPr>
  </w:style>
  <w:style w:type="paragraph" w:customStyle="1" w:styleId="Note">
    <w:name w:val="Note"/>
    <w:basedOn w:val="BodyText"/>
    <w:rsid w:val="00C066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6675"/>
    <w:pPr>
      <w:framePr w:wrap="auto" w:hAnchor="text" w:y="6049"/>
    </w:pPr>
    <w:rPr>
      <w:color w:val="000000"/>
      <w:sz w:val="40"/>
    </w:rPr>
  </w:style>
  <w:style w:type="paragraph" w:customStyle="1" w:styleId="TOCTitle">
    <w:name w:val="TOCTitle"/>
    <w:basedOn w:val="Heading1"/>
    <w:rsid w:val="00C06675"/>
    <w:pPr>
      <w:spacing w:after="240"/>
      <w:jc w:val="center"/>
      <w:outlineLvl w:val="9"/>
    </w:pPr>
    <w:rPr>
      <w:caps/>
    </w:rPr>
  </w:style>
  <w:style w:type="paragraph" w:customStyle="1" w:styleId="Version">
    <w:name w:val="Version"/>
    <w:rsid w:val="00C066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6675"/>
    <w:pPr>
      <w:keepNext w:val="0"/>
      <w:tabs>
        <w:tab w:val="right" w:pos="4176"/>
      </w:tabs>
      <w:ind w:left="198" w:hanging="198"/>
    </w:pPr>
    <w:rPr>
      <w:rFonts w:ascii="Garamond" w:hAnsi="Garamond"/>
    </w:rPr>
  </w:style>
  <w:style w:type="paragraph" w:styleId="IndexHeading">
    <w:name w:val="index heading"/>
    <w:basedOn w:val="Normal"/>
    <w:next w:val="Index1"/>
    <w:semiHidden/>
    <w:rsid w:val="00C06675"/>
    <w:pPr>
      <w:spacing w:before="120" w:after="120"/>
    </w:pPr>
    <w:rPr>
      <w:rFonts w:ascii="Arial" w:hAnsi="Arial"/>
      <w:b/>
      <w:color w:val="918585"/>
      <w:sz w:val="24"/>
    </w:rPr>
  </w:style>
  <w:style w:type="paragraph" w:styleId="Header">
    <w:name w:val="header"/>
    <w:basedOn w:val="Normal"/>
    <w:link w:val="HeaderChar"/>
    <w:rsid w:val="00C066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6675"/>
    <w:rPr>
      <w:rFonts w:ascii="Times New Roman" w:eastAsia="Times New Roman" w:hAnsi="Times New Roman" w:cs="Times New Roman"/>
      <w:sz w:val="16"/>
      <w:szCs w:val="20"/>
      <w:lang w:val="en-GB" w:eastAsia="en-US"/>
    </w:rPr>
  </w:style>
  <w:style w:type="paragraph" w:customStyle="1" w:styleId="Chapter">
    <w:name w:val="Chapter"/>
    <w:basedOn w:val="Normal"/>
    <w:rsid w:val="00C06675"/>
    <w:pPr>
      <w:spacing w:before="240"/>
    </w:pPr>
    <w:rPr>
      <w:rFonts w:ascii="Times New Roman" w:hAnsi="Times New Roman"/>
      <w:smallCaps/>
      <w:spacing w:val="80"/>
      <w:sz w:val="28"/>
    </w:rPr>
  </w:style>
  <w:style w:type="paragraph" w:customStyle="1" w:styleId="InChapter">
    <w:name w:val="InChapter"/>
    <w:basedOn w:val="Heading3"/>
    <w:rsid w:val="00C06675"/>
    <w:pPr>
      <w:spacing w:after="240"/>
      <w:outlineLvl w:val="9"/>
    </w:pPr>
    <w:rPr>
      <w:noProof/>
    </w:rPr>
  </w:style>
  <w:style w:type="paragraph" w:styleId="Index2">
    <w:name w:val="index 2"/>
    <w:basedOn w:val="Normal"/>
    <w:next w:val="Normal"/>
    <w:semiHidden/>
    <w:rsid w:val="00C06675"/>
    <w:pPr>
      <w:tabs>
        <w:tab w:val="right" w:pos="4176"/>
      </w:tabs>
      <w:ind w:left="568" w:hanging="284"/>
    </w:pPr>
    <w:rPr>
      <w:rFonts w:ascii="Garamond" w:hAnsi="Garamond"/>
    </w:rPr>
  </w:style>
  <w:style w:type="paragraph" w:customStyle="1" w:styleId="Byline">
    <w:name w:val="Byline"/>
    <w:rsid w:val="00C066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6675"/>
    <w:pPr>
      <w:tabs>
        <w:tab w:val="clear" w:pos="3600"/>
        <w:tab w:val="clear" w:pos="3958"/>
      </w:tabs>
      <w:jc w:val="right"/>
    </w:pPr>
  </w:style>
  <w:style w:type="paragraph" w:styleId="Caption">
    <w:name w:val="caption"/>
    <w:basedOn w:val="BodyText"/>
    <w:next w:val="Normal"/>
    <w:qFormat/>
    <w:rsid w:val="00C06675"/>
    <w:pPr>
      <w:framePr w:w="2268" w:hSpace="181" w:vSpace="181" w:wrap="around" w:vAnchor="text" w:hAnchor="page" w:x="1135" w:y="285" w:anchorLock="1"/>
    </w:pPr>
    <w:rPr>
      <w:i/>
    </w:rPr>
  </w:style>
  <w:style w:type="paragraph" w:customStyle="1" w:styleId="MiniTOCTitle">
    <w:name w:val="MiniTOCTitle"/>
    <w:basedOn w:val="Heading4"/>
    <w:rsid w:val="00C06675"/>
    <w:pPr>
      <w:spacing w:before="240"/>
      <w:outlineLvl w:val="9"/>
    </w:pPr>
    <w:rPr>
      <w:noProof/>
      <w:sz w:val="24"/>
    </w:rPr>
  </w:style>
  <w:style w:type="paragraph" w:customStyle="1" w:styleId="MiniTOCItem">
    <w:name w:val="MiniTOCItem"/>
    <w:basedOn w:val="ListBullet"/>
    <w:rsid w:val="00C06675"/>
    <w:pPr>
      <w:numPr>
        <w:numId w:val="0"/>
      </w:numPr>
      <w:tabs>
        <w:tab w:val="right" w:leader="dot" w:pos="6521"/>
      </w:tabs>
      <w:spacing w:before="0" w:after="0"/>
    </w:pPr>
  </w:style>
  <w:style w:type="paragraph" w:customStyle="1" w:styleId="TOFTitle">
    <w:name w:val="TOFTitle"/>
    <w:basedOn w:val="TOCTitle"/>
    <w:rsid w:val="00C06675"/>
  </w:style>
  <w:style w:type="paragraph" w:styleId="TableofFigures">
    <w:name w:val="table of figures"/>
    <w:basedOn w:val="Normal"/>
    <w:next w:val="Normal"/>
    <w:semiHidden/>
    <w:rsid w:val="00C06675"/>
    <w:pPr>
      <w:tabs>
        <w:tab w:val="right" w:leader="dot" w:pos="9072"/>
      </w:tabs>
      <w:ind w:left="970" w:hanging="403"/>
    </w:pPr>
    <w:rPr>
      <w:rFonts w:ascii="Times New Roman" w:hAnsi="Times New Roman"/>
      <w:b/>
    </w:rPr>
  </w:style>
  <w:style w:type="paragraph" w:styleId="ListNumber">
    <w:name w:val="List Number"/>
    <w:basedOn w:val="List"/>
    <w:rsid w:val="00C06675"/>
    <w:pPr>
      <w:numPr>
        <w:numId w:val="11"/>
      </w:numPr>
    </w:pPr>
  </w:style>
  <w:style w:type="character" w:customStyle="1" w:styleId="WingdingSymbols">
    <w:name w:val="Wingding Symbols"/>
    <w:rsid w:val="00C06675"/>
    <w:rPr>
      <w:rFonts w:ascii="Wingdings" w:hAnsi="Wingdings"/>
    </w:rPr>
  </w:style>
  <w:style w:type="paragraph" w:customStyle="1" w:styleId="TableHeading">
    <w:name w:val="Table Heading"/>
    <w:basedOn w:val="HeadingBase"/>
    <w:rsid w:val="00C06675"/>
    <w:pPr>
      <w:keepLines/>
      <w:pBdr>
        <w:bottom w:val="single" w:sz="6" w:space="1" w:color="918585"/>
      </w:pBdr>
      <w:spacing w:before="240"/>
    </w:pPr>
  </w:style>
  <w:style w:type="character" w:customStyle="1" w:styleId="HotSpot">
    <w:name w:val="HotSpot"/>
    <w:rsid w:val="00C06675"/>
    <w:rPr>
      <w:color w:val="0033CC"/>
      <w:u w:val="none"/>
    </w:rPr>
  </w:style>
  <w:style w:type="paragraph" w:customStyle="1" w:styleId="BodyTextRight">
    <w:name w:val="Body Text Right"/>
    <w:basedOn w:val="BodyText"/>
    <w:rsid w:val="00C06675"/>
    <w:pPr>
      <w:spacing w:before="0" w:after="0"/>
      <w:jc w:val="right"/>
    </w:pPr>
  </w:style>
  <w:style w:type="paragraph" w:styleId="Index3">
    <w:name w:val="index 3"/>
    <w:basedOn w:val="ListNumber2"/>
    <w:next w:val="Normal"/>
    <w:semiHidden/>
    <w:rsid w:val="00C06675"/>
    <w:pPr>
      <w:numPr>
        <w:numId w:val="0"/>
      </w:numPr>
      <w:tabs>
        <w:tab w:val="right" w:leader="dot" w:pos="4176"/>
      </w:tabs>
    </w:pPr>
  </w:style>
  <w:style w:type="paragraph" w:styleId="ListNumber2">
    <w:name w:val="List Number 2"/>
    <w:basedOn w:val="List2"/>
    <w:rsid w:val="00C06675"/>
    <w:pPr>
      <w:numPr>
        <w:numId w:val="10"/>
      </w:numPr>
      <w:tabs>
        <w:tab w:val="clear" w:pos="1060"/>
      </w:tabs>
    </w:pPr>
  </w:style>
  <w:style w:type="paragraph" w:customStyle="1" w:styleId="MarginNote">
    <w:name w:val="Margin Note"/>
    <w:basedOn w:val="BodyText"/>
    <w:rsid w:val="00C066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66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66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6675"/>
    <w:rPr>
      <w:sz w:val="32"/>
    </w:rPr>
  </w:style>
  <w:style w:type="paragraph" w:customStyle="1" w:styleId="HeadingProcedure">
    <w:name w:val="Heading Procedure"/>
    <w:basedOn w:val="HeadingBase"/>
    <w:next w:val="Normal"/>
    <w:rsid w:val="00C06675"/>
    <w:pPr>
      <w:tabs>
        <w:tab w:val="left" w:pos="0"/>
      </w:tabs>
      <w:spacing w:before="120" w:after="60"/>
    </w:pPr>
    <w:rPr>
      <w:i/>
      <w:color w:val="918585"/>
      <w:sz w:val="22"/>
    </w:rPr>
  </w:style>
  <w:style w:type="paragraph" w:customStyle="1" w:styleId="TableBodyText">
    <w:name w:val="Table Body Text"/>
    <w:basedOn w:val="BodyText"/>
    <w:rsid w:val="00C06675"/>
    <w:pPr>
      <w:spacing w:before="60" w:after="60"/>
    </w:pPr>
  </w:style>
  <w:style w:type="paragraph" w:styleId="ListContinue">
    <w:name w:val="List Continue"/>
    <w:basedOn w:val="List"/>
    <w:rsid w:val="00C06675"/>
    <w:pPr>
      <w:ind w:firstLine="0"/>
    </w:pPr>
  </w:style>
  <w:style w:type="paragraph" w:customStyle="1" w:styleId="ListNote">
    <w:name w:val="List Note"/>
    <w:basedOn w:val="List"/>
    <w:rsid w:val="00C06675"/>
    <w:pPr>
      <w:pBdr>
        <w:top w:val="single" w:sz="6" w:space="2" w:color="918585"/>
        <w:bottom w:val="single" w:sz="6" w:space="2" w:color="918585"/>
      </w:pBdr>
      <w:tabs>
        <w:tab w:val="left" w:pos="1021"/>
      </w:tabs>
      <w:ind w:firstLine="0"/>
    </w:pPr>
  </w:style>
  <w:style w:type="paragraph" w:customStyle="1" w:styleId="Warning">
    <w:name w:val="Warning"/>
    <w:basedOn w:val="BodyText"/>
    <w:rsid w:val="00C06675"/>
    <w:pPr>
      <w:shd w:val="clear" w:color="auto" w:fill="D9D9D9"/>
      <w:tabs>
        <w:tab w:val="left" w:pos="992"/>
      </w:tabs>
      <w:ind w:left="119" w:right="119"/>
    </w:pPr>
    <w:rPr>
      <w:sz w:val="20"/>
    </w:rPr>
  </w:style>
  <w:style w:type="paragraph" w:customStyle="1" w:styleId="MarginIcons">
    <w:name w:val="Margin Icons"/>
    <w:basedOn w:val="BodyText"/>
    <w:rsid w:val="00C066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6675"/>
    <w:rPr>
      <w:rFonts w:ascii="Courier New" w:hAnsi="Courier New"/>
    </w:rPr>
  </w:style>
  <w:style w:type="paragraph" w:customStyle="1" w:styleId="NoteBullet">
    <w:name w:val="Note Bullet"/>
    <w:basedOn w:val="Note"/>
    <w:rsid w:val="00C06675"/>
    <w:pPr>
      <w:tabs>
        <w:tab w:val="clear" w:pos="680"/>
      </w:tabs>
      <w:spacing w:before="60" w:after="60"/>
    </w:pPr>
  </w:style>
  <w:style w:type="paragraph" w:customStyle="1" w:styleId="SubHeading2">
    <w:name w:val="SubHeading2"/>
    <w:basedOn w:val="HeadingBase"/>
    <w:rsid w:val="00C06675"/>
    <w:pPr>
      <w:spacing w:before="240" w:after="60"/>
    </w:pPr>
    <w:rPr>
      <w:sz w:val="20"/>
    </w:rPr>
  </w:style>
  <w:style w:type="paragraph" w:customStyle="1" w:styleId="SubHeading1">
    <w:name w:val="SubHeading1"/>
    <w:basedOn w:val="HeadingBase"/>
    <w:rsid w:val="00C06675"/>
    <w:pPr>
      <w:spacing w:before="240" w:after="60"/>
    </w:pPr>
    <w:rPr>
      <w:color w:val="918585"/>
      <w:sz w:val="22"/>
    </w:rPr>
  </w:style>
  <w:style w:type="paragraph" w:customStyle="1" w:styleId="SideHeading">
    <w:name w:val="Side Heading"/>
    <w:basedOn w:val="HeadingBase"/>
    <w:rsid w:val="00C066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6675"/>
    <w:pPr>
      <w:numPr>
        <w:numId w:val="12"/>
      </w:numPr>
    </w:pPr>
  </w:style>
  <w:style w:type="paragraph" w:styleId="PlainText">
    <w:name w:val="Plain Text"/>
    <w:basedOn w:val="Normal"/>
    <w:link w:val="PlainTextChar"/>
    <w:rsid w:val="00C06675"/>
    <w:rPr>
      <w:sz w:val="20"/>
    </w:rPr>
  </w:style>
  <w:style w:type="character" w:customStyle="1" w:styleId="PlainTextChar">
    <w:name w:val="Plain Text Char"/>
    <w:basedOn w:val="DefaultParagraphFont"/>
    <w:link w:val="PlainText"/>
    <w:rsid w:val="00C06675"/>
    <w:rPr>
      <w:rFonts w:ascii="Courier New" w:eastAsia="Times New Roman" w:hAnsi="Courier New" w:cs="Times New Roman"/>
      <w:sz w:val="20"/>
      <w:szCs w:val="20"/>
      <w:lang w:eastAsia="en-US"/>
    </w:rPr>
  </w:style>
  <w:style w:type="character" w:customStyle="1" w:styleId="MenuOption">
    <w:name w:val="Menu Option"/>
    <w:basedOn w:val="DefaultParagraphFont"/>
    <w:rsid w:val="00C06675"/>
    <w:rPr>
      <w:b/>
      <w:smallCaps/>
    </w:rPr>
  </w:style>
  <w:style w:type="paragraph" w:customStyle="1" w:styleId="TableListNumber">
    <w:name w:val="Table List Number"/>
    <w:basedOn w:val="ListNumber"/>
    <w:rsid w:val="00C06675"/>
    <w:pPr>
      <w:numPr>
        <w:numId w:val="0"/>
      </w:numPr>
    </w:pPr>
  </w:style>
  <w:style w:type="paragraph" w:styleId="TOC4">
    <w:name w:val="toc 4"/>
    <w:basedOn w:val="TOCBase"/>
    <w:next w:val="Normal"/>
    <w:semiHidden/>
    <w:rsid w:val="00C06675"/>
    <w:pPr>
      <w:tabs>
        <w:tab w:val="right" w:leader="dot" w:pos="9071"/>
      </w:tabs>
      <w:ind w:left="1701"/>
    </w:pPr>
  </w:style>
  <w:style w:type="paragraph" w:customStyle="1" w:styleId="ListAlpha">
    <w:name w:val="List Alpha"/>
    <w:basedOn w:val="List"/>
    <w:rsid w:val="00C06675"/>
    <w:pPr>
      <w:numPr>
        <w:numId w:val="9"/>
      </w:numPr>
    </w:pPr>
  </w:style>
  <w:style w:type="paragraph" w:customStyle="1" w:styleId="ListAlpha2">
    <w:name w:val="List Alpha 2"/>
    <w:basedOn w:val="List2"/>
    <w:rsid w:val="00C06675"/>
    <w:pPr>
      <w:numPr>
        <w:numId w:val="8"/>
      </w:numPr>
    </w:pPr>
  </w:style>
  <w:style w:type="paragraph" w:styleId="List3">
    <w:name w:val="List 3"/>
    <w:basedOn w:val="BodyText"/>
    <w:rsid w:val="00C06675"/>
    <w:pPr>
      <w:tabs>
        <w:tab w:val="left" w:pos="1021"/>
      </w:tabs>
      <w:spacing w:before="60" w:after="60"/>
      <w:ind w:left="1020" w:hanging="340"/>
    </w:pPr>
  </w:style>
  <w:style w:type="paragraph" w:styleId="List4">
    <w:name w:val="List 4"/>
    <w:basedOn w:val="BodyText"/>
    <w:rsid w:val="00C06675"/>
    <w:pPr>
      <w:tabs>
        <w:tab w:val="left" w:pos="1361"/>
      </w:tabs>
      <w:spacing w:before="60" w:after="60"/>
      <w:ind w:left="1361" w:hanging="340"/>
    </w:pPr>
  </w:style>
  <w:style w:type="paragraph" w:styleId="List5">
    <w:name w:val="List 5"/>
    <w:basedOn w:val="BodyText"/>
    <w:rsid w:val="00C06675"/>
    <w:pPr>
      <w:tabs>
        <w:tab w:val="left" w:pos="1701"/>
      </w:tabs>
      <w:spacing w:before="60" w:after="60"/>
      <w:ind w:left="1701" w:hanging="340"/>
    </w:pPr>
  </w:style>
  <w:style w:type="paragraph" w:styleId="ListBullet3">
    <w:name w:val="List Bullet 3"/>
    <w:basedOn w:val="List3"/>
    <w:rsid w:val="00C06675"/>
    <w:pPr>
      <w:numPr>
        <w:numId w:val="15"/>
      </w:numPr>
      <w:tabs>
        <w:tab w:val="clear" w:pos="1021"/>
      </w:tabs>
      <w:ind w:left="1037" w:hanging="357"/>
    </w:pPr>
  </w:style>
  <w:style w:type="paragraph" w:styleId="ListBullet4">
    <w:name w:val="List Bullet 4"/>
    <w:basedOn w:val="List4"/>
    <w:rsid w:val="00C06675"/>
    <w:pPr>
      <w:numPr>
        <w:numId w:val="3"/>
      </w:numPr>
    </w:pPr>
  </w:style>
  <w:style w:type="paragraph" w:styleId="ListBullet5">
    <w:name w:val="List Bullet 5"/>
    <w:basedOn w:val="List5"/>
    <w:rsid w:val="00C06675"/>
    <w:pPr>
      <w:numPr>
        <w:numId w:val="4"/>
      </w:numPr>
    </w:pPr>
  </w:style>
  <w:style w:type="paragraph" w:styleId="ListContinue2">
    <w:name w:val="List Continue 2"/>
    <w:basedOn w:val="List2"/>
    <w:rsid w:val="00C06675"/>
    <w:pPr>
      <w:ind w:firstLine="0"/>
    </w:pPr>
  </w:style>
  <w:style w:type="paragraph" w:styleId="ListContinue3">
    <w:name w:val="List Continue 3"/>
    <w:basedOn w:val="List3"/>
    <w:rsid w:val="00C06675"/>
    <w:pPr>
      <w:ind w:left="1021" w:firstLine="0"/>
    </w:pPr>
  </w:style>
  <w:style w:type="paragraph" w:styleId="ListContinue4">
    <w:name w:val="List Continue 4"/>
    <w:basedOn w:val="List4"/>
    <w:rsid w:val="00C06675"/>
    <w:pPr>
      <w:ind w:firstLine="0"/>
    </w:pPr>
  </w:style>
  <w:style w:type="paragraph" w:styleId="ListContinue5">
    <w:name w:val="List Continue 5"/>
    <w:basedOn w:val="List5"/>
    <w:rsid w:val="00C06675"/>
    <w:pPr>
      <w:ind w:firstLine="0"/>
    </w:pPr>
  </w:style>
  <w:style w:type="paragraph" w:styleId="ListNumber3">
    <w:name w:val="List Number 3"/>
    <w:basedOn w:val="List3"/>
    <w:rsid w:val="00C06675"/>
    <w:pPr>
      <w:numPr>
        <w:numId w:val="5"/>
      </w:numPr>
    </w:pPr>
  </w:style>
  <w:style w:type="paragraph" w:styleId="ListNumber4">
    <w:name w:val="List Number 4"/>
    <w:basedOn w:val="List4"/>
    <w:rsid w:val="00C06675"/>
    <w:pPr>
      <w:numPr>
        <w:numId w:val="6"/>
      </w:numPr>
    </w:pPr>
  </w:style>
  <w:style w:type="paragraph" w:styleId="ListNumber5">
    <w:name w:val="List Number 5"/>
    <w:basedOn w:val="List5"/>
    <w:rsid w:val="00C06675"/>
    <w:pPr>
      <w:numPr>
        <w:numId w:val="7"/>
      </w:numPr>
    </w:pPr>
  </w:style>
  <w:style w:type="paragraph" w:styleId="BlockText">
    <w:name w:val="Block Text"/>
    <w:basedOn w:val="Normal"/>
    <w:rsid w:val="00C06675"/>
    <w:pPr>
      <w:spacing w:after="120"/>
      <w:ind w:left="1440" w:right="1440"/>
    </w:pPr>
  </w:style>
  <w:style w:type="character" w:customStyle="1" w:styleId="Subscript">
    <w:name w:val="Subscript"/>
    <w:basedOn w:val="DefaultParagraphFont"/>
    <w:rsid w:val="00C06675"/>
    <w:rPr>
      <w:sz w:val="16"/>
      <w:vertAlign w:val="subscript"/>
    </w:rPr>
  </w:style>
  <w:style w:type="character" w:customStyle="1" w:styleId="Superscript">
    <w:name w:val="Superscript"/>
    <w:basedOn w:val="DefaultParagraphFont"/>
    <w:rsid w:val="00C06675"/>
    <w:rPr>
      <w:sz w:val="16"/>
      <w:vertAlign w:val="superscript"/>
    </w:rPr>
  </w:style>
  <w:style w:type="character" w:customStyle="1" w:styleId="Symbols">
    <w:name w:val="Symbols"/>
    <w:basedOn w:val="DefaultParagraphFont"/>
    <w:rsid w:val="00C06675"/>
    <w:rPr>
      <w:rFonts w:ascii="Symbol" w:hAnsi="Symbol"/>
    </w:rPr>
  </w:style>
  <w:style w:type="character" w:customStyle="1" w:styleId="MenuOptions">
    <w:name w:val="Menu Options"/>
    <w:basedOn w:val="DefaultParagraphFont"/>
    <w:rsid w:val="00C06675"/>
    <w:rPr>
      <w:rFonts w:ascii="Arial Narrow" w:hAnsi="Arial Narrow"/>
      <w:smallCaps/>
    </w:rPr>
  </w:style>
  <w:style w:type="character" w:customStyle="1" w:styleId="Buttons">
    <w:name w:val="Buttons"/>
    <w:basedOn w:val="DefaultParagraphFont"/>
    <w:rsid w:val="00C06675"/>
    <w:rPr>
      <w:b/>
    </w:rPr>
  </w:style>
  <w:style w:type="character" w:customStyle="1" w:styleId="Underlined">
    <w:name w:val="Underlined"/>
    <w:basedOn w:val="DefaultParagraphFont"/>
    <w:rsid w:val="00C06675"/>
    <w:rPr>
      <w:u w:val="single"/>
    </w:rPr>
  </w:style>
  <w:style w:type="paragraph" w:customStyle="1" w:styleId="TableBodyTextRight">
    <w:name w:val="Table Body Text Right"/>
    <w:basedOn w:val="TableBodyText"/>
    <w:rsid w:val="00C06675"/>
    <w:pPr>
      <w:widowControl w:val="0"/>
      <w:autoSpaceDE w:val="0"/>
      <w:autoSpaceDN w:val="0"/>
      <w:adjustRightInd w:val="0"/>
      <w:jc w:val="right"/>
    </w:pPr>
    <w:rPr>
      <w:rFonts w:cs="Arial"/>
      <w:szCs w:val="18"/>
    </w:rPr>
  </w:style>
  <w:style w:type="paragraph" w:customStyle="1" w:styleId="CopyrightText">
    <w:name w:val="Copyright Text"/>
    <w:basedOn w:val="BodyText"/>
    <w:rsid w:val="00C06675"/>
    <w:rPr>
      <w:sz w:val="18"/>
    </w:rPr>
  </w:style>
  <w:style w:type="paragraph" w:customStyle="1" w:styleId="BodySmallRight">
    <w:name w:val="Body Small Right"/>
    <w:basedOn w:val="BodyTextRight"/>
    <w:rsid w:val="00C06675"/>
    <w:rPr>
      <w:sz w:val="18"/>
      <w:szCs w:val="18"/>
    </w:rPr>
  </w:style>
  <w:style w:type="paragraph" w:customStyle="1" w:styleId="MarginEdition">
    <w:name w:val="Margin Edition"/>
    <w:basedOn w:val="MarginNote"/>
    <w:rsid w:val="00C06675"/>
    <w:pPr>
      <w:spacing w:before="0" w:after="0"/>
    </w:pPr>
    <w:rPr>
      <w:rFonts w:ascii="Times New Roman" w:hAnsi="Times New Roman"/>
      <w:color w:val="999999"/>
    </w:rPr>
  </w:style>
  <w:style w:type="paragraph" w:customStyle="1" w:styleId="Spacer">
    <w:name w:val="Spacer"/>
    <w:basedOn w:val="Normal"/>
    <w:rsid w:val="00C06675"/>
    <w:rPr>
      <w:sz w:val="2"/>
      <w:szCs w:val="2"/>
    </w:rPr>
  </w:style>
  <w:style w:type="character" w:customStyle="1" w:styleId="Small">
    <w:name w:val="Small"/>
    <w:basedOn w:val="DefaultParagraphFont"/>
    <w:rsid w:val="00C06675"/>
    <w:rPr>
      <w:sz w:val="16"/>
    </w:rPr>
  </w:style>
  <w:style w:type="paragraph" w:customStyle="1" w:styleId="WideTable">
    <w:name w:val="Wide Table"/>
    <w:basedOn w:val="Normal"/>
    <w:rsid w:val="00C06675"/>
    <w:pPr>
      <w:ind w:left="-1418"/>
    </w:pPr>
    <w:rPr>
      <w:sz w:val="2"/>
      <w:szCs w:val="2"/>
    </w:rPr>
  </w:style>
  <w:style w:type="character" w:styleId="PageNumber">
    <w:name w:val="page number"/>
    <w:basedOn w:val="DefaultParagraphFont"/>
    <w:rsid w:val="00C06675"/>
  </w:style>
  <w:style w:type="paragraph" w:styleId="Quote">
    <w:name w:val="Quote"/>
    <w:basedOn w:val="Heading1"/>
    <w:link w:val="QuoteChar"/>
    <w:qFormat/>
    <w:rsid w:val="00C06675"/>
    <w:rPr>
      <w:b w:val="0"/>
      <w:sz w:val="72"/>
      <w:szCs w:val="72"/>
      <w:lang w:val="en-NZ"/>
    </w:rPr>
  </w:style>
  <w:style w:type="character" w:customStyle="1" w:styleId="QuoteChar">
    <w:name w:val="Quote Char"/>
    <w:basedOn w:val="DefaultParagraphFont"/>
    <w:link w:val="Quote"/>
    <w:rsid w:val="00C066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6675"/>
    <w:pPr>
      <w:pageBreakBefore/>
    </w:pPr>
  </w:style>
  <w:style w:type="paragraph" w:customStyle="1" w:styleId="Border">
    <w:name w:val="Border"/>
    <w:basedOn w:val="Normal"/>
    <w:qFormat/>
    <w:rsid w:val="00C066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6675"/>
    <w:rPr>
      <w:b/>
      <w:bCs/>
      <w:i/>
      <w:iCs/>
      <w:color w:val="auto"/>
    </w:rPr>
  </w:style>
  <w:style w:type="paragraph" w:styleId="IntenseQuote">
    <w:name w:val="Intense Quote"/>
    <w:basedOn w:val="Normal"/>
    <w:next w:val="Normal"/>
    <w:link w:val="IntenseQuoteChar"/>
    <w:uiPriority w:val="30"/>
    <w:qFormat/>
    <w:rsid w:val="00C066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66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6675"/>
    <w:rPr>
      <w:smallCaps/>
      <w:color w:val="auto"/>
      <w:u w:val="single"/>
    </w:rPr>
  </w:style>
  <w:style w:type="character" w:styleId="IntenseReference">
    <w:name w:val="Intense Reference"/>
    <w:basedOn w:val="DefaultParagraphFont"/>
    <w:uiPriority w:val="32"/>
    <w:qFormat/>
    <w:rsid w:val="00C06675"/>
    <w:rPr>
      <w:b/>
      <w:bCs/>
      <w:smallCaps/>
      <w:color w:val="auto"/>
      <w:spacing w:val="5"/>
      <w:u w:val="single"/>
    </w:rPr>
  </w:style>
  <w:style w:type="paragraph" w:customStyle="1" w:styleId="2ColumnHeading">
    <w:name w:val="2Column Heading"/>
    <w:basedOn w:val="BodyText"/>
    <w:qFormat/>
    <w:rsid w:val="00C06675"/>
    <w:pPr>
      <w:spacing w:after="60"/>
      <w:ind w:left="-2268"/>
    </w:pPr>
    <w:rPr>
      <w:b/>
    </w:rPr>
  </w:style>
  <w:style w:type="paragraph" w:customStyle="1" w:styleId="Heading1TOC">
    <w:name w:val="Heading1 TOC"/>
    <w:basedOn w:val="Normal"/>
    <w:qFormat/>
    <w:rsid w:val="00C06675"/>
    <w:pPr>
      <w:spacing w:before="240" w:after="120"/>
    </w:pPr>
    <w:rPr>
      <w:rFonts w:ascii="Times New Roman" w:hAnsi="Times New Roman"/>
      <w:b/>
      <w:sz w:val="32"/>
    </w:rPr>
  </w:style>
  <w:style w:type="paragraph" w:customStyle="1" w:styleId="Heading2TOC">
    <w:name w:val="Heading2 TOC"/>
    <w:basedOn w:val="Normal"/>
    <w:qFormat/>
    <w:rsid w:val="00C06675"/>
    <w:pPr>
      <w:spacing w:before="240" w:after="60"/>
    </w:pPr>
    <w:rPr>
      <w:rFonts w:ascii="Times New Roman" w:hAnsi="Times New Roman"/>
      <w:b/>
      <w:sz w:val="28"/>
    </w:rPr>
  </w:style>
  <w:style w:type="character" w:customStyle="1" w:styleId="Underline">
    <w:name w:val="Underline"/>
    <w:basedOn w:val="DefaultParagraphFont"/>
    <w:qFormat/>
    <w:rsid w:val="00C06675"/>
    <w:rPr>
      <w:u w:val="single"/>
    </w:rPr>
  </w:style>
  <w:style w:type="character" w:customStyle="1" w:styleId="BoldandItalics">
    <w:name w:val="Bold and Italics"/>
    <w:qFormat/>
    <w:rsid w:val="00C06675"/>
    <w:rPr>
      <w:b/>
      <w:i/>
      <w:u w:val="none"/>
    </w:rPr>
  </w:style>
  <w:style w:type="paragraph" w:styleId="BalloonText">
    <w:name w:val="Balloon Text"/>
    <w:basedOn w:val="Normal"/>
    <w:link w:val="BalloonTextChar"/>
    <w:rsid w:val="00C06675"/>
    <w:rPr>
      <w:rFonts w:ascii="Tahoma" w:hAnsi="Tahoma" w:cs="Tahoma"/>
      <w:sz w:val="16"/>
      <w:szCs w:val="16"/>
    </w:rPr>
  </w:style>
  <w:style w:type="character" w:customStyle="1" w:styleId="BalloonTextChar">
    <w:name w:val="Balloon Text Char"/>
    <w:basedOn w:val="DefaultParagraphFont"/>
    <w:link w:val="BalloonText"/>
    <w:rsid w:val="00C066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66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66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6675"/>
    <w:rPr>
      <w:b/>
      <w:color w:val="660033"/>
      <w:spacing w:val="0"/>
    </w:rPr>
  </w:style>
  <w:style w:type="paragraph" w:customStyle="1" w:styleId="Nameditemlist">
    <w:name w:val="Named item list"/>
    <w:basedOn w:val="BodyText"/>
    <w:qFormat/>
    <w:rsid w:val="00C0667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2383</Words>
  <Characters>14778</Characters>
  <Application>Microsoft Office Word</Application>
  <DocSecurity>0</DocSecurity>
  <Lines>488</Lines>
  <Paragraphs>235</Paragraphs>
  <ScaleCrop>false</ScaleCrop>
  <Company>Author-it Software Corporation Ltd.</Company>
  <LinksUpToDate>false</LinksUpToDate>
  <CharactersWithSpaces>17061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MSL954001A Obtain representative samples in accordance with sampling plan</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2012-10-11T17:15:00Z</dcterms:created>
  <dcterms:modified xsi:type="dcterms:W3CDTF">2012-10-11T17:15:00Z</dcterms:modified>
</cp:coreProperties>
</file>