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B5B" w:rsidP="00F66B5B">
      <w:pPr>
        <w:pStyle w:val="Title"/>
      </w:pPr>
      <w:r>
        <w:fldChar w:fldCharType="begin"/>
      </w:r>
      <w:r>
        <w:instrText xml:space="preserve"> TITLE   \* MERGEFORMAT </w:instrText>
      </w:r>
      <w:r>
        <w:fldChar w:fldCharType="separate"/>
      </w:r>
      <w:r>
        <w:t>MSL935004A Maintain instruments and equipment</w:t>
      </w:r>
      <w:r>
        <w:fldChar w:fldCharType="end"/>
      </w:r>
    </w:p>
    <w:p w:rsidR="00F66B5B" w:rsidP="00F66B5B">
      <w:pPr>
        <w:pStyle w:val="Version"/>
        <w:sectPr w:rsidSect="00671B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1B20" w:rsidP="00671B20">
      <w:pPr>
        <w:pStyle w:val="SuperHeading"/>
      </w:pPr>
      <w:r w:rsidRPr="00671B20">
        <w:t>MSL935004A Maintain instruments and equipment</w:t>
      </w:r>
    </w:p>
    <w:p w:rsidR="00000000" w:rsidRPr="00671B20" w:rsidP="00671B20">
      <w:pPr>
        <w:pStyle w:val="SuperHeading"/>
      </w:pPr>
    </w:p>
    <w:p w:rsidR="00000000" w:rsidRPr="00671B20" w:rsidP="00671B20">
      <w:pPr>
        <w:pStyle w:val="Heading1"/>
      </w:pPr>
      <w:bookmarkStart w:id="1" w:name="O_102939"/>
      <w:bookmarkEnd w:id="1"/>
      <w:r w:rsidRPr="00671B20">
        <w:t>Modification History</w:t>
      </w:r>
    </w:p>
    <w:p w:rsidR="00000000" w:rsidRPr="00671B20" w:rsidP="00671B20">
      <w:pPr>
        <w:pStyle w:val="BodyText"/>
      </w:pPr>
      <w:r w:rsidRPr="00671B20">
        <w:t>Not applicable.</w:t>
      </w:r>
    </w:p>
    <w:p w:rsidR="00000000" w:rsidRPr="00671B20" w:rsidP="00671B20">
      <w:pPr>
        <w:pStyle w:val="AllowPageBreak"/>
      </w:pPr>
    </w:p>
    <w:p w:rsidR="00000000" w:rsidRPr="00671B20" w:rsidP="00671B20">
      <w:pPr>
        <w:pStyle w:val="Heading1"/>
      </w:pPr>
      <w:bookmarkStart w:id="2" w:name="O_102940"/>
      <w:bookmarkEnd w:id="2"/>
      <w:r w:rsidRPr="00671B20">
        <w:t>Unit Descriptor</w:t>
      </w:r>
    </w:p>
    <w:tbl>
      <w:tblPr>
        <w:tblW w:w="0" w:type="auto"/>
        <w:tblLayout w:type="fixed"/>
        <w:tblCellMar>
          <w:left w:w="62" w:type="dxa"/>
          <w:right w:w="62" w:type="dxa"/>
        </w:tblCellMar>
        <w:tblLook w:val="0000"/>
      </w:tblPr>
      <w:tblGrid>
        <w:gridCol w:w="2664"/>
        <w:gridCol w:w="5858"/>
      </w:tblGrid>
      <w:tr w:rsidTr="00F66B5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This unit of comp</w:t>
            </w:r>
            <w:r w:rsidRPr="00671B20">
              <w:t>etency covers the ability to check the serviceability and calibration of laboratory/field instruments and equipment and perform routine maintenance, such as cleaning and replacement of consumables and minor components. Personnel are also required to perfor</w:t>
            </w:r>
            <w:r w:rsidRPr="00671B20">
              <w:t>m basic troubleshooting and repairs consistent with warranty and service agreements.</w:t>
            </w: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3" w:name="O_102941"/>
      <w:bookmarkEnd w:id="3"/>
      <w:r w:rsidRPr="00671B20">
        <w:t>Application of the Unit</w:t>
      </w:r>
    </w:p>
    <w:tbl>
      <w:tblPr>
        <w:tblW w:w="0" w:type="auto"/>
        <w:tblLayout w:type="fixed"/>
        <w:tblCellMar>
          <w:left w:w="62" w:type="dxa"/>
          <w:right w:w="62" w:type="dxa"/>
        </w:tblCellMar>
        <w:tblLook w:val="0000"/>
      </w:tblPr>
      <w:tblGrid>
        <w:gridCol w:w="2752"/>
        <w:gridCol w:w="5770"/>
      </w:tblGrid>
      <w:tr w:rsidTr="00F66B5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This unit of competency is applicable to technical assistants, instrument operators and technical officers working in all industry sectors.</w:t>
            </w:r>
          </w:p>
          <w:p w:rsidR="00000000" w:rsidRPr="00671B20" w:rsidP="00671B20">
            <w:pPr>
              <w:pStyle w:val="BodyText"/>
            </w:pPr>
            <w:r w:rsidRPr="00671B20">
              <w:t>Industry representatives have provided case studies to illustrate the practical application of this unit of competen</w:t>
            </w:r>
            <w:r w:rsidRPr="00671B20">
              <w:t>cy and to show its relevance in a workplace setting. These can be found at the end of this unit of competency under the section 'This competency in practice'.</w:t>
            </w: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4" w:name="O_102942"/>
      <w:bookmarkEnd w:id="4"/>
      <w:r w:rsidRPr="00671B20">
        <w:t>Licensing/Regulatory Information</w:t>
      </w:r>
    </w:p>
    <w:p w:rsidR="00000000" w:rsidRPr="00671B20" w:rsidP="00671B20">
      <w:pPr>
        <w:pStyle w:val="BodyText"/>
      </w:pPr>
      <w:r w:rsidRPr="00671B20">
        <w:t>Not applicable.</w:t>
      </w:r>
    </w:p>
    <w:p w:rsidR="00000000" w:rsidRPr="00671B20" w:rsidP="00671B20">
      <w:pPr>
        <w:pStyle w:val="AllowPageBreak"/>
      </w:pPr>
    </w:p>
    <w:p w:rsidR="00000000" w:rsidRPr="00671B20" w:rsidP="00671B20">
      <w:pPr>
        <w:pStyle w:val="Heading1"/>
      </w:pPr>
      <w:bookmarkStart w:id="5" w:name="O_102944"/>
      <w:bookmarkEnd w:id="5"/>
      <w:r w:rsidRPr="00671B20">
        <w:t>Pre-Requisit</w:t>
      </w:r>
      <w:r w:rsidRPr="00671B20">
        <w:t>es</w:t>
      </w:r>
    </w:p>
    <w:tbl>
      <w:tblPr>
        <w:tblW w:w="0" w:type="auto"/>
        <w:tblLayout w:type="fixed"/>
        <w:tblCellMar>
          <w:left w:w="62" w:type="dxa"/>
          <w:right w:w="62" w:type="dxa"/>
        </w:tblCellMar>
        <w:tblLook w:val="0000"/>
      </w:tblPr>
      <w:tblGrid>
        <w:gridCol w:w="2775"/>
        <w:gridCol w:w="1295"/>
        <w:gridCol w:w="4452"/>
      </w:tblGrid>
      <w:tr w:rsidTr="00F66B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p>
        </w:tc>
      </w:tr>
      <w:tr w:rsidTr="00F66B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p>
        </w:tc>
      </w:tr>
      <w:tr w:rsidTr="00F66B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6" w:name="O_102943"/>
      <w:bookmarkEnd w:id="6"/>
      <w:r w:rsidRPr="00671B20">
        <w:t>Employability Skills Information</w:t>
      </w:r>
    </w:p>
    <w:tbl>
      <w:tblPr>
        <w:tblW w:w="0" w:type="auto"/>
        <w:tblLayout w:type="fixed"/>
        <w:tblCellMar>
          <w:left w:w="62" w:type="dxa"/>
          <w:right w:w="62" w:type="dxa"/>
        </w:tblCellMar>
        <w:tblLook w:val="0000"/>
      </w:tblPr>
      <w:tblGrid>
        <w:gridCol w:w="2802"/>
        <w:gridCol w:w="5720"/>
      </w:tblGrid>
      <w:tr w:rsidTr="00F66B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This unit contains employability skills.</w:t>
            </w: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7" w:name="O_102945"/>
      <w:bookmarkEnd w:id="7"/>
      <w:r w:rsidRPr="00671B20">
        <w:t>Elements and Performance Criteria Pre-Content</w:t>
      </w:r>
    </w:p>
    <w:tbl>
      <w:tblPr>
        <w:tblW w:w="0" w:type="auto"/>
        <w:tblLayout w:type="fixed"/>
        <w:tblCellMar>
          <w:left w:w="62" w:type="dxa"/>
          <w:right w:w="62" w:type="dxa"/>
        </w:tblCellMar>
        <w:tblLook w:val="0000"/>
      </w:tblPr>
      <w:tblGrid>
        <w:gridCol w:w="2530"/>
        <w:gridCol w:w="5992"/>
      </w:tblGrid>
      <w:tr w:rsidTr="00F66B5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Performance criteria describe the performance needed to demonstrate achievement of the element. Where bold italicised text is used, further information is detailed in the required skills and</w:t>
            </w:r>
            <w:r w:rsidRPr="00671B20">
              <w:t xml:space="preserve"> knowledge section and the range statement. Assessment of performance is to be consistent with the evidence guide.</w:t>
            </w: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8" w:name="O_102946"/>
      <w:bookmarkEnd w:id="8"/>
      <w:r w:rsidRPr="00671B20">
        <w:t>Elements and Performance Criteria</w:t>
      </w:r>
    </w:p>
    <w:tbl>
      <w:tblPr>
        <w:tblW w:w="0" w:type="auto"/>
        <w:tblLayout w:type="fixed"/>
        <w:tblCellMar>
          <w:left w:w="62" w:type="dxa"/>
          <w:right w:w="62" w:type="dxa"/>
        </w:tblCellMar>
        <w:tblLook w:val="0000"/>
      </w:tblPr>
      <w:tblGrid>
        <w:gridCol w:w="2530"/>
        <w:gridCol w:w="5992"/>
      </w:tblGrid>
      <w:tr w:rsidTr="00F66B5B">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PERFORMANCE CRITERIA</w:t>
            </w:r>
          </w:p>
        </w:tc>
      </w:tr>
      <w:tr w:rsidTr="00F66B5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List"/>
              <w:rPr>
                <w:lang w:val="en-NZ"/>
              </w:rPr>
            </w:pPr>
            <w:r w:rsidRPr="00671B20">
              <w:t>1.</w:t>
            </w:r>
            <w:r w:rsidRPr="00671B20">
              <w:tab/>
              <w:t>Perform serviceability checks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List2"/>
            </w:pPr>
            <w:r w:rsidRPr="00671B20">
              <w:t>1.1.</w:t>
            </w:r>
            <w:r w:rsidRPr="00671B20">
              <w:tab/>
            </w:r>
            <w:r w:rsidRPr="00671B20">
              <w:t>Perform pre-/after-use checks in accordance with appropriate enterprise and manufacturer's procedures</w:t>
            </w:r>
          </w:p>
          <w:p w:rsidR="00000000" w:rsidRPr="00671B20" w:rsidP="00671B20">
            <w:pPr>
              <w:pStyle w:val="List2"/>
            </w:pPr>
            <w:r w:rsidRPr="00671B20">
              <w:t>1.2.</w:t>
            </w:r>
            <w:r w:rsidRPr="00671B20">
              <w:tab/>
              <w:t>Identify faulty or unsafe components and equipment</w:t>
            </w:r>
          </w:p>
          <w:p w:rsidR="00000000" w:rsidRPr="00671B20" w:rsidP="00671B20">
            <w:pPr>
              <w:pStyle w:val="List2"/>
            </w:pPr>
            <w:r w:rsidRPr="00671B20">
              <w:t>1.3.</w:t>
            </w:r>
            <w:r w:rsidRPr="00671B20">
              <w:tab/>
              <w:t>Troubleshoot basic faults or report the need for major maintenance and/or repairs</w:t>
            </w:r>
          </w:p>
          <w:p w:rsidR="00000000" w:rsidP="00671B20">
            <w:pPr>
              <w:pStyle w:val="List2"/>
              <w:rPr>
                <w:lang w:val="en-NZ"/>
              </w:rPr>
            </w:pPr>
            <w:r w:rsidRPr="00671B20">
              <w:t>1.4.</w:t>
            </w:r>
            <w:r w:rsidRPr="00671B20">
              <w:tab/>
              <w:t>Comple</w:t>
            </w:r>
            <w:r w:rsidRPr="00671B20">
              <w:t>te instrument/equipment logbooks to enterprise requirements</w:t>
            </w:r>
          </w:p>
        </w:tc>
      </w:tr>
      <w:tr w:rsidTr="00F66B5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List"/>
              <w:rPr>
                <w:lang w:val="en-NZ"/>
              </w:rPr>
            </w:pPr>
            <w:r w:rsidRPr="00671B20">
              <w:t>2.</w:t>
            </w:r>
            <w:r w:rsidRPr="00671B20">
              <w:tab/>
              <w:t>Conduct routine maintenance safely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List2"/>
            </w:pPr>
            <w:r w:rsidRPr="00671B20">
              <w:t>2.1.</w:t>
            </w:r>
            <w:r w:rsidRPr="00671B20">
              <w:tab/>
              <w:t>Identify maintenance procedures, records and safety requirements</w:t>
            </w:r>
          </w:p>
          <w:p w:rsidR="00000000" w:rsidRPr="00671B20" w:rsidP="00671B20">
            <w:pPr>
              <w:pStyle w:val="List2"/>
            </w:pPr>
            <w:r w:rsidRPr="00671B20">
              <w:t>2.2.</w:t>
            </w:r>
            <w:r w:rsidRPr="00671B20">
              <w:tab/>
              <w:t>Plan/adjust maintenance schedules in accordance with operational requirements</w:t>
            </w:r>
          </w:p>
          <w:p w:rsidR="00000000" w:rsidRPr="00671B20" w:rsidP="00671B20">
            <w:pPr>
              <w:pStyle w:val="List2"/>
            </w:pPr>
            <w:r w:rsidRPr="00671B20">
              <w:t>2.3.</w:t>
            </w:r>
            <w:r w:rsidRPr="00671B20">
              <w:tab/>
              <w:t>Identify and replace or repair damaged/worn/spent components or items</w:t>
            </w:r>
          </w:p>
          <w:p w:rsidR="00000000" w:rsidRPr="00671B20" w:rsidP="00671B20">
            <w:pPr>
              <w:pStyle w:val="List2"/>
            </w:pPr>
            <w:r w:rsidRPr="00671B20">
              <w:t>2.4.</w:t>
            </w:r>
            <w:r w:rsidRPr="00671B20">
              <w:tab/>
              <w:t>Clean equipment and instruments using recommended cleaning agents and techniques</w:t>
            </w:r>
          </w:p>
          <w:p w:rsidR="00000000" w:rsidRPr="00671B20" w:rsidP="00671B20">
            <w:pPr>
              <w:pStyle w:val="List2"/>
            </w:pPr>
            <w:r w:rsidRPr="00671B20">
              <w:t>2.5.</w:t>
            </w:r>
            <w:r w:rsidRPr="00671B20">
              <w:tab/>
              <w:t>Store equipment and instruments in accordance with enterprise/manufacturer's requirements</w:t>
            </w:r>
          </w:p>
          <w:p w:rsidR="00000000" w:rsidRPr="00671B20" w:rsidP="00671B20">
            <w:pPr>
              <w:pStyle w:val="List2"/>
            </w:pPr>
            <w:r w:rsidRPr="00671B20">
              <w:t>2.6.</w:t>
            </w:r>
            <w:r w:rsidRPr="00671B20">
              <w:tab/>
              <w:t>Update maintenance records in accordance with enterprise procedures</w:t>
            </w:r>
          </w:p>
          <w:p w:rsidR="00000000" w:rsidP="00671B20">
            <w:pPr>
              <w:pStyle w:val="List2"/>
              <w:rPr>
                <w:lang w:val="en-NZ"/>
              </w:rPr>
            </w:pPr>
            <w:r w:rsidRPr="00671B20">
              <w:t>2.7.</w:t>
            </w:r>
            <w:r w:rsidRPr="00671B20">
              <w:tab/>
              <w:t>Arrange for reordering of consumable stocks and equipment components as necessary</w:t>
            </w:r>
          </w:p>
        </w:tc>
      </w:tr>
      <w:tr w:rsidTr="00F66B5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List"/>
              <w:rPr>
                <w:lang w:val="en-NZ"/>
              </w:rPr>
            </w:pPr>
            <w:r w:rsidRPr="00671B20">
              <w:t>3.</w:t>
            </w:r>
            <w:r w:rsidRPr="00671B20">
              <w:tab/>
              <w:t>Perform calibration/ qualification checks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List2"/>
            </w:pPr>
            <w:r w:rsidRPr="00671B20">
              <w:t>3.1.</w:t>
            </w:r>
            <w:r w:rsidRPr="00671B20">
              <w:tab/>
            </w:r>
            <w:r w:rsidRPr="00671B20">
              <w:t>Operate equipment/instrument in accordance with enterprise/manufacturer's procedures</w:t>
            </w:r>
          </w:p>
          <w:p w:rsidR="00000000" w:rsidRPr="00671B20" w:rsidP="00671B20">
            <w:pPr>
              <w:pStyle w:val="List2"/>
            </w:pPr>
            <w:r w:rsidRPr="00671B20">
              <w:t>3.2.</w:t>
            </w:r>
            <w:r w:rsidRPr="00671B20">
              <w:tab/>
              <w:t>Check calibration/qualification using specified standards and/or procedures</w:t>
            </w:r>
          </w:p>
          <w:p w:rsidR="00000000" w:rsidRPr="00671B20" w:rsidP="00671B20">
            <w:pPr>
              <w:pStyle w:val="List2"/>
            </w:pPr>
            <w:r w:rsidRPr="00671B20">
              <w:t>3.3.</w:t>
            </w:r>
            <w:r w:rsidRPr="00671B20">
              <w:tab/>
              <w:t>Record all calibration/qualification data accurately and legibly</w:t>
            </w:r>
          </w:p>
          <w:p w:rsidR="00000000" w:rsidRPr="00671B20" w:rsidP="00671B20">
            <w:pPr>
              <w:pStyle w:val="List2"/>
            </w:pPr>
            <w:r w:rsidRPr="00671B20">
              <w:t>3.4.</w:t>
            </w:r>
            <w:r w:rsidRPr="00671B20">
              <w:tab/>
              <w:t>Document calibr</w:t>
            </w:r>
            <w:r w:rsidRPr="00671B20">
              <w:t>ation status and report out of calibration equipment/instruments</w:t>
            </w:r>
          </w:p>
          <w:p w:rsidR="00000000" w:rsidP="00671B20">
            <w:pPr>
              <w:pStyle w:val="List2"/>
              <w:rPr>
                <w:lang w:val="en-NZ"/>
              </w:rPr>
            </w:pPr>
            <w:r w:rsidRPr="00671B20">
              <w:t>3.5.</w:t>
            </w:r>
            <w:r w:rsidRPr="00671B20">
              <w:tab/>
              <w:t>Quarantine out of calibration items</w:t>
            </w:r>
          </w:p>
        </w:tc>
      </w:tr>
      <w:tr w:rsidTr="00F66B5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List"/>
              <w:rPr>
                <w:lang w:val="en-NZ"/>
              </w:rPr>
            </w:pPr>
            <w:r w:rsidRPr="00671B20">
              <w:t>4.</w:t>
            </w:r>
            <w:r w:rsidRPr="00671B20">
              <w:tab/>
              <w:t>Arrange instrument servicing where appropriate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List2"/>
            </w:pPr>
            <w:r w:rsidRPr="00671B20">
              <w:t>4.1.</w:t>
            </w:r>
            <w:r w:rsidRPr="00671B20">
              <w:tab/>
              <w:t>Assess instrument repair status, and determine if local repair/maintenance is possible and eco</w:t>
            </w:r>
            <w:r w:rsidRPr="00671B20">
              <w:t>nomical</w:t>
            </w:r>
          </w:p>
          <w:p w:rsidR="00000000" w:rsidRPr="00671B20" w:rsidP="00671B20">
            <w:pPr>
              <w:pStyle w:val="List2"/>
            </w:pPr>
            <w:r w:rsidRPr="00671B20">
              <w:t>4.2.</w:t>
            </w:r>
            <w:r w:rsidRPr="00671B20">
              <w:tab/>
              <w:t>Contact and arrange repair/maintenance of equipment from accredited service agent or other appropriate personnel in accordance with enterprise procedures</w:t>
            </w: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9" w:name="O_102947"/>
      <w:bookmarkEnd w:id="9"/>
      <w:r w:rsidRPr="00671B20">
        <w:t>Required Skills and Knowledge</w:t>
      </w:r>
    </w:p>
    <w:tbl>
      <w:tblPr>
        <w:tblW w:w="0" w:type="auto"/>
        <w:tblLayout w:type="fixed"/>
        <w:tblCellMar>
          <w:left w:w="62" w:type="dxa"/>
          <w:right w:w="62" w:type="dxa"/>
        </w:tblCellMar>
        <w:tblLook w:val="0000"/>
      </w:tblPr>
      <w:tblGrid>
        <w:gridCol w:w="8522"/>
      </w:tblGrid>
      <w:tr w:rsidTr="00F66B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Required skills</w:t>
            </w:r>
          </w:p>
        </w:tc>
      </w:tr>
      <w:tr w:rsidTr="00F66B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Required skills include:</w:t>
            </w:r>
          </w:p>
          <w:p w:rsidR="00000000" w:rsidRPr="00671B20" w:rsidP="00671B20">
            <w:pPr>
              <w:pStyle w:val="ListBullet"/>
            </w:pPr>
            <w:r w:rsidRPr="00671B20">
              <w:t xml:space="preserve">performing routine maintenance </w:t>
            </w:r>
          </w:p>
          <w:p w:rsidR="00000000" w:rsidRPr="00671B20" w:rsidP="00671B20">
            <w:pPr>
              <w:pStyle w:val="ListBullet"/>
            </w:pPr>
            <w:r w:rsidRPr="00671B20">
              <w:t>determining whether an item of equipment/instrument is in correct working order</w:t>
            </w:r>
          </w:p>
          <w:p w:rsidR="00000000" w:rsidRPr="00671B20" w:rsidP="00671B20">
            <w:pPr>
              <w:pStyle w:val="ListBullet"/>
            </w:pPr>
            <w:r w:rsidRPr="00671B20">
              <w:t>locating and rectifying basic faults</w:t>
            </w:r>
          </w:p>
          <w:p w:rsidR="00000000" w:rsidRPr="00671B20" w:rsidP="00671B20">
            <w:pPr>
              <w:pStyle w:val="ListBullet"/>
            </w:pPr>
            <w:r w:rsidRPr="00671B20">
              <w:t>recognising the need for specialist servicing and/or repairs</w:t>
            </w:r>
          </w:p>
          <w:p w:rsidR="00000000" w:rsidRPr="00671B20" w:rsidP="00671B20">
            <w:pPr>
              <w:pStyle w:val="ListBullet"/>
            </w:pPr>
            <w:r w:rsidRPr="00671B20">
              <w:t>conducting calibrati</w:t>
            </w:r>
            <w:r w:rsidRPr="00671B20">
              <w:t>on status/qualification checks</w:t>
            </w:r>
          </w:p>
          <w:p w:rsidR="00000000" w:rsidRPr="00671B20" w:rsidP="00671B20">
            <w:pPr>
              <w:pStyle w:val="ListBullet"/>
            </w:pPr>
            <w:r w:rsidRPr="00671B20">
              <w:t>following all relevant occupational health and safety (OHS) requirements</w:t>
            </w:r>
          </w:p>
          <w:p w:rsidR="00000000" w:rsidP="00671B20">
            <w:pPr>
              <w:pStyle w:val="ListBullet"/>
              <w:rPr>
                <w:lang w:val="en-NZ"/>
              </w:rPr>
            </w:pPr>
            <w:r w:rsidRPr="00671B20">
              <w:t>following enterprise recording and reporting procedures</w:t>
            </w:r>
          </w:p>
        </w:tc>
      </w:tr>
      <w:tr w:rsidTr="00F66B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Required knowledge</w:t>
            </w:r>
          </w:p>
        </w:tc>
      </w:tr>
      <w:tr w:rsidTr="00F66B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Required knowledge includes:</w:t>
            </w:r>
          </w:p>
          <w:p w:rsidR="00000000" w:rsidRPr="00671B20" w:rsidP="00671B20">
            <w:pPr>
              <w:pStyle w:val="ListBullet"/>
            </w:pPr>
            <w:r w:rsidRPr="00671B20">
              <w:t>operating principles for equipment/instruments used in routine work</w:t>
            </w:r>
          </w:p>
          <w:p w:rsidR="00000000" w:rsidRPr="00671B20" w:rsidP="00671B20">
            <w:pPr>
              <w:pStyle w:val="ListBullet"/>
            </w:pPr>
            <w:r w:rsidRPr="00671B20">
              <w:t>common sources of equipment/instrument faults and their repair</w:t>
            </w:r>
          </w:p>
          <w:p w:rsidR="00000000" w:rsidRPr="00671B20" w:rsidP="00671B20">
            <w:pPr>
              <w:pStyle w:val="ListBullet"/>
            </w:pPr>
            <w:r w:rsidRPr="00671B20">
              <w:t>common errors associated with equipment use</w:t>
            </w:r>
          </w:p>
          <w:p w:rsidR="00000000" w:rsidRPr="00671B20" w:rsidP="00671B20">
            <w:pPr>
              <w:pStyle w:val="ListBullet"/>
            </w:pPr>
            <w:r w:rsidRPr="00671B20">
              <w:t>role and importance of regular calibration checks</w:t>
            </w:r>
          </w:p>
          <w:p w:rsidR="00000000" w:rsidRPr="00671B20" w:rsidP="00671B20">
            <w:pPr>
              <w:pStyle w:val="ListBullet"/>
            </w:pPr>
            <w:r w:rsidRPr="00671B20">
              <w:t>equipment maintenance schedules</w:t>
            </w:r>
            <w:r w:rsidRPr="00671B20">
              <w:t xml:space="preserve"> and procedures</w:t>
            </w:r>
          </w:p>
          <w:p w:rsidR="00000000" w:rsidRPr="00671B20" w:rsidP="00671B20">
            <w:pPr>
              <w:pStyle w:val="ListBullet"/>
            </w:pPr>
            <w:r w:rsidRPr="00671B20">
              <w:t>OHS hazards and control measures</w:t>
            </w:r>
          </w:p>
          <w:p w:rsidR="00000000" w:rsidRPr="00671B20" w:rsidP="00671B20">
            <w:pPr>
              <w:pStyle w:val="ListBullet"/>
            </w:pPr>
            <w:r w:rsidRPr="00671B20">
              <w:t>enterprise communication and reporting procedures</w:t>
            </w: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10" w:name="O_102948"/>
      <w:bookmarkEnd w:id="10"/>
      <w:r w:rsidRPr="00671B20">
        <w:t>Evidence Guide</w:t>
      </w:r>
    </w:p>
    <w:tbl>
      <w:tblPr>
        <w:tblW w:w="9570" w:type="dxa"/>
        <w:tblLayout w:type="fixed"/>
        <w:tblCellMar>
          <w:left w:w="62" w:type="dxa"/>
          <w:right w:w="62" w:type="dxa"/>
        </w:tblCellMar>
        <w:tblLook w:val="0000"/>
      </w:tblPr>
      <w:tblGrid>
        <w:gridCol w:w="3908"/>
        <w:gridCol w:w="5662"/>
      </w:tblGrid>
      <w:tr w:rsidTr="00F66B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EVIDENCE GUIDE</w:t>
            </w:r>
          </w:p>
        </w:tc>
      </w:tr>
      <w:tr w:rsidTr="00F66B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t>The Evidence Guide provides advice on assessment and must be read in conjunction with the performance criteria, required skills and knowledge, range statement and the Assessment Guidelines for the Training Package.</w:t>
            </w:r>
          </w:p>
        </w:tc>
      </w:tr>
      <w:tr w:rsidTr="00F66B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p>
        </w:tc>
      </w:tr>
      <w:tr w:rsidTr="00F66B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Critical aspec</w:t>
            </w:r>
            <w:r w:rsidRPr="00671B2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 xml:space="preserve">Assessors should ensure that candidates can: </w:t>
            </w:r>
          </w:p>
          <w:p w:rsidR="00000000" w:rsidRPr="00671B20" w:rsidP="00671B20">
            <w:pPr>
              <w:pStyle w:val="ListBullet"/>
            </w:pPr>
            <w:r w:rsidRPr="00671B20">
              <w:t>perform routine maintenance safely</w:t>
            </w:r>
          </w:p>
          <w:p w:rsidR="00000000" w:rsidRPr="00671B20" w:rsidP="00671B20">
            <w:pPr>
              <w:pStyle w:val="ListBullet"/>
            </w:pPr>
            <w:r w:rsidRPr="00671B20">
              <w:t>determine whether an item of equipment/instrument is in correct working order</w:t>
            </w:r>
          </w:p>
          <w:p w:rsidR="00000000" w:rsidRPr="00671B20" w:rsidP="00671B20">
            <w:pPr>
              <w:pStyle w:val="ListBullet"/>
            </w:pPr>
            <w:r w:rsidRPr="00671B20">
              <w:t>locate and rectify basic faults</w:t>
            </w:r>
          </w:p>
          <w:p w:rsidR="00000000" w:rsidRPr="00671B20" w:rsidP="00671B20">
            <w:pPr>
              <w:pStyle w:val="ListBullet"/>
            </w:pPr>
            <w:r w:rsidRPr="00671B20">
              <w:t>recognise the need for specialist servicing and/or repairs</w:t>
            </w:r>
          </w:p>
          <w:p w:rsidR="00000000" w:rsidRPr="00671B20" w:rsidP="00671B20">
            <w:pPr>
              <w:pStyle w:val="ListBullet"/>
            </w:pPr>
            <w:r w:rsidRPr="00671B20">
              <w:t>conduct calibration status/qualification checks</w:t>
            </w:r>
          </w:p>
          <w:p w:rsidR="00000000" w:rsidRPr="00671B20" w:rsidP="00671B20">
            <w:pPr>
              <w:pStyle w:val="ListBullet"/>
            </w:pPr>
            <w:r w:rsidRPr="00671B20">
              <w:t>obtain instrument/equipment readings with the required accuracy and precision</w:t>
            </w:r>
          </w:p>
          <w:p w:rsidR="00000000" w:rsidRPr="00671B20" w:rsidP="00671B20">
            <w:pPr>
              <w:pStyle w:val="ListBullet"/>
            </w:pPr>
            <w:r w:rsidRPr="00671B20">
              <w:t>follow all relevant OHS requirements</w:t>
            </w:r>
          </w:p>
          <w:p w:rsidR="00000000" w:rsidP="00671B20">
            <w:pPr>
              <w:pStyle w:val="ListBullet"/>
              <w:rPr>
                <w:lang w:val="en-NZ"/>
              </w:rPr>
            </w:pPr>
            <w:r w:rsidRPr="00671B20">
              <w:t>fo</w:t>
            </w:r>
            <w:r w:rsidRPr="00671B20">
              <w:t>llow enterprise recording and reporting procedures.</w:t>
            </w:r>
          </w:p>
        </w:tc>
      </w:tr>
      <w:tr w:rsidTr="00F66B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 xml:space="preserve">This unit of competency is to be assessed in the workplace or simulated workplace environment. </w:t>
            </w:r>
          </w:p>
          <w:p w:rsidR="00000000" w:rsidRPr="00671B20" w:rsidP="00671B20">
            <w:pPr>
              <w:pStyle w:val="BodyText"/>
            </w:pPr>
            <w:r w:rsidRPr="00671B20">
              <w:t>This unit of competency may be assessed with relevant:</w:t>
            </w:r>
          </w:p>
          <w:p w:rsidR="00000000" w:rsidRPr="00671B20" w:rsidP="00671B20">
            <w:pPr>
              <w:pStyle w:val="ListBullet"/>
            </w:pPr>
            <w:r w:rsidRPr="00671B20">
              <w:rPr>
                <w:rStyle w:val="Emphasis"/>
              </w:rPr>
              <w:t>re</w:t>
            </w:r>
            <w:r w:rsidRPr="00671B20">
              <w:rPr>
                <w:rStyle w:val="Emphasis"/>
              </w:rPr>
              <w:t>levant MSL974000</w:t>
            </w:r>
            <w:r w:rsidRPr="00671B20">
              <w:t xml:space="preserve"> series units of competency</w:t>
            </w:r>
          </w:p>
          <w:p w:rsidR="00000000" w:rsidRPr="00671B20" w:rsidP="00671B20">
            <w:pPr>
              <w:pStyle w:val="ListBullet"/>
            </w:pPr>
            <w:r w:rsidRPr="00671B20">
              <w:rPr>
                <w:rStyle w:val="Emphasis"/>
              </w:rPr>
              <w:t>relevant MSL975000</w:t>
            </w:r>
            <w:r w:rsidRPr="00671B20">
              <w:t xml:space="preserve"> series units of competency.</w:t>
            </w:r>
          </w:p>
          <w:p w:rsidR="00000000" w:rsidRPr="00671B20" w:rsidP="00671B20">
            <w:pPr>
              <w:pStyle w:val="BodyText"/>
            </w:pPr>
            <w:r w:rsidRPr="00671B20">
              <w:t>Resources may include:</w:t>
            </w:r>
          </w:p>
          <w:p w:rsidR="00000000" w:rsidRPr="00671B20" w:rsidP="00671B20">
            <w:pPr>
              <w:pStyle w:val="ListBullet"/>
            </w:pPr>
            <w:r w:rsidRPr="00671B20">
              <w:t>laboratory equipped with appropriate equipment and calibration standards</w:t>
            </w:r>
          </w:p>
          <w:p w:rsidR="00000000" w:rsidP="00671B20">
            <w:pPr>
              <w:pStyle w:val="ListBullet"/>
              <w:rPr>
                <w:lang w:val="en-NZ"/>
              </w:rPr>
            </w:pPr>
            <w:r w:rsidRPr="00671B20">
              <w:t>SOPs, calibration and maintenance schedules and procedures.</w:t>
            </w:r>
          </w:p>
        </w:tc>
      </w:tr>
      <w:tr w:rsidTr="00F66B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The following assessment methods are suggested:</w:t>
            </w:r>
          </w:p>
          <w:p w:rsidR="00000000" w:rsidRPr="00671B20" w:rsidP="00671B20">
            <w:pPr>
              <w:pStyle w:val="ListBullet"/>
            </w:pPr>
            <w:r w:rsidRPr="00671B20">
              <w:t>review of maintenance records and equipment/instrument logbooks completed by the candidate</w:t>
            </w:r>
          </w:p>
          <w:p w:rsidR="00000000" w:rsidRPr="00671B20" w:rsidP="00671B20">
            <w:pPr>
              <w:pStyle w:val="ListBullet"/>
            </w:pPr>
            <w:r w:rsidRPr="00671B20">
              <w:t>observation of the candidate performing serviceability and calibration/qualification checks and</w:t>
            </w:r>
            <w:r w:rsidRPr="00671B20">
              <w:t xml:space="preserve"> routine maintenance</w:t>
            </w:r>
          </w:p>
          <w:p w:rsidR="00000000" w:rsidRPr="00671B20" w:rsidP="00671B20">
            <w:pPr>
              <w:pStyle w:val="ListBullet"/>
            </w:pPr>
            <w:r w:rsidRPr="00671B20">
              <w:t>feedback from peers and supervisors</w:t>
            </w:r>
          </w:p>
          <w:p w:rsidR="00000000" w:rsidRPr="00671B20" w:rsidP="00671B20">
            <w:pPr>
              <w:pStyle w:val="ListBullet"/>
            </w:pPr>
            <w:r w:rsidRPr="00671B20">
              <w:t>oral or written questioning.</w:t>
            </w:r>
          </w:p>
          <w:p w:rsidR="00000000" w:rsidRPr="00671B20" w:rsidP="00671B20">
            <w:pPr>
              <w:pStyle w:val="BodyText"/>
            </w:pPr>
            <w:r w:rsidRPr="00671B20">
              <w:t>In all cases, practical assessment should be supported by questions to assess underpinning knowledge and those aspects of competency which are difficult to assess directl</w:t>
            </w:r>
            <w:r w:rsidRPr="00671B20">
              <w:t xml:space="preserve">y. </w:t>
            </w:r>
          </w:p>
          <w:p w:rsidR="00000000" w:rsidRPr="00671B20" w:rsidP="00671B20">
            <w:pPr>
              <w:pStyle w:val="BodyText"/>
            </w:pPr>
            <w:r w:rsidRPr="00671B20">
              <w:t xml:space="preserve">Where applicable, reasonable adjustment must be made to work environments and training situations to accommodate ethnicity, age, gender, demographics and disability. </w:t>
            </w:r>
          </w:p>
          <w:p w:rsidR="00000000" w:rsidRPr="00671B20" w:rsidP="00671B20">
            <w:pPr>
              <w:pStyle w:val="BodyText"/>
            </w:pPr>
            <w:r w:rsidRPr="00671B20">
              <w:t>Access must be provided to appropriate learning and/or assessment support when requir</w:t>
            </w:r>
            <w:r w:rsidRPr="00671B20">
              <w:t xml:space="preserve">ed. </w:t>
            </w:r>
          </w:p>
          <w:p w:rsidR="00000000" w:rsidP="00671B20">
            <w:pPr>
              <w:pStyle w:val="BodyText"/>
              <w:rPr>
                <w:lang w:val="en-NZ"/>
              </w:rPr>
            </w:pPr>
            <w:r w:rsidRPr="00671B20">
              <w:t>The language, literacy and numeracy demands of assessment should not be greater than those required to undertake the unit of competency in a work like environment.</w:t>
            </w:r>
          </w:p>
        </w:tc>
      </w:tr>
      <w:tr w:rsidTr="00F66B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Industry representatives have provided the case studies be</w:t>
            </w:r>
            <w:r w:rsidRPr="00671B20">
              <w:t>low to illustrate the practical application of this unit of competency and to show their relevance in a workplace setting.</w:t>
            </w:r>
          </w:p>
          <w:p w:rsidR="00000000" w:rsidRPr="00671B20" w:rsidP="00671B20">
            <w:pPr>
              <w:pStyle w:val="BodyText"/>
            </w:pPr>
            <w:r w:rsidRPr="00671B20">
              <w:rPr>
                <w:rStyle w:val="SpecialBold"/>
              </w:rPr>
              <w:t>Manufacturing</w:t>
            </w:r>
            <w:r w:rsidRPr="00671B20">
              <w:t xml:space="preserve"> </w:t>
            </w:r>
          </w:p>
          <w:p w:rsidR="00000000" w:rsidRPr="00671B20" w:rsidP="00671B20">
            <w:pPr>
              <w:pStyle w:val="BodyText"/>
            </w:pPr>
            <w:r w:rsidRPr="00671B20">
              <w:t>Starting materials used in manufacturin</w:t>
            </w:r>
            <w:r w:rsidRPr="00671B20">
              <w:t>g are often white powders. Infrared spectroscopy is used to positively identify many materials. Two compounds are one and the same if their spectra match in all respects (the position and relative intensity of the absorption bands). For example, if the spe</w:t>
            </w:r>
            <w:r w:rsidRPr="00671B20">
              <w:t>ctra of a white powder matches the spectra of caffeine, the technician can be sure that the white powder is caffeine, provided that the spectrometer has been correctly maintained and calibrated. The technician routinely checks this using a standard polysty</w:t>
            </w:r>
            <w:r w:rsidRPr="00671B20">
              <w:t>rene film.</w:t>
            </w:r>
          </w:p>
          <w:p w:rsidR="00000000" w:rsidRPr="00671B20" w:rsidP="00671B20">
            <w:pPr>
              <w:pStyle w:val="BodyText"/>
            </w:pPr>
            <w:r w:rsidRPr="00671B20">
              <w:rPr>
                <w:rStyle w:val="SpecialBold"/>
              </w:rPr>
              <w:t>Food processing</w:t>
            </w:r>
          </w:p>
          <w:p w:rsidR="00000000" w:rsidRPr="00671B20" w:rsidP="00671B20">
            <w:pPr>
              <w:pStyle w:val="BodyText"/>
            </w:pPr>
            <w:r w:rsidRPr="00671B20">
              <w:t>Technicians in a NATA certified laboratory must do regular checks to ensure that laboratory equipment, such as balances, refractometers and spectrometers are calibrated and in working order. Balances are routinely checked using c</w:t>
            </w:r>
            <w:r w:rsidRPr="00671B20">
              <w:t>alibrated masses and appropriate documented methods to ensure that they are weighing within the correct tolerances. If the balance is out of specification, the technician follows appropriate procedures to correct this and/or notifies the manufacturer to ar</w:t>
            </w:r>
            <w:r w:rsidRPr="00671B20">
              <w:t>range for the balance to be serviced.</w:t>
            </w:r>
          </w:p>
          <w:p w:rsidR="00000000" w:rsidRPr="00671B20" w:rsidP="00671B20">
            <w:pPr>
              <w:pStyle w:val="BodyText"/>
            </w:pPr>
            <w:r w:rsidRPr="00671B20">
              <w:rPr>
                <w:rStyle w:val="SpecialBold"/>
              </w:rPr>
              <w:t>Food processing</w:t>
            </w:r>
          </w:p>
          <w:p w:rsidR="00000000" w:rsidRPr="00671B20" w:rsidP="00671B20">
            <w:pPr>
              <w:pStyle w:val="BodyText"/>
            </w:pPr>
            <w:r w:rsidRPr="00671B20">
              <w:t>A technical assistant in the quality control laboratory of a fruit canning company is required to maintain and operate a range of equipment, including a pH meter. Canned pears, for example, are routinel</w:t>
            </w:r>
            <w:r w:rsidRPr="00671B20">
              <w:t>y checked for pH to ensure safe heat processing. While checking the calibration of the pH meter with the standard buffer solutions, the assistant identified that stable pH readings could not be obtained. On closer inspection, they found that the pH probe w</w:t>
            </w:r>
            <w:r w:rsidRPr="00671B20">
              <w:t>as damaged and reported the problem to the supervisor. The probe was replaced and the meter was re-checked in readiness for routine testing.</w:t>
            </w:r>
          </w:p>
          <w:p w:rsidR="00000000" w:rsidRPr="00671B20" w:rsidP="00671B20">
            <w:pPr>
              <w:pStyle w:val="BodyText"/>
            </w:pPr>
            <w:r w:rsidRPr="00671B20">
              <w:rPr>
                <w:rStyle w:val="SpecialBold"/>
              </w:rPr>
              <w:t>Biomedical</w:t>
            </w:r>
            <w:r w:rsidRPr="00671B20">
              <w:t xml:space="preserve"> </w:t>
            </w:r>
          </w:p>
          <w:p w:rsidR="00000000" w:rsidRPr="00671B20" w:rsidP="00671B20">
            <w:pPr>
              <w:pStyle w:val="BodyText"/>
            </w:pPr>
            <w:r w:rsidRPr="00671B20">
              <w:t xml:space="preserve">Technical assistants are quite often involved in routine collections and culturing of cells. Bacterial </w:t>
            </w:r>
            <w:r w:rsidRPr="00671B20">
              <w:t xml:space="preserve">cells are often cultured and grown to large populations in order to provide material from which to extract biological materials. A quick method of determining when the cell growth has yielded enough cells is to determine the absorbance of the cell culture </w:t>
            </w:r>
            <w:r w:rsidRPr="00671B20">
              <w:t>by measuring absorbance at 600 nm. An absorbance of 1 to 1.5 will give a good cell harvest. This method relies on the assistant being able to perform calibration checks on an ultraviolet-visible (UV-VIS) spectrometer.</w:t>
            </w: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11" w:name="O_102949"/>
      <w:bookmarkEnd w:id="11"/>
      <w:r w:rsidRPr="00671B20">
        <w:t>Range Statement</w:t>
      </w:r>
    </w:p>
    <w:tbl>
      <w:tblPr>
        <w:tblW w:w="0" w:type="auto"/>
        <w:tblLayout w:type="fixed"/>
        <w:tblCellMar>
          <w:left w:w="62" w:type="dxa"/>
          <w:right w:w="62" w:type="dxa"/>
        </w:tblCellMar>
        <w:tblLook w:val="0000"/>
      </w:tblPr>
      <w:tblGrid>
        <w:gridCol w:w="3547"/>
        <w:gridCol w:w="4975"/>
      </w:tblGrid>
      <w:tr w:rsidTr="00F66B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RAN</w:t>
            </w:r>
            <w:r w:rsidRPr="00671B20">
              <w:rPr>
                <w:rStyle w:val="SpecialBold"/>
              </w:rPr>
              <w:t>GE STATEMENT</w:t>
            </w:r>
          </w:p>
        </w:tc>
      </w:tr>
      <w:tr w:rsidTr="00F66B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t xml:space="preserve">The range statement relates to the unit of competency as a whole. It allows for different work environments and situations that may affect </w:t>
            </w:r>
            <w:r w:rsidRPr="00671B20">
              <w:t>performance. Bold italicised wording, if used in the performance criteria, is detailed below. Essential operating conditions that may be present with training and assessment (depending on the work situation, needs of the candidate, accessibility of the ite</w:t>
            </w:r>
            <w:r w:rsidRPr="00671B20">
              <w:t>m, and local industry and regional contexts) may also be included.</w:t>
            </w:r>
          </w:p>
        </w:tc>
      </w:tr>
      <w:tr w:rsidTr="00F66B5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Codes of practice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t>Where reference is made to industry codes of practice, and/or Australian/international standards, it is expected the latest version will be used</w:t>
            </w:r>
          </w:p>
        </w:tc>
      </w:tr>
      <w:tr w:rsidTr="00F66B5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Standards</w:t>
            </w:r>
            <w:r w:rsidRPr="00671B20">
              <w:t xml:space="preserve">, </w:t>
            </w:r>
            <w:r w:rsidRPr="00671B20">
              <w:rPr>
                <w:rStyle w:val="SpecialBold"/>
              </w:rPr>
              <w:t>codes</w:t>
            </w:r>
            <w:r w:rsidRPr="00671B20">
              <w:t xml:space="preserve">, </w:t>
            </w:r>
            <w:r w:rsidRPr="00671B20">
              <w:rPr>
                <w:rStyle w:val="SpecialBold"/>
              </w:rPr>
              <w:t>procedures and</w:t>
            </w:r>
            <w:r w:rsidRPr="00671B20">
              <w:t>/</w:t>
            </w:r>
            <w:r w:rsidRPr="00671B20">
              <w:rPr>
                <w:rStyle w:val="SpecialBold"/>
              </w:rPr>
              <w:t>or enterprise requirements</w:t>
            </w:r>
            <w:r w:rsidRPr="00671B20">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Standards, codes, procedures and/or enterprise requirements may include:</w:t>
            </w:r>
          </w:p>
          <w:p w:rsidR="00000000" w:rsidRPr="00671B20" w:rsidP="00671B20">
            <w:pPr>
              <w:pStyle w:val="ListBullet"/>
            </w:pPr>
            <w:r w:rsidRPr="00671B20">
              <w:t>Australian and international standards such as:</w:t>
            </w:r>
          </w:p>
          <w:p w:rsidR="00000000" w:rsidRPr="00671B20" w:rsidP="00671B20">
            <w:pPr>
              <w:pStyle w:val="ListBullet2"/>
            </w:pPr>
            <w:r w:rsidRPr="00671B20">
              <w:t>AS 1678 Emergency procedure guide - Transport</w:t>
            </w:r>
          </w:p>
          <w:p w:rsidR="00000000" w:rsidRPr="00671B20" w:rsidP="00671B20">
            <w:pPr>
              <w:pStyle w:val="ListBullet2"/>
            </w:pPr>
            <w:r w:rsidRPr="00671B20">
              <w:t xml:space="preserve">AS 2252 Biological safety cabinets </w:t>
            </w:r>
          </w:p>
          <w:p w:rsidR="00000000" w:rsidRPr="00671B20" w:rsidP="00671B20">
            <w:pPr>
              <w:pStyle w:val="ListBullet2"/>
            </w:pPr>
            <w:r w:rsidRPr="00671B20">
              <w:t>AS ISO 17025-2005 General requirements for the competence of testing and calibration laboratories</w:t>
            </w:r>
          </w:p>
          <w:p w:rsidR="00000000" w:rsidRPr="00671B20" w:rsidP="00671B20">
            <w:pPr>
              <w:pStyle w:val="ListBullet"/>
            </w:pPr>
            <w:r w:rsidRPr="00671B20">
              <w:t>AS/NZS 2243 Set:2006 Safety in laboratories set</w:t>
            </w:r>
          </w:p>
          <w:p w:rsidR="00000000" w:rsidRPr="00671B20" w:rsidP="00671B20">
            <w:pPr>
              <w:pStyle w:val="ListBullet2"/>
            </w:pPr>
            <w:r w:rsidRPr="00671B20">
              <w:t>AS/NZS 2982.1:1997 Laboratory design and construction - General requirements</w:t>
            </w:r>
          </w:p>
          <w:p w:rsidR="00000000" w:rsidRPr="00671B20" w:rsidP="00671B20">
            <w:pPr>
              <w:pStyle w:val="ListBullet2"/>
            </w:pPr>
            <w:r w:rsidRPr="00671B20">
              <w:t>AS/NZS 4187:2003 Cleaning, disi</w:t>
            </w:r>
            <w:r w:rsidRPr="00671B20">
              <w:t>nfecting and sterilising reusable medical and surgical instruments and equipment, and maintenance of associated environments in health care facilities</w:t>
            </w:r>
          </w:p>
          <w:p w:rsidR="00000000" w:rsidRPr="00671B20" w:rsidP="00671B20">
            <w:pPr>
              <w:pStyle w:val="ListBullet"/>
            </w:pPr>
            <w:r w:rsidRPr="00671B20">
              <w:t>AS/NZS 4501 Set:2008 Occupational clothing set</w:t>
            </w:r>
          </w:p>
          <w:p w:rsidR="00000000" w:rsidRPr="00671B20" w:rsidP="00671B20">
            <w:pPr>
              <w:pStyle w:val="ListBullet2"/>
            </w:pPr>
            <w:r w:rsidRPr="00671B20">
              <w:t>AS/NZS ISO 14000 Set:2005 Environmental management stand</w:t>
            </w:r>
            <w:r w:rsidRPr="00671B20">
              <w:t>ards set</w:t>
            </w:r>
          </w:p>
          <w:p w:rsidR="00000000" w:rsidRPr="00671B20" w:rsidP="00671B20">
            <w:pPr>
              <w:pStyle w:val="ListBullet"/>
            </w:pPr>
            <w:r w:rsidRPr="00671B20">
              <w:t>Australian code of good manufacturing practice for medicinal products (GMP)</w:t>
            </w:r>
          </w:p>
          <w:p w:rsidR="00000000" w:rsidRPr="00671B20" w:rsidP="00671B20">
            <w:pPr>
              <w:pStyle w:val="ListBullet"/>
            </w:pPr>
            <w:r w:rsidRPr="00671B20">
              <w:t>Australian Dangerous Goods Code</w:t>
            </w:r>
          </w:p>
          <w:p w:rsidR="00000000" w:rsidRPr="00671B20" w:rsidP="00671B20">
            <w:pPr>
              <w:pStyle w:val="ListBullet"/>
            </w:pPr>
            <w:r w:rsidRPr="00671B20">
              <w:t>Australian Quarantine and Inspection Service (AQIS) Export Control (Orders) Regulations 1982</w:t>
            </w:r>
          </w:p>
          <w:p w:rsidR="00000000" w:rsidRPr="00671B20" w:rsidP="00671B20">
            <w:pPr>
              <w:pStyle w:val="ListBullet"/>
            </w:pPr>
            <w:r w:rsidRPr="00671B20">
              <w:t xml:space="preserve">Australian Quarantine and Inspection Service </w:t>
            </w:r>
            <w:r w:rsidRPr="00671B20">
              <w:t>(AQIS) Import Guidelines</w:t>
            </w:r>
          </w:p>
          <w:p w:rsidR="00000000" w:rsidRPr="00671B20" w:rsidP="00671B20">
            <w:pPr>
              <w:pStyle w:val="ListBullet"/>
            </w:pPr>
            <w:r w:rsidRPr="00671B20">
              <w:t>Australian Radiation Protection and Nuclear Safety Agency (ARPANSA) Codes of Practice</w:t>
            </w:r>
          </w:p>
          <w:p w:rsidR="00000000" w:rsidRPr="00671B20" w:rsidP="00671B20">
            <w:pPr>
              <w:pStyle w:val="ListBullet"/>
            </w:pPr>
            <w:r w:rsidRPr="00671B20">
              <w:t>calibration and maintenance schedules</w:t>
            </w:r>
          </w:p>
          <w:p w:rsidR="00000000" w:rsidRPr="00671B20" w:rsidP="00671B20">
            <w:pPr>
              <w:pStyle w:val="ListBullet"/>
            </w:pPr>
            <w:r w:rsidRPr="00671B20">
              <w:t>enterprise recording and reporting procedures</w:t>
            </w:r>
          </w:p>
          <w:p w:rsidR="00000000" w:rsidRPr="00671B20" w:rsidP="00671B20">
            <w:pPr>
              <w:pStyle w:val="ListBullet"/>
            </w:pPr>
            <w:r w:rsidRPr="00671B20">
              <w:t>equipment manuals and warranties, supplier catalogues and handbooks</w:t>
            </w:r>
          </w:p>
          <w:p w:rsidR="00000000" w:rsidRPr="00671B20" w:rsidP="00671B20">
            <w:pPr>
              <w:pStyle w:val="ListBullet"/>
            </w:pPr>
            <w:r w:rsidRPr="00671B20">
              <w:t>equipment startup, operation and shutdown procedures</w:t>
            </w:r>
          </w:p>
          <w:p w:rsidR="00000000" w:rsidRPr="00671B20" w:rsidP="00671B20">
            <w:pPr>
              <w:pStyle w:val="ListBullet"/>
            </w:pPr>
            <w:r w:rsidRPr="00671B20">
              <w:t>gene technology regulations</w:t>
            </w:r>
          </w:p>
          <w:p w:rsidR="00000000" w:rsidRPr="00671B20" w:rsidP="00671B20">
            <w:pPr>
              <w:pStyle w:val="ListBullet"/>
            </w:pPr>
            <w:r w:rsidRPr="00671B20">
              <w:t>guide to physical containment levels and facility types</w:t>
            </w:r>
          </w:p>
          <w:p w:rsidR="00000000" w:rsidRPr="00671B20" w:rsidP="00671B20">
            <w:pPr>
              <w:pStyle w:val="ListBullet"/>
            </w:pPr>
            <w:r w:rsidRPr="00671B20">
              <w:t>material safety data sheets (MSDS)</w:t>
            </w:r>
          </w:p>
          <w:p w:rsidR="00000000" w:rsidRPr="00671B20" w:rsidP="00671B20">
            <w:pPr>
              <w:pStyle w:val="ListBullet"/>
            </w:pPr>
            <w:r w:rsidRPr="00671B20">
              <w:t>material, produc</w:t>
            </w:r>
            <w:r w:rsidRPr="00671B20">
              <w:t>tion and product specifications</w:t>
            </w:r>
          </w:p>
          <w:p w:rsidR="00000000" w:rsidRPr="00671B20" w:rsidP="00671B20">
            <w:pPr>
              <w:pStyle w:val="ListBullet"/>
            </w:pPr>
            <w:r w:rsidRPr="00671B20">
              <w:t>National Code of Practice for the labelling of workplace substances (NOHSC:2012 (1994))</w:t>
            </w:r>
          </w:p>
          <w:p w:rsidR="00000000" w:rsidRPr="00671B20" w:rsidP="00671B20">
            <w:pPr>
              <w:pStyle w:val="ListBullet"/>
            </w:pPr>
            <w:r w:rsidRPr="00671B20">
              <w:t>national environment protection measures</w:t>
            </w:r>
          </w:p>
          <w:p w:rsidR="00000000" w:rsidRPr="00671B20" w:rsidP="00671B20">
            <w:pPr>
              <w:pStyle w:val="ListBullet"/>
            </w:pPr>
            <w:r w:rsidRPr="00671B20">
              <w:t>National Health and Medical Research Council (NHMRC) Guidelines</w:t>
            </w:r>
          </w:p>
          <w:p w:rsidR="00000000" w:rsidRPr="00671B20" w:rsidP="00671B20">
            <w:pPr>
              <w:pStyle w:val="ListBullet"/>
            </w:pPr>
            <w:r w:rsidRPr="00671B20">
              <w:t>national measurement regulation</w:t>
            </w:r>
            <w:r w:rsidRPr="00671B20">
              <w:t>s and guidelines</w:t>
            </w:r>
          </w:p>
          <w:p w:rsidR="00000000" w:rsidRPr="00671B20" w:rsidP="00671B20">
            <w:pPr>
              <w:pStyle w:val="ListBullet"/>
            </w:pPr>
            <w:r w:rsidRPr="00671B20">
              <w:t>OHS national standards and codes of practice</w:t>
            </w:r>
          </w:p>
          <w:p w:rsidR="00000000" w:rsidRPr="00671B20" w:rsidP="00671B20">
            <w:pPr>
              <w:pStyle w:val="ListBullet"/>
            </w:pPr>
            <w:r w:rsidRPr="00671B20">
              <w:t>principles of good laboratory practice (GLP)</w:t>
            </w:r>
          </w:p>
          <w:p w:rsidR="00000000" w:rsidRPr="00671B20" w:rsidP="00671B20">
            <w:pPr>
              <w:pStyle w:val="ListBullet"/>
            </w:pPr>
            <w:r w:rsidRPr="00671B20">
              <w:t>production and laboratory schedules</w:t>
            </w:r>
          </w:p>
          <w:p w:rsidR="00000000" w:rsidRPr="00671B20" w:rsidP="00671B20">
            <w:pPr>
              <w:pStyle w:val="ListBullet"/>
            </w:pPr>
            <w:r w:rsidRPr="00671B20">
              <w:t>quality manuals</w:t>
            </w:r>
          </w:p>
          <w:p w:rsidR="00000000" w:rsidRPr="00671B20" w:rsidP="00671B20">
            <w:pPr>
              <w:pStyle w:val="ListBullet"/>
            </w:pPr>
            <w:r w:rsidRPr="00671B20">
              <w:t>standard operating procedures (SOPs)</w:t>
            </w:r>
          </w:p>
          <w:p w:rsidR="00000000" w:rsidP="00671B20">
            <w:pPr>
              <w:pStyle w:val="ListBullet"/>
              <w:rPr>
                <w:lang w:val="en-NZ"/>
              </w:rPr>
            </w:pPr>
            <w:r w:rsidRPr="00671B20">
              <w:t>Therapeutic Goods Regulations 1009</w:t>
            </w:r>
          </w:p>
        </w:tc>
      </w:tr>
      <w:tr w:rsidTr="00F66B5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Laboratory equipment and instruments</w:t>
            </w:r>
            <w:r w:rsidRPr="00671B20">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Laboratory equipment and instruments may include:</w:t>
            </w:r>
          </w:p>
          <w:p w:rsidR="00000000" w:rsidRPr="00671B20" w:rsidP="00671B20">
            <w:pPr>
              <w:pStyle w:val="ListBullet"/>
            </w:pPr>
            <w:r w:rsidRPr="00671B20">
              <w:t>balances</w:t>
            </w:r>
          </w:p>
          <w:p w:rsidR="00000000" w:rsidRPr="00671B20" w:rsidP="00671B20">
            <w:pPr>
              <w:pStyle w:val="ListBullet"/>
            </w:pPr>
            <w:r w:rsidRPr="00671B20">
              <w:t>density bottles, pipettes, burettes and volumetric glassware</w:t>
            </w:r>
          </w:p>
          <w:p w:rsidR="00000000" w:rsidRPr="00671B20" w:rsidP="00671B20">
            <w:pPr>
              <w:pStyle w:val="ListBullet"/>
            </w:pPr>
            <w:r w:rsidRPr="00671B20">
              <w:t>thermometers, melting point apparatus, water baths and incubators</w:t>
            </w:r>
          </w:p>
          <w:p w:rsidR="00000000" w:rsidRPr="00671B20" w:rsidP="00671B20">
            <w:pPr>
              <w:pStyle w:val="ListBullet"/>
            </w:pPr>
            <w:r w:rsidRPr="00671B20">
              <w:t>optical microscopes, refractome</w:t>
            </w:r>
            <w:r w:rsidRPr="00671B20">
              <w:t>ters and polarimeters</w:t>
            </w:r>
          </w:p>
          <w:p w:rsidR="00000000" w:rsidRPr="00671B20" w:rsidP="00671B20">
            <w:pPr>
              <w:pStyle w:val="ListBullet"/>
            </w:pPr>
            <w:r w:rsidRPr="00671B20">
              <w:t>conductivity meters and pH meters</w:t>
            </w:r>
          </w:p>
          <w:p w:rsidR="00000000" w:rsidRPr="00671B20" w:rsidP="00671B20">
            <w:pPr>
              <w:pStyle w:val="ListBullet"/>
            </w:pPr>
            <w:r w:rsidRPr="00671B20">
              <w:t>ion selective electrodes</w:t>
            </w:r>
          </w:p>
          <w:p w:rsidR="00000000" w:rsidRPr="00671B20" w:rsidP="00671B20">
            <w:pPr>
              <w:pStyle w:val="ListBullet"/>
            </w:pPr>
            <w:r w:rsidRPr="00671B20">
              <w:t>autoclaves</w:t>
            </w:r>
          </w:p>
          <w:p w:rsidR="00000000" w:rsidRPr="00671B20" w:rsidP="00671B20">
            <w:pPr>
              <w:pStyle w:val="ListBullet"/>
            </w:pPr>
            <w:r w:rsidRPr="00671B20">
              <w:t>mixing and separating equipment, such as centrifuges, rifflers and splitters and mixers</w:t>
            </w:r>
          </w:p>
          <w:p w:rsidR="00000000" w:rsidRPr="00671B20" w:rsidP="00671B20">
            <w:pPr>
              <w:pStyle w:val="ListBullet"/>
            </w:pPr>
            <w:r w:rsidRPr="00671B20">
              <w:t>noise meters and blast meters</w:t>
            </w:r>
          </w:p>
          <w:p w:rsidR="00000000" w:rsidRPr="00671B20" w:rsidP="00671B20">
            <w:pPr>
              <w:pStyle w:val="ListBullet"/>
            </w:pPr>
            <w:r w:rsidRPr="00671B20">
              <w:t>pressure gauges, torque testers, load cells, s</w:t>
            </w:r>
            <w:r w:rsidRPr="00671B20">
              <w:t>train gauges and tensiometers</w:t>
            </w:r>
          </w:p>
          <w:p w:rsidR="00000000" w:rsidRPr="00671B20" w:rsidP="00671B20">
            <w:pPr>
              <w:pStyle w:val="ListBullet"/>
            </w:pPr>
            <w:r w:rsidRPr="00671B20">
              <w:t>disintegration apparatus, penetrometers, hardness testing equipment, viscometers, soil compaction and classification equipment</w:t>
            </w:r>
          </w:p>
          <w:p w:rsidR="00000000" w:rsidRPr="00671B20" w:rsidP="00671B20">
            <w:pPr>
              <w:pStyle w:val="ListBullet"/>
            </w:pPr>
            <w:r w:rsidRPr="00671B20">
              <w:t>colorimeters and spectrometers</w:t>
            </w:r>
          </w:p>
          <w:p w:rsidR="00000000" w:rsidRPr="00671B20" w:rsidP="00671B20">
            <w:pPr>
              <w:pStyle w:val="ListBullet"/>
            </w:pPr>
            <w:r w:rsidRPr="00671B20">
              <w:t>chromatographic equipment and electrochemical equipment</w:t>
            </w:r>
          </w:p>
          <w:p w:rsidR="00000000" w:rsidRPr="00671B20" w:rsidP="00671B20">
            <w:pPr>
              <w:pStyle w:val="ListBullet"/>
            </w:pPr>
            <w:r w:rsidRPr="00671B20">
              <w:t>cell analysers and cell counters</w:t>
            </w:r>
          </w:p>
          <w:p w:rsidR="00000000" w:rsidP="00671B20">
            <w:pPr>
              <w:pStyle w:val="ListBullet"/>
              <w:rPr>
                <w:lang w:val="en-NZ"/>
              </w:rPr>
            </w:pPr>
            <w:r w:rsidRPr="00671B20">
              <w:t>motors, pumps and generators</w:t>
            </w:r>
          </w:p>
        </w:tc>
      </w:tr>
      <w:tr w:rsidTr="00F66B5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Basic repairs</w:t>
            </w:r>
            <w:r w:rsidRPr="00671B20">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Basic repairs may include:</w:t>
            </w:r>
          </w:p>
          <w:p w:rsidR="00000000" w:rsidRPr="00671B20" w:rsidP="00671B20">
            <w:pPr>
              <w:pStyle w:val="ListBullet"/>
            </w:pPr>
            <w:r w:rsidRPr="00671B20">
              <w:t>replacement of fuses and reagents and consumables</w:t>
            </w:r>
          </w:p>
          <w:p w:rsidR="00000000" w:rsidRPr="00671B20" w:rsidP="00671B20">
            <w:pPr>
              <w:pStyle w:val="ListBullet"/>
            </w:pPr>
            <w:r w:rsidRPr="00671B20">
              <w:t>cleaning and/or replacement of cells, torches and burners</w:t>
            </w:r>
          </w:p>
          <w:p w:rsidR="00000000" w:rsidRPr="00671B20" w:rsidP="00671B20">
            <w:pPr>
              <w:pStyle w:val="ListBullet"/>
            </w:pPr>
            <w:r w:rsidRPr="00671B20">
              <w:t xml:space="preserve">installation, conditioning and removal of </w:t>
            </w:r>
            <w:r w:rsidRPr="00671B20">
              <w:t>columns for gas chromatographs (packed and capillary) and liquid chromatographs (columns and guard columns)</w:t>
            </w:r>
          </w:p>
          <w:p w:rsidR="00000000" w:rsidRPr="00671B20" w:rsidP="00671B20">
            <w:pPr>
              <w:pStyle w:val="ListBullet"/>
            </w:pPr>
            <w:r w:rsidRPr="00671B20">
              <w:t>changing injection port ferrules</w:t>
            </w:r>
          </w:p>
          <w:p w:rsidR="00000000" w:rsidRPr="00671B20" w:rsidP="00671B20">
            <w:pPr>
              <w:pStyle w:val="ListBullet"/>
            </w:pPr>
            <w:r w:rsidRPr="00671B20">
              <w:t>connecting gas supplies</w:t>
            </w:r>
          </w:p>
          <w:p w:rsidR="00000000" w:rsidRPr="00671B20" w:rsidP="00671B20">
            <w:pPr>
              <w:pStyle w:val="ListBullet"/>
            </w:pPr>
            <w:r w:rsidRPr="00671B20">
              <w:t>maintaining syringes/injection equipment</w:t>
            </w:r>
          </w:p>
          <w:p w:rsidR="00000000" w:rsidRPr="00671B20" w:rsidP="00671B20">
            <w:pPr>
              <w:pStyle w:val="ListBullet"/>
            </w:pPr>
            <w:r w:rsidRPr="00671B20">
              <w:t>cleaning detectors</w:t>
            </w:r>
          </w:p>
          <w:p w:rsidR="00000000" w:rsidRPr="00671B20" w:rsidP="00671B20">
            <w:pPr>
              <w:pStyle w:val="ListBullet"/>
            </w:pPr>
            <w:r w:rsidRPr="00671B20">
              <w:t xml:space="preserve">appropriate storage of columns </w:t>
            </w:r>
            <w:r w:rsidRPr="00671B20">
              <w:t>and other equipment not currently in use</w:t>
            </w:r>
          </w:p>
          <w:p w:rsidR="00000000" w:rsidRPr="00671B20" w:rsidP="00671B20">
            <w:pPr>
              <w:pStyle w:val="ListBullet"/>
            </w:pPr>
            <w:r w:rsidRPr="00671B20">
              <w:t>changing detectors (for gas liquid and liquid chromatographs)</w:t>
            </w:r>
          </w:p>
          <w:p w:rsidR="00000000" w:rsidRPr="00671B20" w:rsidP="00671B20">
            <w:pPr>
              <w:pStyle w:val="ListBullet"/>
            </w:pPr>
            <w:r w:rsidRPr="00671B20">
              <w:t>optimising nebulisers</w:t>
            </w:r>
          </w:p>
          <w:p w:rsidR="00000000" w:rsidRPr="00671B20" w:rsidP="00671B20">
            <w:pPr>
              <w:pStyle w:val="ListBullet"/>
            </w:pPr>
            <w:r w:rsidRPr="00671B20">
              <w:t>replacement of lamps</w:t>
            </w:r>
          </w:p>
          <w:p w:rsidR="00000000" w:rsidRPr="00671B20" w:rsidP="00671B20">
            <w:pPr>
              <w:pStyle w:val="ListBullet"/>
            </w:pPr>
            <w:r w:rsidRPr="00671B20">
              <w:t>realignment of components</w:t>
            </w:r>
          </w:p>
          <w:p w:rsidR="00000000" w:rsidRPr="00671B20" w:rsidP="00671B20">
            <w:pPr>
              <w:pStyle w:val="ListBullet"/>
            </w:pPr>
            <w:r w:rsidRPr="00671B20">
              <w:t>replacement of hoses and belts</w:t>
            </w:r>
          </w:p>
          <w:p w:rsidR="00000000" w:rsidRPr="00671B20" w:rsidP="00671B20">
            <w:pPr>
              <w:pStyle w:val="ListBullet"/>
            </w:pPr>
            <w:r w:rsidRPr="00671B20">
              <w:t>replacement or top up of oils, lubricants or coolants</w:t>
            </w:r>
          </w:p>
          <w:p w:rsidR="00000000" w:rsidP="00671B20">
            <w:pPr>
              <w:pStyle w:val="ListBullet"/>
              <w:rPr>
                <w:lang w:val="en-NZ"/>
              </w:rPr>
            </w:pPr>
            <w:r w:rsidRPr="00671B20">
              <w:t>basic electrical checks involving simple digital multimeters</w:t>
            </w:r>
          </w:p>
        </w:tc>
      </w:tr>
      <w:tr w:rsidTr="00F66B5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Calibration status</w:t>
            </w:r>
            <w:r w:rsidRPr="00671B20">
              <w:t>/</w:t>
            </w:r>
            <w:r w:rsidRPr="00671B20">
              <w:rPr>
                <w:rStyle w:val="SpecialBold"/>
              </w:rPr>
              <w:t>qualification checks</w:t>
            </w:r>
            <w:r w:rsidRPr="00671B20">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Calibration status/qualification checks may include:</w:t>
            </w:r>
          </w:p>
          <w:p w:rsidR="00000000" w:rsidRPr="00671B20" w:rsidP="00671B20">
            <w:pPr>
              <w:pStyle w:val="ListBullet"/>
            </w:pPr>
            <w:r w:rsidRPr="00671B20">
              <w:t>matching cells (for dual beam instruments)</w:t>
            </w:r>
          </w:p>
          <w:p w:rsidR="00000000" w:rsidRPr="00671B20" w:rsidP="00671B20">
            <w:pPr>
              <w:pStyle w:val="ListBullet"/>
            </w:pPr>
            <w:r w:rsidRPr="00671B20">
              <w:t>checks for monochromator wavelength and photometric acc</w:t>
            </w:r>
            <w:r w:rsidRPr="00671B20">
              <w:t>uracy</w:t>
            </w:r>
          </w:p>
          <w:p w:rsidR="00000000" w:rsidRPr="00671B20" w:rsidP="00671B20">
            <w:pPr>
              <w:pStyle w:val="ListBullet"/>
            </w:pPr>
            <w:r w:rsidRPr="00671B20">
              <w:t>checks for baseline flatness and stray light</w:t>
            </w:r>
          </w:p>
          <w:p w:rsidR="00000000" w:rsidRPr="00671B20" w:rsidP="00671B20">
            <w:pPr>
              <w:pStyle w:val="ListBullet"/>
            </w:pPr>
            <w:r w:rsidRPr="00671B20">
              <w:t>checks on electrode performance</w:t>
            </w:r>
          </w:p>
          <w:p w:rsidR="00000000" w:rsidRPr="00671B20" w:rsidP="00671B20">
            <w:pPr>
              <w:pStyle w:val="ListBullet"/>
            </w:pPr>
            <w:r w:rsidRPr="00671B20">
              <w:t>checking sensitivity</w:t>
            </w:r>
          </w:p>
          <w:p w:rsidR="00000000" w:rsidRPr="00671B20" w:rsidP="00671B20">
            <w:pPr>
              <w:pStyle w:val="ListBullet"/>
            </w:pPr>
            <w:r w:rsidRPr="00671B20">
              <w:t>injection/use of standard mixtures</w:t>
            </w:r>
          </w:p>
          <w:p w:rsidR="00000000" w:rsidRPr="00671B20" w:rsidP="00671B20">
            <w:pPr>
              <w:pStyle w:val="ListBullet"/>
            </w:pPr>
            <w:r w:rsidRPr="00671B20">
              <w:t>comparison with manufacturer's specifications/ chromatogram</w:t>
            </w:r>
          </w:p>
          <w:p w:rsidR="00000000" w:rsidRPr="00671B20" w:rsidP="00671B20">
            <w:pPr>
              <w:pStyle w:val="ListBullet"/>
            </w:pPr>
            <w:r w:rsidRPr="00671B20">
              <w:t>use of standard masses and solutions</w:t>
            </w:r>
          </w:p>
          <w:p w:rsidR="00000000" w:rsidP="00671B20">
            <w:pPr>
              <w:pStyle w:val="ListBullet"/>
              <w:rPr>
                <w:lang w:val="en-NZ"/>
              </w:rPr>
            </w:pPr>
            <w:r w:rsidRPr="00671B20">
              <w:t>use of calibrated thermometers and glassware to assess instrument/component performance</w:t>
            </w:r>
          </w:p>
        </w:tc>
      </w:tr>
      <w:tr w:rsidTr="00F66B5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Hazards</w:t>
            </w:r>
            <w:r w:rsidRPr="00671B20">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Hazards may include:</w:t>
            </w:r>
          </w:p>
          <w:p w:rsidR="00000000" w:rsidRPr="00671B20" w:rsidP="00671B20">
            <w:pPr>
              <w:pStyle w:val="ListBullet"/>
            </w:pPr>
            <w:r w:rsidRPr="00671B20">
              <w:t>electric shock</w:t>
            </w:r>
          </w:p>
          <w:p w:rsidR="00000000" w:rsidRPr="00671B20" w:rsidP="00671B20">
            <w:pPr>
              <w:pStyle w:val="ListBullet"/>
            </w:pPr>
            <w:r w:rsidRPr="00671B20">
              <w:t>chemicals, such as acids and cleaning agents</w:t>
            </w:r>
          </w:p>
          <w:p w:rsidR="00000000" w:rsidRPr="00671B20" w:rsidP="00671B20">
            <w:pPr>
              <w:pStyle w:val="ListBullet"/>
            </w:pPr>
            <w:r w:rsidRPr="00671B20">
              <w:t>fluids under pressure, such as steam and industrial gases</w:t>
            </w:r>
          </w:p>
          <w:p w:rsidR="00000000" w:rsidRPr="00671B20" w:rsidP="00671B20">
            <w:pPr>
              <w:pStyle w:val="ListBullet"/>
            </w:pPr>
            <w:r w:rsidRPr="00671B20">
              <w:t>sharps, such as br</w:t>
            </w:r>
            <w:r w:rsidRPr="00671B20">
              <w:t>oken glassware</w:t>
            </w:r>
          </w:p>
          <w:p w:rsidR="00000000" w:rsidRPr="00671B20" w:rsidP="00671B20">
            <w:pPr>
              <w:pStyle w:val="ListBullet"/>
            </w:pPr>
            <w:r w:rsidRPr="00671B20">
              <w:t>sources of heat, such as burners, ovens and furnaces</w:t>
            </w:r>
          </w:p>
          <w:p w:rsidR="00000000" w:rsidRPr="00671B20" w:rsidP="00671B20">
            <w:pPr>
              <w:pStyle w:val="ListBullet"/>
            </w:pPr>
            <w:r w:rsidRPr="00671B20">
              <w:t>manual handling of heavy equipment</w:t>
            </w:r>
          </w:p>
          <w:p w:rsidR="00000000" w:rsidP="00671B20">
            <w:pPr>
              <w:pStyle w:val="ListBullet"/>
              <w:rPr>
                <w:lang w:val="en-NZ"/>
              </w:rPr>
            </w:pPr>
            <w:r w:rsidRPr="00671B20">
              <w:t>crushing, entanglement and cuts associated with moving machinery</w:t>
            </w:r>
          </w:p>
        </w:tc>
      </w:tr>
      <w:tr w:rsidTr="00F66B5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Safety procedures</w:t>
            </w:r>
            <w:r w:rsidRPr="00671B20">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Safety procedures may include:</w:t>
            </w:r>
          </w:p>
          <w:p w:rsidR="00000000" w:rsidRPr="00671B20" w:rsidP="00671B20">
            <w:pPr>
              <w:pStyle w:val="ListBullet"/>
            </w:pPr>
            <w:r w:rsidRPr="00671B20">
              <w:t>use of personal protective equipment, such as hearing protection, gloves, safety glasses, coveralls and safety boots</w:t>
            </w:r>
          </w:p>
          <w:p w:rsidR="00000000" w:rsidRPr="00671B20" w:rsidP="00671B20">
            <w:pPr>
              <w:pStyle w:val="ListBullet"/>
            </w:pPr>
            <w:r w:rsidRPr="00671B20">
              <w:t>ensuring access to service shut-off points</w:t>
            </w:r>
          </w:p>
          <w:p w:rsidR="00000000" w:rsidRPr="00671B20" w:rsidP="00671B20">
            <w:pPr>
              <w:pStyle w:val="ListBullet"/>
            </w:pPr>
            <w:r w:rsidRPr="00671B20">
              <w:t>handling and storing hazardous materials and equipment in accordance with labels, MSDS, manufact</w:t>
            </w:r>
            <w:r w:rsidRPr="00671B20">
              <w:t>urer's instructions, enterprise procedures and regulations</w:t>
            </w:r>
          </w:p>
          <w:p w:rsidR="00000000" w:rsidRPr="00671B20" w:rsidP="00671B20">
            <w:pPr>
              <w:pStyle w:val="ListBullet"/>
            </w:pPr>
            <w:r w:rsidRPr="00671B20">
              <w:t>following appropriate manual handling procedures</w:t>
            </w:r>
          </w:p>
          <w:p w:rsidR="00000000" w:rsidRPr="00671B20" w:rsidP="00671B20">
            <w:pPr>
              <w:pStyle w:val="ListBullet"/>
            </w:pPr>
            <w:r w:rsidRPr="00671B20">
              <w:t>regular cleaning of equipment and work areas</w:t>
            </w:r>
          </w:p>
          <w:p w:rsidR="00000000" w:rsidRPr="00671B20" w:rsidP="00671B20">
            <w:pPr>
              <w:pStyle w:val="ListBullet"/>
            </w:pPr>
            <w:r w:rsidRPr="00671B20">
              <w:t>machinery guards</w:t>
            </w:r>
          </w:p>
          <w:p w:rsidR="00000000" w:rsidRPr="00671B20" w:rsidP="00671B20">
            <w:pPr>
              <w:pStyle w:val="ListBullet"/>
            </w:pPr>
            <w:r w:rsidRPr="00671B20">
              <w:t>signage, barriers and service isolation tags</w:t>
            </w:r>
          </w:p>
          <w:p w:rsidR="00000000" w:rsidP="00671B20">
            <w:pPr>
              <w:pStyle w:val="ListBullet"/>
              <w:rPr>
                <w:lang w:val="en-NZ"/>
              </w:rPr>
            </w:pPr>
            <w:r w:rsidRPr="00671B20">
              <w:t>lockout and tag-out procedures</w:t>
            </w:r>
          </w:p>
        </w:tc>
      </w:tr>
      <w:tr w:rsidTr="00F66B5B">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Occupatio</w:t>
            </w:r>
            <w:r w:rsidRPr="00671B20">
              <w:rPr>
                <w:rStyle w:val="SpecialBold"/>
              </w:rPr>
              <w:t>nal health and safety</w:t>
            </w:r>
            <w:r w:rsidRPr="00671B20">
              <w:t xml:space="preserve"> (</w:t>
            </w:r>
            <w:r w:rsidRPr="00671B20">
              <w:rPr>
                <w:rStyle w:val="SpecialBold"/>
              </w:rPr>
              <w:t>OHS</w:t>
            </w:r>
            <w:r w:rsidRPr="00671B20">
              <w:t xml:space="preserve">) </w:t>
            </w:r>
            <w:r w:rsidRPr="00671B20">
              <w:rPr>
                <w:rStyle w:val="SpecialBold"/>
              </w:rPr>
              <w:t>and environmental management requirements</w:t>
            </w:r>
            <w:r w:rsidRPr="00671B20">
              <w:t xml:space="preserve"> </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OHS and environmental management requirements:</w:t>
            </w:r>
          </w:p>
          <w:p w:rsidR="00000000" w:rsidRPr="00671B20" w:rsidP="00671B20">
            <w:pPr>
              <w:pStyle w:val="ListBullet"/>
            </w:pPr>
            <w:r w:rsidRPr="00671B20">
              <w:t>all operations must comply with enterprise OHS and environmental management requirements, which may be imposed through state/territory or</w:t>
            </w:r>
            <w:r w:rsidRPr="00671B20">
              <w:t xml:space="preserve"> federal legislation - these requirements must not be compromised at any time</w:t>
            </w:r>
          </w:p>
          <w:p w:rsidR="00000000" w:rsidRPr="00671B20" w:rsidP="00671B20">
            <w:pPr>
              <w:pStyle w:val="ListBullet"/>
            </w:pPr>
            <w:r w:rsidRPr="00671B20">
              <w:t>all operations assume the potentially hazardous nature of samples and require standard precautions to be applied</w:t>
            </w:r>
          </w:p>
          <w:p w:rsidR="00000000" w:rsidRPr="00671B20" w:rsidP="00671B20">
            <w:pPr>
              <w:pStyle w:val="ListBullet"/>
            </w:pPr>
            <w:r w:rsidRPr="00671B20">
              <w:t>where relevant, users should access and apply current industry un</w:t>
            </w:r>
            <w:r w:rsidRPr="00671B20">
              <w:t>derstanding of infection control issued by the National Health and Medical Research Council (NHMRC) and State and Territory Departments of Health</w:t>
            </w:r>
          </w:p>
        </w:tc>
      </w:tr>
    </w:tbl>
    <w:p w:rsidR="00F66B5B" w:rsidP="00671B20">
      <w:pPr>
        <w:pStyle w:val="BodyText"/>
      </w:pPr>
    </w:p>
    <w:p w:rsidR="00F66B5B" w:rsidP="00671B20">
      <w:pPr>
        <w:pStyle w:val="BodyText"/>
      </w:pPr>
    </w:p>
    <w:p w:rsidR="00000000" w:rsidRPr="00671B20" w:rsidP="00671B20">
      <w:pPr>
        <w:pStyle w:val="Heading1"/>
      </w:pPr>
      <w:bookmarkStart w:id="12" w:name="O_102950"/>
      <w:bookmarkEnd w:id="12"/>
      <w:r w:rsidRPr="00671B20">
        <w:t>Unit Sector(s)</w:t>
      </w:r>
    </w:p>
    <w:tbl>
      <w:tblPr>
        <w:tblW w:w="0" w:type="auto"/>
        <w:tblLayout w:type="fixed"/>
        <w:tblCellMar>
          <w:left w:w="62" w:type="dxa"/>
          <w:right w:w="62" w:type="dxa"/>
        </w:tblCellMar>
        <w:tblLook w:val="0000"/>
      </w:tblPr>
      <w:tblGrid>
        <w:gridCol w:w="2601"/>
        <w:gridCol w:w="5921"/>
      </w:tblGrid>
      <w:tr w:rsidTr="00F66B5B">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r w:rsidRPr="00671B20">
              <w:t xml:space="preserve">Maintenance </w:t>
            </w: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13" w:name="O_159472"/>
      <w:bookmarkEnd w:id="13"/>
      <w:r w:rsidRPr="00671B20">
        <w:t>Competency field</w:t>
      </w:r>
    </w:p>
    <w:tbl>
      <w:tblPr>
        <w:tblW w:w="0" w:type="auto"/>
        <w:tblLayout w:type="fixed"/>
        <w:tblCellMar>
          <w:left w:w="62" w:type="dxa"/>
          <w:right w:w="62" w:type="dxa"/>
        </w:tblCellMar>
        <w:tblLook w:val="0000"/>
      </w:tblPr>
      <w:tblGrid>
        <w:gridCol w:w="2784"/>
        <w:gridCol w:w="5738"/>
      </w:tblGrid>
      <w:tr w:rsidTr="00F66B5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p>
        </w:tc>
      </w:tr>
    </w:tbl>
    <w:p w:rsidR="00000000" w:rsidRPr="00671B20" w:rsidP="00671B20">
      <w:pPr>
        <w:pStyle w:val="BodyText"/>
      </w:pPr>
    </w:p>
    <w:p w:rsidR="00000000" w:rsidRPr="00671B20" w:rsidP="00671B20">
      <w:pPr>
        <w:pStyle w:val="AllowPageBreak"/>
      </w:pPr>
    </w:p>
    <w:p w:rsidR="00000000" w:rsidRPr="00671B20" w:rsidP="00671B20">
      <w:pPr>
        <w:pStyle w:val="Heading1"/>
      </w:pPr>
      <w:bookmarkStart w:id="14" w:name="O_159471"/>
      <w:bookmarkEnd w:id="14"/>
      <w:r w:rsidRPr="00671B20">
        <w:t>Co-requisite units</w:t>
      </w:r>
    </w:p>
    <w:tbl>
      <w:tblPr>
        <w:tblW w:w="0" w:type="auto"/>
        <w:tblLayout w:type="fixed"/>
        <w:tblCellMar>
          <w:left w:w="62" w:type="dxa"/>
          <w:right w:w="62" w:type="dxa"/>
        </w:tblCellMar>
        <w:tblLook w:val="0000"/>
      </w:tblPr>
      <w:tblGrid>
        <w:gridCol w:w="2641"/>
        <w:gridCol w:w="1322"/>
        <w:gridCol w:w="4559"/>
      </w:tblGrid>
      <w:tr w:rsidTr="00F66B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r w:rsidRPr="00671B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p>
        </w:tc>
      </w:tr>
      <w:tr w:rsidTr="00F66B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B20">
            <w:pPr>
              <w:pStyle w:val="BodyText"/>
              <w:rPr>
                <w:lang w:val="en-NZ"/>
              </w:rPr>
            </w:pPr>
          </w:p>
        </w:tc>
      </w:tr>
      <w:tr w:rsidTr="00F66B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B20" w:rsidP="00671B20">
            <w:pPr>
              <w:pStyle w:val="BodyText"/>
            </w:pPr>
          </w:p>
        </w:tc>
      </w:tr>
    </w:tbl>
    <w:p w:rsidR="00000000" w:rsidRPr="00671B20" w:rsidP="00671B20">
      <w:pPr>
        <w:pStyle w:val="BodyText"/>
      </w:pPr>
    </w:p>
    <w:p w:rsidR="00000000" w:rsidRPr="00671B20" w:rsidP="00671B20"/>
    <w:sectPr w:rsidSect="00671B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B5B" w:rsidP="00F66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5B" w:rsidP="00671B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6B5B" w:rsidP="00671B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6B5B" w:rsidP="00671B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0" w:rsidRPr="00F66B5B" w:rsidP="00F66B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5B" w:rsidP="00671B20">
    <w:pPr>
      <w:pStyle w:val="Header"/>
      <w:framePr w:wrap="around"/>
    </w:pPr>
    <w:r>
      <w:fldChar w:fldCharType="begin"/>
    </w:r>
    <w:r>
      <w:instrText xml:space="preserve"> TITLE   \* MERGEFORMAT </w:instrText>
    </w:r>
    <w:r>
      <w:fldChar w:fldCharType="separate"/>
    </w:r>
    <w:r>
      <w:t>MSL935004A Maintain instruments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B5B" w:rsidP="00671B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84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FC4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C4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B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1B20"/>
    <w:pPr>
      <w:spacing w:before="360" w:after="60"/>
      <w:outlineLvl w:val="0"/>
    </w:pPr>
    <w:rPr>
      <w:sz w:val="32"/>
    </w:rPr>
  </w:style>
  <w:style w:type="paragraph" w:styleId="Heading2">
    <w:name w:val="heading 2"/>
    <w:basedOn w:val="HeadingBase"/>
    <w:next w:val="BodyText"/>
    <w:link w:val="Heading2Char"/>
    <w:qFormat/>
    <w:rsid w:val="00671B20"/>
    <w:pPr>
      <w:keepLines/>
      <w:spacing w:before="240" w:after="120"/>
      <w:outlineLvl w:val="1"/>
    </w:pPr>
    <w:rPr>
      <w:sz w:val="28"/>
      <w:szCs w:val="40"/>
    </w:rPr>
  </w:style>
  <w:style w:type="paragraph" w:styleId="Heading3">
    <w:name w:val="heading 3"/>
    <w:basedOn w:val="HeadingBase"/>
    <w:next w:val="BodyText"/>
    <w:link w:val="Heading3Char"/>
    <w:qFormat/>
    <w:rsid w:val="00671B20"/>
    <w:pPr>
      <w:spacing w:before="180" w:after="120"/>
      <w:outlineLvl w:val="2"/>
    </w:pPr>
    <w:rPr>
      <w:spacing w:val="-10"/>
      <w:kern w:val="32"/>
    </w:rPr>
  </w:style>
  <w:style w:type="paragraph" w:styleId="Heading4">
    <w:name w:val="heading 4"/>
    <w:basedOn w:val="HeadingBase"/>
    <w:next w:val="BodyText"/>
    <w:link w:val="Heading4Char"/>
    <w:qFormat/>
    <w:rsid w:val="00671B20"/>
    <w:pPr>
      <w:spacing w:before="160" w:after="120"/>
      <w:outlineLvl w:val="3"/>
    </w:pPr>
    <w:rPr>
      <w:sz w:val="22"/>
    </w:rPr>
  </w:style>
  <w:style w:type="paragraph" w:styleId="Heading5">
    <w:name w:val="heading 5"/>
    <w:basedOn w:val="HeadingBase"/>
    <w:next w:val="Normal"/>
    <w:link w:val="Heading5Char"/>
    <w:qFormat/>
    <w:rsid w:val="00671B20"/>
    <w:pPr>
      <w:spacing w:before="80"/>
      <w:outlineLvl w:val="4"/>
    </w:pPr>
    <w:rPr>
      <w:color w:val="918585"/>
      <w:sz w:val="20"/>
    </w:rPr>
  </w:style>
  <w:style w:type="paragraph" w:styleId="Heading6">
    <w:name w:val="heading 6"/>
    <w:basedOn w:val="HeadingBase"/>
    <w:next w:val="Normal"/>
    <w:link w:val="Heading6Char"/>
    <w:qFormat/>
    <w:rsid w:val="00671B20"/>
    <w:pPr>
      <w:spacing w:before="60"/>
      <w:outlineLvl w:val="5"/>
    </w:pPr>
    <w:rPr>
      <w:color w:val="918585"/>
      <w:sz w:val="20"/>
    </w:rPr>
  </w:style>
  <w:style w:type="paragraph" w:styleId="Heading7">
    <w:name w:val="heading 7"/>
    <w:basedOn w:val="Normal"/>
    <w:next w:val="Normal"/>
    <w:link w:val="Heading7Char"/>
    <w:qFormat/>
    <w:rsid w:val="00671B20"/>
    <w:pPr>
      <w:ind w:left="720"/>
      <w:outlineLvl w:val="6"/>
    </w:pPr>
    <w:rPr>
      <w:i/>
    </w:rPr>
  </w:style>
  <w:style w:type="paragraph" w:styleId="Heading8">
    <w:name w:val="heading 8"/>
    <w:basedOn w:val="Normal"/>
    <w:next w:val="Normal"/>
    <w:link w:val="Heading8Char"/>
    <w:qFormat/>
    <w:rsid w:val="00671B20"/>
    <w:pPr>
      <w:ind w:left="720"/>
      <w:outlineLvl w:val="7"/>
    </w:pPr>
    <w:rPr>
      <w:i/>
    </w:rPr>
  </w:style>
  <w:style w:type="paragraph" w:styleId="Heading9">
    <w:name w:val="heading 9"/>
    <w:basedOn w:val="Normal"/>
    <w:next w:val="Normal"/>
    <w:link w:val="Heading9Char"/>
    <w:qFormat/>
    <w:rsid w:val="00671B20"/>
    <w:pPr>
      <w:ind w:left="720"/>
      <w:outlineLvl w:val="8"/>
    </w:pPr>
    <w:rPr>
      <w:i/>
    </w:rPr>
  </w:style>
  <w:style w:type="character" w:default="1" w:styleId="DefaultParagraphFont">
    <w:name w:val="Default Paragraph Font"/>
    <w:uiPriority w:val="1"/>
    <w:unhideWhenUsed/>
    <w:rsid w:val="00671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B20"/>
  </w:style>
  <w:style w:type="character" w:customStyle="1" w:styleId="Heading1Char">
    <w:name w:val="Heading 1 Char"/>
    <w:link w:val="Heading1"/>
    <w:rsid w:val="00671B20"/>
    <w:rPr>
      <w:rFonts w:ascii="Times New Roman" w:eastAsia="Times New Roman" w:hAnsi="Times New Roman" w:cs="Times New Roman"/>
      <w:b/>
      <w:sz w:val="32"/>
      <w:szCs w:val="20"/>
      <w:lang w:eastAsia="en-US"/>
    </w:rPr>
  </w:style>
  <w:style w:type="paragraph" w:styleId="BodyText">
    <w:name w:val="Body Text"/>
    <w:basedOn w:val="Normal"/>
    <w:link w:val="BodyTextChar"/>
    <w:rsid w:val="00671B20"/>
    <w:pPr>
      <w:spacing w:before="120" w:after="120"/>
      <w:contextualSpacing/>
    </w:pPr>
    <w:rPr>
      <w:rFonts w:ascii="Times New Roman" w:hAnsi="Times New Roman"/>
      <w:sz w:val="24"/>
      <w:szCs w:val="22"/>
    </w:rPr>
  </w:style>
  <w:style w:type="character" w:customStyle="1" w:styleId="BodyTextChar">
    <w:name w:val="Body Text Char"/>
    <w:link w:val="BodyText"/>
    <w:rsid w:val="00671B20"/>
    <w:rPr>
      <w:rFonts w:ascii="Times New Roman" w:eastAsia="Times New Roman" w:hAnsi="Times New Roman" w:cs="Times New Roman"/>
      <w:sz w:val="24"/>
      <w:lang w:val="en-US" w:eastAsia="en-US"/>
    </w:rPr>
  </w:style>
  <w:style w:type="paragraph" w:styleId="Footer">
    <w:name w:val="footer"/>
    <w:basedOn w:val="Normal"/>
    <w:link w:val="FooterChar"/>
    <w:rsid w:val="00671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1B20"/>
    <w:rPr>
      <w:rFonts w:ascii="Times New Roman" w:eastAsia="Times New Roman" w:hAnsi="Times New Roman" w:cs="Times New Roman"/>
      <w:sz w:val="16"/>
      <w:lang w:val="en-US" w:eastAsia="en-US"/>
    </w:rPr>
  </w:style>
  <w:style w:type="paragraph" w:styleId="List">
    <w:name w:val="List"/>
    <w:basedOn w:val="BodyText"/>
    <w:next w:val="BodyText"/>
    <w:rsid w:val="00671B20"/>
    <w:pPr>
      <w:tabs>
        <w:tab w:val="left" w:pos="340"/>
      </w:tabs>
      <w:spacing w:before="60" w:after="60"/>
      <w:ind w:left="340" w:hanging="340"/>
    </w:pPr>
  </w:style>
  <w:style w:type="paragraph" w:styleId="ListBullet">
    <w:name w:val="List Bullet"/>
    <w:basedOn w:val="List"/>
    <w:rsid w:val="00671B20"/>
    <w:pPr>
      <w:numPr>
        <w:numId w:val="13"/>
      </w:numPr>
      <w:tabs>
        <w:tab w:val="clear" w:pos="340"/>
      </w:tabs>
      <w:spacing w:before="40" w:after="40"/>
    </w:pPr>
  </w:style>
  <w:style w:type="character" w:customStyle="1" w:styleId="SpecialBold">
    <w:name w:val="Special Bold"/>
    <w:rsid w:val="00671B20"/>
    <w:rPr>
      <w:b/>
      <w:spacing w:val="0"/>
    </w:rPr>
  </w:style>
  <w:style w:type="paragraph" w:styleId="ListBullet2">
    <w:name w:val="List Bullet 2"/>
    <w:basedOn w:val="List2"/>
    <w:rsid w:val="00671B20"/>
    <w:pPr>
      <w:numPr>
        <w:numId w:val="14"/>
      </w:numPr>
      <w:tabs>
        <w:tab w:val="clear" w:pos="680"/>
      </w:tabs>
    </w:pPr>
  </w:style>
  <w:style w:type="character" w:styleId="Emphasis">
    <w:name w:val="Emphasis"/>
    <w:qFormat/>
    <w:rsid w:val="00671B20"/>
    <w:rPr>
      <w:i/>
    </w:rPr>
  </w:style>
  <w:style w:type="paragraph" w:customStyle="1" w:styleId="SuperHeading">
    <w:name w:val="SuperHeading"/>
    <w:basedOn w:val="Normal"/>
    <w:rsid w:val="00671B20"/>
    <w:pPr>
      <w:spacing w:before="240" w:after="120"/>
      <w:outlineLvl w:val="0"/>
    </w:pPr>
    <w:rPr>
      <w:rFonts w:ascii="Times New Roman" w:hAnsi="Times New Roman"/>
      <w:b/>
      <w:sz w:val="28"/>
    </w:rPr>
  </w:style>
  <w:style w:type="paragraph" w:customStyle="1" w:styleId="AllowPageBreak">
    <w:name w:val="AllowPageBreak"/>
    <w:rsid w:val="00671B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1B20"/>
    <w:pPr>
      <w:tabs>
        <w:tab w:val="left" w:pos="680"/>
      </w:tabs>
      <w:spacing w:before="60" w:after="60"/>
      <w:ind w:left="680" w:hanging="340"/>
    </w:pPr>
  </w:style>
  <w:style w:type="character" w:customStyle="1" w:styleId="Heading2Char">
    <w:name w:val="Heading 2 Char"/>
    <w:link w:val="Heading2"/>
    <w:rsid w:val="00671B20"/>
    <w:rPr>
      <w:rFonts w:ascii="Times New Roman" w:eastAsia="Times New Roman" w:hAnsi="Times New Roman" w:cs="Times New Roman"/>
      <w:b/>
      <w:sz w:val="28"/>
      <w:szCs w:val="40"/>
      <w:lang w:eastAsia="en-US"/>
    </w:rPr>
  </w:style>
  <w:style w:type="character" w:customStyle="1" w:styleId="Heading3Char">
    <w:name w:val="Heading 3 Char"/>
    <w:link w:val="Heading3"/>
    <w:rsid w:val="00671B2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1B20"/>
    <w:rPr>
      <w:rFonts w:ascii="Times New Roman" w:eastAsia="Times New Roman" w:hAnsi="Times New Roman" w:cs="Times New Roman"/>
      <w:b/>
      <w:szCs w:val="20"/>
      <w:lang w:eastAsia="en-US"/>
    </w:rPr>
  </w:style>
  <w:style w:type="character" w:customStyle="1" w:styleId="Heading5Char">
    <w:name w:val="Heading 5 Char"/>
    <w:link w:val="Heading5"/>
    <w:rsid w:val="00671B2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1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B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1B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1B20"/>
    <w:rPr>
      <w:rFonts w:ascii="Courier New" w:eastAsia="Times New Roman" w:hAnsi="Courier New" w:cs="Times New Roman"/>
      <w:i/>
      <w:szCs w:val="20"/>
      <w:lang w:val="en-US" w:eastAsia="en-US"/>
    </w:rPr>
  </w:style>
  <w:style w:type="paragraph" w:customStyle="1" w:styleId="HeadingBase">
    <w:name w:val="Heading Base"/>
    <w:rsid w:val="00671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B20"/>
    <w:pPr>
      <w:tabs>
        <w:tab w:val="right" w:leader="dot" w:pos="9072"/>
      </w:tabs>
      <w:ind w:left="567"/>
    </w:pPr>
    <w:rPr>
      <w:szCs w:val="22"/>
    </w:rPr>
  </w:style>
  <w:style w:type="paragraph" w:customStyle="1" w:styleId="TOCBase">
    <w:name w:val="TOC Base"/>
    <w:rsid w:val="00671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B20"/>
    <w:pPr>
      <w:tabs>
        <w:tab w:val="right" w:leader="dot" w:pos="9072"/>
      </w:tabs>
      <w:spacing w:before="40" w:after="40"/>
      <w:ind w:left="284"/>
    </w:pPr>
    <w:rPr>
      <w:rFonts w:ascii="Times New Roman" w:hAnsi="Times New Roman"/>
    </w:rPr>
  </w:style>
  <w:style w:type="paragraph" w:styleId="TOC1">
    <w:name w:val="toc 1"/>
    <w:basedOn w:val="TOCBase"/>
    <w:next w:val="Normal"/>
    <w:rsid w:val="00671B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1B20"/>
    <w:pPr>
      <w:spacing w:before="5040"/>
      <w:jc w:val="center"/>
    </w:pPr>
    <w:rPr>
      <w:sz w:val="48"/>
      <w:szCs w:val="72"/>
      <w:lang w:val="en-US"/>
    </w:rPr>
  </w:style>
  <w:style w:type="character" w:customStyle="1" w:styleId="TitleChar">
    <w:name w:val="Title Char"/>
    <w:link w:val="Title"/>
    <w:rsid w:val="00671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B20"/>
    <w:pPr>
      <w:tabs>
        <w:tab w:val="left" w:pos="3600"/>
        <w:tab w:val="left" w:pos="3958"/>
      </w:tabs>
    </w:pPr>
  </w:style>
  <w:style w:type="paragraph" w:customStyle="1" w:styleId="Note">
    <w:name w:val="Note"/>
    <w:basedOn w:val="BodyText"/>
    <w:rsid w:val="00671B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B20"/>
    <w:pPr>
      <w:framePr w:wrap="auto" w:hAnchor="text" w:y="6049"/>
    </w:pPr>
    <w:rPr>
      <w:color w:val="000000"/>
      <w:sz w:val="40"/>
    </w:rPr>
  </w:style>
  <w:style w:type="paragraph" w:customStyle="1" w:styleId="TOCTitle">
    <w:name w:val="TOCTitle"/>
    <w:basedOn w:val="Heading1"/>
    <w:rsid w:val="00671B20"/>
    <w:pPr>
      <w:spacing w:after="240"/>
      <w:jc w:val="center"/>
      <w:outlineLvl w:val="9"/>
    </w:pPr>
    <w:rPr>
      <w:caps/>
    </w:rPr>
  </w:style>
  <w:style w:type="paragraph" w:customStyle="1" w:styleId="Version">
    <w:name w:val="Version"/>
    <w:rsid w:val="00671B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B20"/>
    <w:pPr>
      <w:keepNext w:val="0"/>
      <w:tabs>
        <w:tab w:val="right" w:pos="4176"/>
      </w:tabs>
      <w:ind w:left="198" w:hanging="198"/>
    </w:pPr>
    <w:rPr>
      <w:rFonts w:ascii="Garamond" w:hAnsi="Garamond"/>
    </w:rPr>
  </w:style>
  <w:style w:type="paragraph" w:styleId="IndexHeading">
    <w:name w:val="index heading"/>
    <w:basedOn w:val="Normal"/>
    <w:next w:val="Index1"/>
    <w:semiHidden/>
    <w:rsid w:val="00671B20"/>
    <w:pPr>
      <w:spacing w:before="120" w:after="120"/>
    </w:pPr>
    <w:rPr>
      <w:rFonts w:ascii="Arial" w:hAnsi="Arial"/>
      <w:b/>
      <w:color w:val="918585"/>
      <w:sz w:val="24"/>
    </w:rPr>
  </w:style>
  <w:style w:type="paragraph" w:styleId="Header">
    <w:name w:val="header"/>
    <w:basedOn w:val="Normal"/>
    <w:link w:val="HeaderChar"/>
    <w:rsid w:val="00671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1B20"/>
    <w:rPr>
      <w:rFonts w:ascii="Times New Roman" w:eastAsia="Times New Roman" w:hAnsi="Times New Roman" w:cs="Times New Roman"/>
      <w:sz w:val="16"/>
      <w:szCs w:val="20"/>
      <w:lang w:val="en-GB" w:eastAsia="en-US"/>
    </w:rPr>
  </w:style>
  <w:style w:type="paragraph" w:customStyle="1" w:styleId="Chapter">
    <w:name w:val="Chapter"/>
    <w:basedOn w:val="Normal"/>
    <w:rsid w:val="00671B20"/>
    <w:pPr>
      <w:spacing w:before="240"/>
    </w:pPr>
    <w:rPr>
      <w:rFonts w:ascii="Times New Roman" w:hAnsi="Times New Roman"/>
      <w:smallCaps/>
      <w:spacing w:val="80"/>
      <w:sz w:val="28"/>
    </w:rPr>
  </w:style>
  <w:style w:type="paragraph" w:customStyle="1" w:styleId="InChapter">
    <w:name w:val="InChapter"/>
    <w:basedOn w:val="Heading3"/>
    <w:rsid w:val="00671B20"/>
    <w:pPr>
      <w:spacing w:after="240"/>
      <w:outlineLvl w:val="9"/>
    </w:pPr>
    <w:rPr>
      <w:noProof/>
    </w:rPr>
  </w:style>
  <w:style w:type="paragraph" w:styleId="Index2">
    <w:name w:val="index 2"/>
    <w:basedOn w:val="Normal"/>
    <w:next w:val="Normal"/>
    <w:semiHidden/>
    <w:rsid w:val="00671B20"/>
    <w:pPr>
      <w:tabs>
        <w:tab w:val="right" w:pos="4176"/>
      </w:tabs>
      <w:ind w:left="568" w:hanging="284"/>
    </w:pPr>
    <w:rPr>
      <w:rFonts w:ascii="Garamond" w:hAnsi="Garamond"/>
    </w:rPr>
  </w:style>
  <w:style w:type="paragraph" w:customStyle="1" w:styleId="Byline">
    <w:name w:val="Byline"/>
    <w:rsid w:val="00671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B20"/>
    <w:pPr>
      <w:tabs>
        <w:tab w:val="clear" w:pos="3600"/>
        <w:tab w:val="clear" w:pos="3958"/>
      </w:tabs>
      <w:jc w:val="right"/>
    </w:pPr>
  </w:style>
  <w:style w:type="paragraph" w:styleId="Caption">
    <w:name w:val="caption"/>
    <w:basedOn w:val="BodyText"/>
    <w:next w:val="Normal"/>
    <w:qFormat/>
    <w:rsid w:val="00671B20"/>
    <w:pPr>
      <w:framePr w:w="2268" w:hSpace="181" w:vSpace="181" w:wrap="around" w:vAnchor="text" w:hAnchor="page" w:x="1135" w:y="285" w:anchorLock="1"/>
    </w:pPr>
    <w:rPr>
      <w:i/>
    </w:rPr>
  </w:style>
  <w:style w:type="paragraph" w:customStyle="1" w:styleId="MiniTOCTitle">
    <w:name w:val="MiniTOCTitle"/>
    <w:basedOn w:val="Heading4"/>
    <w:rsid w:val="00671B20"/>
    <w:pPr>
      <w:spacing w:before="240"/>
      <w:outlineLvl w:val="9"/>
    </w:pPr>
    <w:rPr>
      <w:noProof/>
      <w:sz w:val="24"/>
    </w:rPr>
  </w:style>
  <w:style w:type="paragraph" w:customStyle="1" w:styleId="MiniTOCItem">
    <w:name w:val="MiniTOCItem"/>
    <w:basedOn w:val="ListBullet"/>
    <w:rsid w:val="00671B20"/>
    <w:pPr>
      <w:numPr>
        <w:numId w:val="0"/>
      </w:numPr>
      <w:tabs>
        <w:tab w:val="right" w:leader="dot" w:pos="6521"/>
      </w:tabs>
      <w:spacing w:before="0" w:after="0"/>
    </w:pPr>
  </w:style>
  <w:style w:type="paragraph" w:customStyle="1" w:styleId="TOFTitle">
    <w:name w:val="TOFTitle"/>
    <w:basedOn w:val="TOCTitle"/>
    <w:rsid w:val="00671B20"/>
  </w:style>
  <w:style w:type="paragraph" w:styleId="TableofFigures">
    <w:name w:val="table of figures"/>
    <w:basedOn w:val="Normal"/>
    <w:next w:val="Normal"/>
    <w:semiHidden/>
    <w:rsid w:val="00671B20"/>
    <w:pPr>
      <w:tabs>
        <w:tab w:val="right" w:leader="dot" w:pos="9072"/>
      </w:tabs>
      <w:ind w:left="970" w:hanging="403"/>
    </w:pPr>
    <w:rPr>
      <w:rFonts w:ascii="Times New Roman" w:hAnsi="Times New Roman"/>
      <w:b/>
    </w:rPr>
  </w:style>
  <w:style w:type="paragraph" w:styleId="ListNumber">
    <w:name w:val="List Number"/>
    <w:basedOn w:val="List"/>
    <w:rsid w:val="00671B20"/>
    <w:pPr>
      <w:numPr>
        <w:numId w:val="11"/>
      </w:numPr>
    </w:pPr>
  </w:style>
  <w:style w:type="character" w:customStyle="1" w:styleId="WingdingSymbols">
    <w:name w:val="Wingding Symbols"/>
    <w:rsid w:val="00671B20"/>
    <w:rPr>
      <w:rFonts w:ascii="Wingdings" w:hAnsi="Wingdings"/>
    </w:rPr>
  </w:style>
  <w:style w:type="paragraph" w:customStyle="1" w:styleId="TableHeading">
    <w:name w:val="Table Heading"/>
    <w:basedOn w:val="HeadingBase"/>
    <w:rsid w:val="00671B20"/>
    <w:pPr>
      <w:keepLines/>
      <w:pBdr>
        <w:bottom w:val="single" w:sz="6" w:space="1" w:color="918585"/>
      </w:pBdr>
      <w:spacing w:before="240"/>
    </w:pPr>
  </w:style>
  <w:style w:type="character" w:customStyle="1" w:styleId="HotSpot">
    <w:name w:val="HotSpot"/>
    <w:rsid w:val="00671B20"/>
    <w:rPr>
      <w:color w:val="0033CC"/>
      <w:u w:val="none"/>
    </w:rPr>
  </w:style>
  <w:style w:type="paragraph" w:customStyle="1" w:styleId="BodyTextRight">
    <w:name w:val="Body Text Right"/>
    <w:basedOn w:val="BodyText"/>
    <w:rsid w:val="00671B20"/>
    <w:pPr>
      <w:spacing w:before="0" w:after="0"/>
      <w:jc w:val="right"/>
    </w:pPr>
  </w:style>
  <w:style w:type="paragraph" w:styleId="Index3">
    <w:name w:val="index 3"/>
    <w:basedOn w:val="ListNumber2"/>
    <w:next w:val="Normal"/>
    <w:semiHidden/>
    <w:rsid w:val="00671B20"/>
    <w:pPr>
      <w:numPr>
        <w:numId w:val="0"/>
      </w:numPr>
      <w:tabs>
        <w:tab w:val="right" w:leader="dot" w:pos="4176"/>
      </w:tabs>
    </w:pPr>
  </w:style>
  <w:style w:type="paragraph" w:styleId="ListNumber2">
    <w:name w:val="List Number 2"/>
    <w:basedOn w:val="List2"/>
    <w:rsid w:val="00671B20"/>
    <w:pPr>
      <w:numPr>
        <w:numId w:val="10"/>
      </w:numPr>
      <w:tabs>
        <w:tab w:val="clear" w:pos="1060"/>
      </w:tabs>
    </w:pPr>
  </w:style>
  <w:style w:type="paragraph" w:customStyle="1" w:styleId="MarginNote">
    <w:name w:val="Margin Note"/>
    <w:basedOn w:val="BodyText"/>
    <w:rsid w:val="00671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1B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1B20"/>
    <w:rPr>
      <w:sz w:val="32"/>
    </w:rPr>
  </w:style>
  <w:style w:type="paragraph" w:customStyle="1" w:styleId="HeadingProcedure">
    <w:name w:val="Heading Procedure"/>
    <w:basedOn w:val="HeadingBase"/>
    <w:next w:val="Normal"/>
    <w:rsid w:val="00671B20"/>
    <w:pPr>
      <w:tabs>
        <w:tab w:val="left" w:pos="0"/>
      </w:tabs>
      <w:spacing w:before="120" w:after="60"/>
    </w:pPr>
    <w:rPr>
      <w:i/>
      <w:color w:val="918585"/>
      <w:sz w:val="22"/>
    </w:rPr>
  </w:style>
  <w:style w:type="paragraph" w:customStyle="1" w:styleId="TableBodyText">
    <w:name w:val="Table Body Text"/>
    <w:basedOn w:val="BodyText"/>
    <w:rsid w:val="00671B20"/>
    <w:pPr>
      <w:spacing w:before="60" w:after="60"/>
    </w:pPr>
  </w:style>
  <w:style w:type="paragraph" w:styleId="ListContinue">
    <w:name w:val="List Continue"/>
    <w:basedOn w:val="List"/>
    <w:rsid w:val="00671B20"/>
    <w:pPr>
      <w:ind w:firstLine="0"/>
    </w:pPr>
  </w:style>
  <w:style w:type="paragraph" w:customStyle="1" w:styleId="ListNote">
    <w:name w:val="List Note"/>
    <w:basedOn w:val="List"/>
    <w:rsid w:val="00671B20"/>
    <w:pPr>
      <w:pBdr>
        <w:top w:val="single" w:sz="6" w:space="2" w:color="918585"/>
        <w:bottom w:val="single" w:sz="6" w:space="2" w:color="918585"/>
      </w:pBdr>
      <w:tabs>
        <w:tab w:val="left" w:pos="1021"/>
      </w:tabs>
      <w:ind w:firstLine="0"/>
    </w:pPr>
  </w:style>
  <w:style w:type="paragraph" w:customStyle="1" w:styleId="Warning">
    <w:name w:val="Warning"/>
    <w:basedOn w:val="BodyText"/>
    <w:rsid w:val="00671B20"/>
    <w:pPr>
      <w:shd w:val="clear" w:color="auto" w:fill="D9D9D9"/>
      <w:tabs>
        <w:tab w:val="left" w:pos="992"/>
      </w:tabs>
      <w:ind w:left="119" w:right="119"/>
    </w:pPr>
    <w:rPr>
      <w:sz w:val="20"/>
    </w:rPr>
  </w:style>
  <w:style w:type="paragraph" w:customStyle="1" w:styleId="MarginIcons">
    <w:name w:val="Margin Icons"/>
    <w:basedOn w:val="BodyText"/>
    <w:rsid w:val="00671B2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1B20"/>
    <w:rPr>
      <w:rFonts w:ascii="Courier New" w:hAnsi="Courier New"/>
    </w:rPr>
  </w:style>
  <w:style w:type="paragraph" w:customStyle="1" w:styleId="NoteBullet">
    <w:name w:val="Note Bullet"/>
    <w:basedOn w:val="Note"/>
    <w:rsid w:val="00671B20"/>
    <w:pPr>
      <w:tabs>
        <w:tab w:val="clear" w:pos="680"/>
      </w:tabs>
      <w:spacing w:before="60" w:after="60"/>
    </w:pPr>
  </w:style>
  <w:style w:type="paragraph" w:customStyle="1" w:styleId="SubHeading2">
    <w:name w:val="SubHeading2"/>
    <w:basedOn w:val="HeadingBase"/>
    <w:rsid w:val="00671B20"/>
    <w:pPr>
      <w:spacing w:before="240" w:after="60"/>
    </w:pPr>
    <w:rPr>
      <w:sz w:val="20"/>
    </w:rPr>
  </w:style>
  <w:style w:type="paragraph" w:customStyle="1" w:styleId="SubHeading1">
    <w:name w:val="SubHeading1"/>
    <w:basedOn w:val="HeadingBase"/>
    <w:rsid w:val="00671B20"/>
    <w:pPr>
      <w:spacing w:before="240" w:after="60"/>
    </w:pPr>
    <w:rPr>
      <w:color w:val="918585"/>
      <w:sz w:val="22"/>
    </w:rPr>
  </w:style>
  <w:style w:type="paragraph" w:customStyle="1" w:styleId="SideHeading">
    <w:name w:val="Side Heading"/>
    <w:basedOn w:val="HeadingBase"/>
    <w:rsid w:val="00671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B20"/>
    <w:pPr>
      <w:numPr>
        <w:numId w:val="12"/>
      </w:numPr>
    </w:pPr>
  </w:style>
  <w:style w:type="paragraph" w:styleId="PlainText">
    <w:name w:val="Plain Text"/>
    <w:basedOn w:val="Normal"/>
    <w:link w:val="PlainTextChar"/>
    <w:rsid w:val="00671B20"/>
    <w:rPr>
      <w:sz w:val="20"/>
    </w:rPr>
  </w:style>
  <w:style w:type="character" w:customStyle="1" w:styleId="PlainTextChar">
    <w:name w:val="Plain Text Char"/>
    <w:basedOn w:val="DefaultParagraphFont"/>
    <w:link w:val="PlainText"/>
    <w:rsid w:val="00671B20"/>
    <w:rPr>
      <w:rFonts w:ascii="Courier New" w:eastAsia="Times New Roman" w:hAnsi="Courier New" w:cs="Times New Roman"/>
      <w:sz w:val="20"/>
      <w:szCs w:val="20"/>
      <w:lang w:val="en-US" w:eastAsia="en-US"/>
    </w:rPr>
  </w:style>
  <w:style w:type="character" w:customStyle="1" w:styleId="MenuOption">
    <w:name w:val="Menu Option"/>
    <w:rsid w:val="00671B20"/>
    <w:rPr>
      <w:b/>
      <w:smallCaps/>
    </w:rPr>
  </w:style>
  <w:style w:type="paragraph" w:customStyle="1" w:styleId="TableListNumber">
    <w:name w:val="Table List Number"/>
    <w:basedOn w:val="ListNumber"/>
    <w:rsid w:val="00671B20"/>
    <w:pPr>
      <w:numPr>
        <w:numId w:val="0"/>
      </w:numPr>
    </w:pPr>
  </w:style>
  <w:style w:type="paragraph" w:styleId="TOC4">
    <w:name w:val="toc 4"/>
    <w:basedOn w:val="TOCBase"/>
    <w:next w:val="Normal"/>
    <w:semiHidden/>
    <w:rsid w:val="00671B20"/>
    <w:pPr>
      <w:tabs>
        <w:tab w:val="right" w:leader="dot" w:pos="9071"/>
      </w:tabs>
      <w:ind w:left="1701"/>
    </w:pPr>
  </w:style>
  <w:style w:type="paragraph" w:customStyle="1" w:styleId="ListAlpha">
    <w:name w:val="List Alpha"/>
    <w:basedOn w:val="List"/>
    <w:rsid w:val="00671B20"/>
    <w:pPr>
      <w:numPr>
        <w:numId w:val="9"/>
      </w:numPr>
    </w:pPr>
  </w:style>
  <w:style w:type="paragraph" w:customStyle="1" w:styleId="ListAlpha2">
    <w:name w:val="List Alpha 2"/>
    <w:basedOn w:val="List2"/>
    <w:rsid w:val="00671B20"/>
    <w:pPr>
      <w:numPr>
        <w:numId w:val="8"/>
      </w:numPr>
    </w:pPr>
  </w:style>
  <w:style w:type="paragraph" w:styleId="List3">
    <w:name w:val="List 3"/>
    <w:basedOn w:val="BodyText"/>
    <w:rsid w:val="00671B20"/>
    <w:pPr>
      <w:tabs>
        <w:tab w:val="left" w:pos="1021"/>
      </w:tabs>
      <w:spacing w:before="60" w:after="60"/>
      <w:ind w:left="1020" w:hanging="340"/>
    </w:pPr>
  </w:style>
  <w:style w:type="paragraph" w:styleId="List4">
    <w:name w:val="List 4"/>
    <w:basedOn w:val="BodyText"/>
    <w:rsid w:val="00671B20"/>
    <w:pPr>
      <w:tabs>
        <w:tab w:val="left" w:pos="1361"/>
      </w:tabs>
      <w:spacing w:before="60" w:after="60"/>
      <w:ind w:left="1361" w:hanging="340"/>
    </w:pPr>
  </w:style>
  <w:style w:type="paragraph" w:styleId="List5">
    <w:name w:val="List 5"/>
    <w:basedOn w:val="BodyText"/>
    <w:rsid w:val="00671B20"/>
    <w:pPr>
      <w:tabs>
        <w:tab w:val="left" w:pos="1701"/>
      </w:tabs>
      <w:spacing w:before="60" w:after="60"/>
      <w:ind w:left="1701" w:hanging="340"/>
    </w:pPr>
  </w:style>
  <w:style w:type="paragraph" w:styleId="ListBullet3">
    <w:name w:val="List Bullet 3"/>
    <w:basedOn w:val="List3"/>
    <w:rsid w:val="00671B20"/>
    <w:pPr>
      <w:numPr>
        <w:numId w:val="15"/>
      </w:numPr>
      <w:tabs>
        <w:tab w:val="clear" w:pos="1021"/>
      </w:tabs>
      <w:ind w:left="1037" w:hanging="357"/>
    </w:pPr>
  </w:style>
  <w:style w:type="paragraph" w:styleId="ListBullet4">
    <w:name w:val="List Bullet 4"/>
    <w:basedOn w:val="List4"/>
    <w:rsid w:val="00671B20"/>
    <w:pPr>
      <w:numPr>
        <w:numId w:val="3"/>
      </w:numPr>
    </w:pPr>
  </w:style>
  <w:style w:type="paragraph" w:styleId="ListBullet5">
    <w:name w:val="List Bullet 5"/>
    <w:basedOn w:val="List5"/>
    <w:rsid w:val="00671B20"/>
    <w:pPr>
      <w:numPr>
        <w:numId w:val="4"/>
      </w:numPr>
    </w:pPr>
  </w:style>
  <w:style w:type="paragraph" w:styleId="ListContinue2">
    <w:name w:val="List Continue 2"/>
    <w:basedOn w:val="List2"/>
    <w:rsid w:val="00671B20"/>
    <w:pPr>
      <w:ind w:firstLine="0"/>
    </w:pPr>
  </w:style>
  <w:style w:type="paragraph" w:styleId="ListContinue3">
    <w:name w:val="List Continue 3"/>
    <w:basedOn w:val="List3"/>
    <w:rsid w:val="00671B20"/>
    <w:pPr>
      <w:ind w:left="1021" w:firstLine="0"/>
    </w:pPr>
  </w:style>
  <w:style w:type="paragraph" w:styleId="ListContinue4">
    <w:name w:val="List Continue 4"/>
    <w:basedOn w:val="List4"/>
    <w:rsid w:val="00671B20"/>
    <w:pPr>
      <w:ind w:firstLine="0"/>
    </w:pPr>
  </w:style>
  <w:style w:type="paragraph" w:styleId="ListContinue5">
    <w:name w:val="List Continue 5"/>
    <w:basedOn w:val="List5"/>
    <w:rsid w:val="00671B20"/>
    <w:pPr>
      <w:ind w:firstLine="0"/>
    </w:pPr>
  </w:style>
  <w:style w:type="paragraph" w:styleId="ListNumber3">
    <w:name w:val="List Number 3"/>
    <w:basedOn w:val="List3"/>
    <w:rsid w:val="00671B20"/>
    <w:pPr>
      <w:numPr>
        <w:numId w:val="5"/>
      </w:numPr>
    </w:pPr>
  </w:style>
  <w:style w:type="paragraph" w:styleId="ListNumber4">
    <w:name w:val="List Number 4"/>
    <w:basedOn w:val="List4"/>
    <w:rsid w:val="00671B20"/>
    <w:pPr>
      <w:numPr>
        <w:numId w:val="6"/>
      </w:numPr>
    </w:pPr>
  </w:style>
  <w:style w:type="paragraph" w:styleId="ListNumber5">
    <w:name w:val="List Number 5"/>
    <w:basedOn w:val="List5"/>
    <w:rsid w:val="00671B20"/>
    <w:pPr>
      <w:numPr>
        <w:numId w:val="7"/>
      </w:numPr>
    </w:pPr>
  </w:style>
  <w:style w:type="paragraph" w:styleId="BlockText">
    <w:name w:val="Block Text"/>
    <w:basedOn w:val="Normal"/>
    <w:rsid w:val="00671B20"/>
    <w:pPr>
      <w:spacing w:after="120"/>
      <w:ind w:left="1440" w:right="1440"/>
    </w:pPr>
  </w:style>
  <w:style w:type="character" w:customStyle="1" w:styleId="Subscript">
    <w:name w:val="Subscript"/>
    <w:rsid w:val="00671B20"/>
    <w:rPr>
      <w:sz w:val="16"/>
      <w:vertAlign w:val="subscript"/>
    </w:rPr>
  </w:style>
  <w:style w:type="character" w:customStyle="1" w:styleId="Superscript">
    <w:name w:val="Superscript"/>
    <w:rsid w:val="00671B20"/>
    <w:rPr>
      <w:sz w:val="16"/>
      <w:vertAlign w:val="superscript"/>
    </w:rPr>
  </w:style>
  <w:style w:type="character" w:customStyle="1" w:styleId="Symbols">
    <w:name w:val="Symbols"/>
    <w:rsid w:val="00671B20"/>
    <w:rPr>
      <w:rFonts w:ascii="Symbol" w:hAnsi="Symbol"/>
    </w:rPr>
  </w:style>
  <w:style w:type="character" w:customStyle="1" w:styleId="MenuOptions">
    <w:name w:val="Menu Options"/>
    <w:rsid w:val="00671B20"/>
    <w:rPr>
      <w:rFonts w:ascii="Arial Narrow" w:hAnsi="Arial Narrow"/>
      <w:smallCaps/>
    </w:rPr>
  </w:style>
  <w:style w:type="character" w:customStyle="1" w:styleId="Buttons">
    <w:name w:val="Buttons"/>
    <w:rsid w:val="00671B20"/>
    <w:rPr>
      <w:b/>
    </w:rPr>
  </w:style>
  <w:style w:type="character" w:customStyle="1" w:styleId="Underlined">
    <w:name w:val="Underlined"/>
    <w:rsid w:val="00671B20"/>
    <w:rPr>
      <w:u w:val="single"/>
    </w:rPr>
  </w:style>
  <w:style w:type="paragraph" w:customStyle="1" w:styleId="TableBodyTextRight">
    <w:name w:val="Table Body Text Right"/>
    <w:basedOn w:val="TableBodyText"/>
    <w:rsid w:val="00671B20"/>
    <w:pPr>
      <w:widowControl w:val="0"/>
      <w:autoSpaceDE w:val="0"/>
      <w:autoSpaceDN w:val="0"/>
      <w:adjustRightInd w:val="0"/>
      <w:jc w:val="right"/>
    </w:pPr>
    <w:rPr>
      <w:rFonts w:cs="Arial"/>
      <w:szCs w:val="18"/>
    </w:rPr>
  </w:style>
  <w:style w:type="paragraph" w:customStyle="1" w:styleId="CopyrightText">
    <w:name w:val="Copyright Text"/>
    <w:basedOn w:val="BodyText"/>
    <w:rsid w:val="00671B20"/>
    <w:rPr>
      <w:sz w:val="18"/>
    </w:rPr>
  </w:style>
  <w:style w:type="paragraph" w:customStyle="1" w:styleId="BodySmallRight">
    <w:name w:val="Body Small Right"/>
    <w:basedOn w:val="BodyTextRight"/>
    <w:rsid w:val="00671B20"/>
    <w:rPr>
      <w:sz w:val="18"/>
      <w:szCs w:val="18"/>
    </w:rPr>
  </w:style>
  <w:style w:type="paragraph" w:customStyle="1" w:styleId="MarginEdition">
    <w:name w:val="Margin Edition"/>
    <w:basedOn w:val="MarginNote"/>
    <w:rsid w:val="00671B20"/>
    <w:pPr>
      <w:spacing w:before="0" w:after="0"/>
    </w:pPr>
    <w:rPr>
      <w:rFonts w:ascii="Times New Roman" w:hAnsi="Times New Roman"/>
      <w:color w:val="999999"/>
    </w:rPr>
  </w:style>
  <w:style w:type="paragraph" w:customStyle="1" w:styleId="Spacer">
    <w:name w:val="Spacer"/>
    <w:basedOn w:val="Normal"/>
    <w:rsid w:val="00671B20"/>
    <w:rPr>
      <w:sz w:val="2"/>
      <w:szCs w:val="2"/>
    </w:rPr>
  </w:style>
  <w:style w:type="character" w:customStyle="1" w:styleId="Small">
    <w:name w:val="Small"/>
    <w:rsid w:val="00671B20"/>
    <w:rPr>
      <w:sz w:val="16"/>
    </w:rPr>
  </w:style>
  <w:style w:type="paragraph" w:customStyle="1" w:styleId="WideTable">
    <w:name w:val="Wide Table"/>
    <w:basedOn w:val="Normal"/>
    <w:rsid w:val="00671B20"/>
    <w:pPr>
      <w:ind w:left="-1418"/>
    </w:pPr>
    <w:rPr>
      <w:sz w:val="2"/>
      <w:szCs w:val="2"/>
    </w:rPr>
  </w:style>
  <w:style w:type="character" w:styleId="PageNumber">
    <w:name w:val="page number"/>
    <w:rsid w:val="00671B20"/>
  </w:style>
  <w:style w:type="paragraph" w:styleId="Quote">
    <w:name w:val="Quote"/>
    <w:basedOn w:val="Heading1"/>
    <w:link w:val="QuoteChar"/>
    <w:qFormat/>
    <w:rsid w:val="00671B20"/>
    <w:rPr>
      <w:b w:val="0"/>
      <w:sz w:val="72"/>
      <w:szCs w:val="72"/>
      <w:lang w:val="en-NZ"/>
    </w:rPr>
  </w:style>
  <w:style w:type="character" w:customStyle="1" w:styleId="QuoteChar">
    <w:name w:val="Quote Char"/>
    <w:link w:val="Quote"/>
    <w:rsid w:val="00671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B20"/>
    <w:pPr>
      <w:pageBreakBefore/>
    </w:pPr>
  </w:style>
  <w:style w:type="paragraph" w:customStyle="1" w:styleId="Border">
    <w:name w:val="Border"/>
    <w:basedOn w:val="Normal"/>
    <w:qFormat/>
    <w:rsid w:val="00671B20"/>
    <w:pPr>
      <w:pBdr>
        <w:top w:val="single" w:sz="18" w:space="1" w:color="auto"/>
      </w:pBdr>
    </w:pPr>
    <w:rPr>
      <w:rFonts w:ascii="Times New Roman" w:hAnsi="Times New Roman"/>
      <w:color w:val="FFFFFF"/>
      <w:sz w:val="2"/>
    </w:rPr>
  </w:style>
  <w:style w:type="character" w:styleId="IntenseEmphasis">
    <w:name w:val="Intense Emphasis"/>
    <w:uiPriority w:val="21"/>
    <w:qFormat/>
    <w:rsid w:val="00671B20"/>
    <w:rPr>
      <w:b/>
      <w:bCs/>
      <w:i/>
      <w:iCs/>
      <w:color w:val="auto"/>
    </w:rPr>
  </w:style>
  <w:style w:type="paragraph" w:styleId="IntenseQuote">
    <w:name w:val="Intense Quote"/>
    <w:basedOn w:val="Normal"/>
    <w:next w:val="Normal"/>
    <w:link w:val="IntenseQuoteChar"/>
    <w:uiPriority w:val="30"/>
    <w:qFormat/>
    <w:rsid w:val="00671B2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1B20"/>
    <w:rPr>
      <w:rFonts w:ascii="Courier New" w:eastAsia="Times New Roman" w:hAnsi="Courier New" w:cs="Times New Roman"/>
      <w:b/>
      <w:bCs/>
      <w:i/>
      <w:iCs/>
      <w:szCs w:val="20"/>
      <w:lang w:val="en-US" w:eastAsia="en-US"/>
    </w:rPr>
  </w:style>
  <w:style w:type="character" w:styleId="SubtleReference">
    <w:name w:val="Subtle Reference"/>
    <w:uiPriority w:val="31"/>
    <w:qFormat/>
    <w:rsid w:val="00671B20"/>
    <w:rPr>
      <w:smallCaps/>
      <w:color w:val="auto"/>
      <w:u w:val="single"/>
    </w:rPr>
  </w:style>
  <w:style w:type="character" w:styleId="IntenseReference">
    <w:name w:val="Intense Reference"/>
    <w:uiPriority w:val="32"/>
    <w:qFormat/>
    <w:rsid w:val="00671B20"/>
    <w:rPr>
      <w:b/>
      <w:bCs/>
      <w:smallCaps/>
      <w:color w:val="auto"/>
      <w:spacing w:val="5"/>
      <w:u w:val="single"/>
    </w:rPr>
  </w:style>
  <w:style w:type="paragraph" w:customStyle="1" w:styleId="2ColumnHeading">
    <w:name w:val="2Column Heading"/>
    <w:basedOn w:val="BodyText"/>
    <w:qFormat/>
    <w:rsid w:val="00671B20"/>
    <w:pPr>
      <w:spacing w:after="60"/>
      <w:ind w:left="-2268"/>
    </w:pPr>
    <w:rPr>
      <w:b/>
    </w:rPr>
  </w:style>
  <w:style w:type="paragraph" w:customStyle="1" w:styleId="Heading1TOC">
    <w:name w:val="Heading1 TOC"/>
    <w:basedOn w:val="Normal"/>
    <w:qFormat/>
    <w:rsid w:val="00671B20"/>
    <w:pPr>
      <w:spacing w:before="240" w:after="120"/>
    </w:pPr>
    <w:rPr>
      <w:rFonts w:ascii="Times New Roman" w:hAnsi="Times New Roman"/>
      <w:b/>
      <w:sz w:val="32"/>
    </w:rPr>
  </w:style>
  <w:style w:type="paragraph" w:customStyle="1" w:styleId="Heading2TOC">
    <w:name w:val="Heading2 TOC"/>
    <w:basedOn w:val="Normal"/>
    <w:qFormat/>
    <w:rsid w:val="00671B20"/>
    <w:pPr>
      <w:spacing w:before="240" w:after="60"/>
    </w:pPr>
    <w:rPr>
      <w:rFonts w:ascii="Times New Roman" w:hAnsi="Times New Roman"/>
      <w:b/>
      <w:sz w:val="28"/>
    </w:rPr>
  </w:style>
  <w:style w:type="character" w:customStyle="1" w:styleId="Underline">
    <w:name w:val="Underline"/>
    <w:qFormat/>
    <w:rsid w:val="00671B20"/>
    <w:rPr>
      <w:u w:val="single"/>
    </w:rPr>
  </w:style>
  <w:style w:type="character" w:customStyle="1" w:styleId="BoldandItalics">
    <w:name w:val="Bold and Italics"/>
    <w:qFormat/>
    <w:rsid w:val="00671B20"/>
    <w:rPr>
      <w:b/>
      <w:i/>
      <w:u w:val="none"/>
    </w:rPr>
  </w:style>
  <w:style w:type="paragraph" w:styleId="BalloonText">
    <w:name w:val="Balloon Text"/>
    <w:basedOn w:val="Normal"/>
    <w:link w:val="BalloonTextChar"/>
    <w:rsid w:val="00671B20"/>
    <w:rPr>
      <w:rFonts w:ascii="Tahoma" w:hAnsi="Tahoma" w:cs="Tahoma"/>
      <w:sz w:val="16"/>
      <w:szCs w:val="16"/>
    </w:rPr>
  </w:style>
  <w:style w:type="character" w:customStyle="1" w:styleId="BalloonTextChar">
    <w:name w:val="Balloon Text Char"/>
    <w:link w:val="BalloonText"/>
    <w:rsid w:val="00671B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1B2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1B2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2027</Words>
  <Characters>13414</Characters>
  <Application>Microsoft Office Word</Application>
  <DocSecurity>0</DocSecurity>
  <Lines>458</Lines>
  <Paragraphs>223</Paragraphs>
  <ScaleCrop>false</ScaleCrop>
  <Company>Author-it Software Corporation Ltd.</Company>
  <LinksUpToDate>false</LinksUpToDate>
  <CharactersWithSpaces>15353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MSL935004A Maintain instruments and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