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2D1E" w:rsidP="00152D1E">
      <w:pPr>
        <w:pStyle w:val="Title"/>
      </w:pPr>
      <w:r>
        <w:fldChar w:fldCharType="begin"/>
      </w:r>
      <w:r>
        <w:instrText xml:space="preserve"> TITLE   \* MERGEFORMAT </w:instrText>
      </w:r>
      <w:r>
        <w:fldChar w:fldCharType="separate"/>
      </w:r>
      <w:r>
        <w:t>MSL935002A Assist in the maintenance of reference materials</w:t>
      </w:r>
      <w:r>
        <w:fldChar w:fldCharType="end"/>
      </w:r>
    </w:p>
    <w:p w:rsidR="00152D1E" w:rsidP="00152D1E">
      <w:pPr>
        <w:pStyle w:val="Version"/>
        <w:sectPr w:rsidSect="00216E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16EC1" w:rsidP="00216EC1">
      <w:pPr>
        <w:pStyle w:val="SuperHeading"/>
      </w:pPr>
      <w:r w:rsidRPr="00216EC1">
        <w:t>MSL935002A Assist in the maintenance of reference materials</w:t>
      </w:r>
    </w:p>
    <w:p w:rsidR="00000000" w:rsidRPr="00216EC1" w:rsidP="00216EC1">
      <w:pPr>
        <w:pStyle w:val="SuperHeading"/>
      </w:pPr>
    </w:p>
    <w:p w:rsidR="00000000" w:rsidRPr="00216EC1" w:rsidP="00216EC1">
      <w:pPr>
        <w:pStyle w:val="Heading1"/>
      </w:pPr>
      <w:bookmarkStart w:id="1" w:name="O_102915"/>
      <w:bookmarkEnd w:id="1"/>
      <w:r w:rsidRPr="00216EC1">
        <w:t>Modification History</w:t>
      </w:r>
    </w:p>
    <w:p w:rsidR="00000000" w:rsidRPr="00216EC1" w:rsidP="00216EC1">
      <w:pPr>
        <w:pStyle w:val="BodyText"/>
      </w:pPr>
      <w:r w:rsidRPr="00216EC1">
        <w:t>Not applicable.</w:t>
      </w:r>
    </w:p>
    <w:p w:rsidR="00000000" w:rsidRPr="00216EC1" w:rsidP="00216EC1">
      <w:pPr>
        <w:pStyle w:val="AllowPageBreak"/>
      </w:pPr>
    </w:p>
    <w:p w:rsidR="00000000" w:rsidRPr="00216EC1" w:rsidP="00216EC1">
      <w:pPr>
        <w:pStyle w:val="Heading1"/>
      </w:pPr>
      <w:bookmarkStart w:id="2" w:name="O_102916"/>
      <w:bookmarkEnd w:id="2"/>
      <w:r w:rsidRPr="00216EC1">
        <w:t>Unit Descriptor</w:t>
      </w:r>
    </w:p>
    <w:tbl>
      <w:tblPr>
        <w:tblW w:w="0" w:type="auto"/>
        <w:tblLayout w:type="fixed"/>
        <w:tblCellMar>
          <w:left w:w="62" w:type="dxa"/>
          <w:right w:w="62" w:type="dxa"/>
        </w:tblCellMar>
        <w:tblLook w:val="0000"/>
      </w:tblPr>
      <w:tblGrid>
        <w:gridCol w:w="2670"/>
        <w:gridCol w:w="5852"/>
      </w:tblGrid>
      <w:tr w:rsidTr="00152D1E">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C1">
            <w:pPr>
              <w:pStyle w:val="BodyText"/>
              <w:rPr>
                <w:lang w:val="en-NZ"/>
              </w:rPr>
            </w:pPr>
            <w:r w:rsidRPr="00216EC1">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C1" w:rsidP="00216EC1">
            <w:pPr>
              <w:pStyle w:val="BodyText"/>
            </w:pPr>
            <w:r w:rsidRPr="00216EC1">
              <w:t>This unit of competency covers the ability to assist in the maintenance of reference mate</w:t>
            </w:r>
            <w:r w:rsidRPr="00216EC1">
              <w:t>rials that can be used in the identification of new specimens and allow for the quality control of laboratory procedures. The unit of competency does not cover the scientific identification of species or specimens.</w:t>
            </w:r>
          </w:p>
        </w:tc>
      </w:tr>
    </w:tbl>
    <w:p w:rsidR="00000000" w:rsidRPr="00216EC1" w:rsidP="00216EC1">
      <w:pPr>
        <w:pStyle w:val="BodyText"/>
      </w:pPr>
    </w:p>
    <w:p w:rsidR="00000000" w:rsidRPr="00216EC1" w:rsidP="00216EC1">
      <w:pPr>
        <w:pStyle w:val="AllowPageBreak"/>
      </w:pPr>
    </w:p>
    <w:p w:rsidR="00000000" w:rsidRPr="00216EC1" w:rsidP="00216EC1">
      <w:pPr>
        <w:pStyle w:val="Heading1"/>
      </w:pPr>
      <w:bookmarkStart w:id="3" w:name="O_102917"/>
      <w:bookmarkEnd w:id="3"/>
      <w:r w:rsidRPr="00216EC1">
        <w:t>Application of the Unit</w:t>
      </w:r>
    </w:p>
    <w:tbl>
      <w:tblPr>
        <w:tblW w:w="0" w:type="auto"/>
        <w:tblLayout w:type="fixed"/>
        <w:tblCellMar>
          <w:left w:w="62" w:type="dxa"/>
          <w:right w:w="62" w:type="dxa"/>
        </w:tblCellMar>
        <w:tblLook w:val="0000"/>
      </w:tblPr>
      <w:tblGrid>
        <w:gridCol w:w="2752"/>
        <w:gridCol w:w="5770"/>
      </w:tblGrid>
      <w:tr w:rsidTr="00152D1E">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C1">
            <w:pPr>
              <w:pStyle w:val="BodyText"/>
              <w:rPr>
                <w:lang w:val="en-NZ"/>
              </w:rPr>
            </w:pPr>
            <w:r w:rsidRPr="00216EC1">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C1" w:rsidP="00216EC1">
            <w:pPr>
              <w:pStyle w:val="BodyText"/>
            </w:pPr>
            <w:r w:rsidRPr="00216EC1">
              <w:t>This unit of competency is applicable to technical officers and laboratory technicians working in all industry sectors.</w:t>
            </w:r>
          </w:p>
          <w:p w:rsidR="00000000" w:rsidRPr="00216EC1" w:rsidP="00216EC1">
            <w:pPr>
              <w:pStyle w:val="BodyText"/>
            </w:pPr>
            <w:r w:rsidRPr="00216EC1">
              <w:t>Industry representatives have provided case studies to illustrate the practical applicat</w:t>
            </w:r>
            <w:r w:rsidRPr="00216EC1">
              <w:t>ion of this unit of competency and to show its relevance in a workplace setting. These can be found at the end of this unit of competency under the section 'This competency in practice'.</w:t>
            </w:r>
          </w:p>
        </w:tc>
      </w:tr>
    </w:tbl>
    <w:p w:rsidR="00000000" w:rsidRPr="00216EC1" w:rsidP="00216EC1">
      <w:pPr>
        <w:pStyle w:val="BodyText"/>
      </w:pPr>
    </w:p>
    <w:p w:rsidR="00000000" w:rsidRPr="00216EC1" w:rsidP="00216EC1">
      <w:pPr>
        <w:pStyle w:val="AllowPageBreak"/>
      </w:pPr>
    </w:p>
    <w:p w:rsidR="00000000" w:rsidRPr="00216EC1" w:rsidP="00216EC1">
      <w:pPr>
        <w:pStyle w:val="Heading1"/>
      </w:pPr>
      <w:bookmarkStart w:id="4" w:name="O_102918"/>
      <w:bookmarkEnd w:id="4"/>
      <w:r w:rsidRPr="00216EC1">
        <w:t>Licensing/Regulatory Information</w:t>
      </w:r>
    </w:p>
    <w:p w:rsidR="00000000" w:rsidRPr="00216EC1" w:rsidP="00216EC1">
      <w:pPr>
        <w:pStyle w:val="BodyText"/>
      </w:pPr>
      <w:r w:rsidRPr="00216EC1">
        <w:t>Not applicable.</w:t>
      </w:r>
    </w:p>
    <w:p w:rsidR="00000000" w:rsidRPr="00216EC1" w:rsidP="00216EC1">
      <w:pPr>
        <w:pStyle w:val="AllowPageBreak"/>
      </w:pPr>
    </w:p>
    <w:p w:rsidR="00000000" w:rsidRPr="00216EC1" w:rsidP="00216EC1">
      <w:pPr>
        <w:pStyle w:val="Heading1"/>
      </w:pPr>
      <w:bookmarkStart w:id="5" w:name="O_102919"/>
      <w:bookmarkEnd w:id="5"/>
      <w:r w:rsidRPr="00216EC1">
        <w:t>Pre-Requisites</w:t>
      </w:r>
    </w:p>
    <w:tbl>
      <w:tblPr>
        <w:tblW w:w="0" w:type="auto"/>
        <w:tblLayout w:type="fixed"/>
        <w:tblCellMar>
          <w:left w:w="62" w:type="dxa"/>
          <w:right w:w="62" w:type="dxa"/>
        </w:tblCellMar>
        <w:tblLook w:val="0000"/>
      </w:tblPr>
      <w:tblGrid>
        <w:gridCol w:w="2775"/>
        <w:gridCol w:w="1295"/>
        <w:gridCol w:w="4452"/>
      </w:tblGrid>
      <w:tr w:rsidTr="00152D1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C1">
            <w:pPr>
              <w:pStyle w:val="BodyText"/>
              <w:rPr>
                <w:lang w:val="en-NZ"/>
              </w:rPr>
            </w:pPr>
            <w:r w:rsidRPr="00216EC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C1">
            <w:pPr>
              <w:pStyle w:val="BodyText"/>
              <w:rPr>
                <w:lang w:val="en-NZ"/>
              </w:rPr>
            </w:pPr>
          </w:p>
        </w:tc>
      </w:tr>
      <w:tr w:rsidTr="00152D1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C1">
            <w:pPr>
              <w:pStyle w:val="BodyText"/>
              <w:rPr>
                <w:lang w:val="en-NZ"/>
              </w:rPr>
            </w:pPr>
          </w:p>
        </w:tc>
      </w:tr>
      <w:tr w:rsidTr="00152D1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C1" w:rsidP="00216EC1">
            <w:pPr>
              <w:pStyle w:val="BodyText"/>
            </w:pPr>
          </w:p>
        </w:tc>
      </w:tr>
    </w:tbl>
    <w:p w:rsidR="00000000" w:rsidRPr="00216EC1" w:rsidP="00216EC1">
      <w:pPr>
        <w:pStyle w:val="BodyText"/>
      </w:pPr>
    </w:p>
    <w:p w:rsidR="00000000" w:rsidRPr="00216EC1" w:rsidP="00216EC1">
      <w:pPr>
        <w:pStyle w:val="AllowPageBreak"/>
      </w:pPr>
    </w:p>
    <w:p w:rsidR="00000000" w:rsidRPr="00216EC1" w:rsidP="00216EC1">
      <w:pPr>
        <w:pStyle w:val="Heading1"/>
      </w:pPr>
      <w:bookmarkStart w:id="6" w:name="O_102920"/>
      <w:bookmarkEnd w:id="6"/>
      <w:r w:rsidRPr="00216EC1">
        <w:t>Employability Skills Information</w:t>
      </w:r>
    </w:p>
    <w:tbl>
      <w:tblPr>
        <w:tblW w:w="0" w:type="auto"/>
        <w:tblLayout w:type="fixed"/>
        <w:tblCellMar>
          <w:left w:w="62" w:type="dxa"/>
          <w:right w:w="62" w:type="dxa"/>
        </w:tblCellMar>
        <w:tblLook w:val="0000"/>
      </w:tblPr>
      <w:tblGrid>
        <w:gridCol w:w="2802"/>
        <w:gridCol w:w="5720"/>
      </w:tblGrid>
      <w:tr w:rsidTr="00152D1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C1">
            <w:pPr>
              <w:pStyle w:val="BodyText"/>
              <w:rPr>
                <w:lang w:val="en-NZ"/>
              </w:rPr>
            </w:pPr>
            <w:r w:rsidRPr="00216EC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C1" w:rsidP="00216EC1">
            <w:pPr>
              <w:pStyle w:val="BodyText"/>
            </w:pPr>
            <w:r w:rsidRPr="00216EC1">
              <w:t>This unit contains employability skills.</w:t>
            </w:r>
          </w:p>
        </w:tc>
      </w:tr>
    </w:tbl>
    <w:p w:rsidR="00000000" w:rsidRPr="00216EC1" w:rsidP="00216EC1">
      <w:pPr>
        <w:pStyle w:val="BodyText"/>
      </w:pPr>
    </w:p>
    <w:p w:rsidR="00000000" w:rsidRPr="00216EC1" w:rsidP="00216EC1">
      <w:pPr>
        <w:pStyle w:val="AllowPageBreak"/>
      </w:pPr>
    </w:p>
    <w:p w:rsidR="00000000" w:rsidRPr="00216EC1" w:rsidP="00216EC1">
      <w:pPr>
        <w:pStyle w:val="Heading1"/>
      </w:pPr>
      <w:bookmarkStart w:id="7" w:name="O_102921"/>
      <w:bookmarkEnd w:id="7"/>
      <w:r w:rsidRPr="00216EC1">
        <w:t>Elements and Performance Criteria Pre-Content</w:t>
      </w:r>
    </w:p>
    <w:tbl>
      <w:tblPr>
        <w:tblW w:w="0" w:type="auto"/>
        <w:tblLayout w:type="fixed"/>
        <w:tblCellMar>
          <w:left w:w="62" w:type="dxa"/>
          <w:right w:w="62" w:type="dxa"/>
        </w:tblCellMar>
        <w:tblLook w:val="0000"/>
      </w:tblPr>
      <w:tblGrid>
        <w:gridCol w:w="2561"/>
        <w:gridCol w:w="5961"/>
      </w:tblGrid>
      <w:tr w:rsidTr="00152D1E">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C1">
            <w:pPr>
              <w:pStyle w:val="BodyText"/>
              <w:rPr>
                <w:lang w:val="en-NZ"/>
              </w:rPr>
            </w:pPr>
            <w:r w:rsidRPr="00216EC1">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C1" w:rsidP="00216EC1">
            <w:pPr>
              <w:pStyle w:val="BodyText"/>
            </w:pPr>
            <w:r w:rsidRPr="00216EC1">
              <w:t>Performance criteria describe the performance needed to demonstrate achievement of the element. Where bold italicised text is used, further information is detailed in the required skills and</w:t>
            </w:r>
            <w:r w:rsidRPr="00216EC1">
              <w:t xml:space="preserve"> knowledge section and the range statement. Assessment of performance is to be consistent with the evidence guide.</w:t>
            </w:r>
          </w:p>
        </w:tc>
      </w:tr>
    </w:tbl>
    <w:p w:rsidR="00000000" w:rsidRPr="00216EC1" w:rsidP="00216EC1">
      <w:pPr>
        <w:pStyle w:val="BodyText"/>
      </w:pPr>
    </w:p>
    <w:p w:rsidR="00000000" w:rsidRPr="00216EC1" w:rsidP="00216EC1">
      <w:pPr>
        <w:pStyle w:val="AllowPageBreak"/>
      </w:pPr>
    </w:p>
    <w:p w:rsidR="00000000" w:rsidRPr="00216EC1" w:rsidP="00216EC1">
      <w:pPr>
        <w:pStyle w:val="Heading1"/>
      </w:pPr>
      <w:bookmarkStart w:id="8" w:name="O_102922"/>
      <w:bookmarkEnd w:id="8"/>
      <w:r w:rsidRPr="00216EC1">
        <w:t>Elements and Performance Criteria</w:t>
      </w:r>
    </w:p>
    <w:tbl>
      <w:tblPr>
        <w:tblW w:w="0" w:type="auto"/>
        <w:tblLayout w:type="fixed"/>
        <w:tblCellMar>
          <w:left w:w="62" w:type="dxa"/>
          <w:right w:w="62" w:type="dxa"/>
        </w:tblCellMar>
        <w:tblLook w:val="0000"/>
      </w:tblPr>
      <w:tblGrid>
        <w:gridCol w:w="2561"/>
        <w:gridCol w:w="5961"/>
      </w:tblGrid>
      <w:tr w:rsidTr="00152D1E">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C1" w:rsidP="00216EC1">
            <w:pPr>
              <w:pStyle w:val="BodyText"/>
            </w:pPr>
            <w:r w:rsidRPr="00216EC1">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C1">
            <w:pPr>
              <w:pStyle w:val="BodyText"/>
              <w:rPr>
                <w:lang w:val="en-NZ"/>
              </w:rPr>
            </w:pPr>
            <w:r w:rsidRPr="00216EC1">
              <w:rPr>
                <w:rStyle w:val="SpecialBold"/>
              </w:rPr>
              <w:t>PERFORMANCE CRITERIA</w:t>
            </w:r>
          </w:p>
        </w:tc>
      </w:tr>
      <w:tr w:rsidTr="00152D1E">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C1">
            <w:pPr>
              <w:pStyle w:val="List"/>
              <w:rPr>
                <w:lang w:val="en-NZ"/>
              </w:rPr>
            </w:pPr>
            <w:r w:rsidRPr="00216EC1">
              <w:t>1.</w:t>
            </w:r>
            <w:r w:rsidRPr="00216EC1">
              <w:tab/>
              <w:t>Acquire reference materials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C1" w:rsidP="00216EC1">
            <w:pPr>
              <w:pStyle w:val="List2"/>
            </w:pPr>
            <w:r w:rsidRPr="00216EC1">
              <w:t>1.1.</w:t>
            </w:r>
            <w:r w:rsidRPr="00216EC1">
              <w:tab/>
            </w:r>
            <w:r w:rsidRPr="00216EC1">
              <w:t>Confirm that required transit conditions were maintained</w:t>
            </w:r>
          </w:p>
          <w:p w:rsidR="00000000" w:rsidRPr="00216EC1" w:rsidP="00216EC1">
            <w:pPr>
              <w:pStyle w:val="List2"/>
            </w:pPr>
            <w:r w:rsidRPr="00216EC1">
              <w:t>1.2.</w:t>
            </w:r>
            <w:r w:rsidRPr="00216EC1">
              <w:tab/>
              <w:t>Apply quarantine or isolation arrangements as necessary</w:t>
            </w:r>
          </w:p>
          <w:p w:rsidR="00000000" w:rsidRPr="00216EC1" w:rsidP="00216EC1">
            <w:pPr>
              <w:pStyle w:val="List2"/>
            </w:pPr>
            <w:r w:rsidRPr="00216EC1">
              <w:t>1.3.</w:t>
            </w:r>
            <w:r w:rsidRPr="00216EC1">
              <w:tab/>
              <w:t>Record data of accessioned reference material in the collection database</w:t>
            </w:r>
          </w:p>
          <w:p w:rsidR="00000000" w:rsidP="00216EC1">
            <w:pPr>
              <w:pStyle w:val="List2"/>
              <w:rPr>
                <w:lang w:val="en-NZ"/>
              </w:rPr>
            </w:pPr>
            <w:r w:rsidRPr="00216EC1">
              <w:t>1.4.</w:t>
            </w:r>
            <w:r w:rsidRPr="00216EC1">
              <w:tab/>
              <w:t>Label material to ensure that its identity is maintaine</w:t>
            </w:r>
            <w:r w:rsidRPr="00216EC1">
              <w:t>d during storage and issue</w:t>
            </w:r>
          </w:p>
        </w:tc>
      </w:tr>
      <w:tr w:rsidTr="00152D1E">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C1">
            <w:pPr>
              <w:pStyle w:val="List"/>
              <w:rPr>
                <w:lang w:val="en-NZ"/>
              </w:rPr>
            </w:pPr>
            <w:r w:rsidRPr="00216EC1">
              <w:t>2.</w:t>
            </w:r>
            <w:r w:rsidRPr="00216EC1">
              <w:tab/>
              <w:t>Maintain reference materials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C1" w:rsidP="00216EC1">
            <w:pPr>
              <w:pStyle w:val="List2"/>
            </w:pPr>
            <w:r w:rsidRPr="00216EC1">
              <w:t>2.1.</w:t>
            </w:r>
            <w:r w:rsidRPr="00216EC1">
              <w:tab/>
              <w:t>Monitor storage conditions to ensure that they comply with suppliers' warranty specifications</w:t>
            </w:r>
          </w:p>
          <w:p w:rsidR="00000000" w:rsidRPr="00216EC1" w:rsidP="00216EC1">
            <w:pPr>
              <w:pStyle w:val="List2"/>
            </w:pPr>
            <w:r w:rsidRPr="00216EC1">
              <w:t>2.2.</w:t>
            </w:r>
            <w:r w:rsidRPr="00216EC1">
              <w:tab/>
              <w:t>Monitor storage conditions to ensure materials remain true to specification</w:t>
            </w:r>
          </w:p>
          <w:p w:rsidR="00000000" w:rsidRPr="00216EC1" w:rsidP="00216EC1">
            <w:pPr>
              <w:pStyle w:val="List2"/>
            </w:pPr>
            <w:r w:rsidRPr="00216EC1">
              <w:t>2.3.</w:t>
            </w:r>
            <w:r w:rsidRPr="00216EC1">
              <w:tab/>
              <w:t>Test materi</w:t>
            </w:r>
            <w:r w:rsidRPr="00216EC1">
              <w:t>al during storage, where relevant and appropriate, to report on reference characteristics and specificity</w:t>
            </w:r>
          </w:p>
          <w:p w:rsidR="00000000" w:rsidP="00216EC1">
            <w:pPr>
              <w:pStyle w:val="List2"/>
              <w:rPr>
                <w:lang w:val="en-NZ"/>
              </w:rPr>
            </w:pPr>
            <w:r w:rsidRPr="00216EC1">
              <w:t>2.4.</w:t>
            </w:r>
            <w:r w:rsidRPr="00216EC1">
              <w:tab/>
              <w:t>Report findings that suggest reference specimens may be deteriorating</w:t>
            </w:r>
          </w:p>
        </w:tc>
      </w:tr>
      <w:tr w:rsidTr="00152D1E">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C1">
            <w:pPr>
              <w:pStyle w:val="List"/>
              <w:rPr>
                <w:lang w:val="en-NZ"/>
              </w:rPr>
            </w:pPr>
            <w:r w:rsidRPr="00216EC1">
              <w:t>3.</w:t>
            </w:r>
            <w:r w:rsidRPr="00216EC1">
              <w:tab/>
              <w:t>Dispense reference materials to clients</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C1" w:rsidP="00216EC1">
            <w:pPr>
              <w:pStyle w:val="List2"/>
            </w:pPr>
            <w:r w:rsidRPr="00216EC1">
              <w:t>3.1.</w:t>
            </w:r>
            <w:r w:rsidRPr="00216EC1">
              <w:tab/>
              <w:t>Verify requests with super</w:t>
            </w:r>
            <w:r w:rsidRPr="00216EC1">
              <w:t>visor before requests for reference materials are processed</w:t>
            </w:r>
          </w:p>
          <w:p w:rsidR="00000000" w:rsidRPr="00216EC1" w:rsidP="00216EC1">
            <w:pPr>
              <w:pStyle w:val="List2"/>
            </w:pPr>
            <w:r w:rsidRPr="00216EC1">
              <w:t>3.2.</w:t>
            </w:r>
            <w:r w:rsidRPr="00216EC1">
              <w:tab/>
              <w:t>Supply reference material without contamination of stock material</w:t>
            </w:r>
          </w:p>
          <w:p w:rsidR="00000000" w:rsidP="00216EC1">
            <w:pPr>
              <w:pStyle w:val="List2"/>
              <w:rPr>
                <w:lang w:val="en-NZ"/>
              </w:rPr>
            </w:pPr>
            <w:r w:rsidRPr="00216EC1">
              <w:t>3.3.</w:t>
            </w:r>
            <w:r w:rsidRPr="00216EC1">
              <w:tab/>
              <w:t>Keep records of materials issued in accordance with enterprise procedures</w:t>
            </w:r>
          </w:p>
        </w:tc>
      </w:tr>
      <w:tr w:rsidTr="00152D1E">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C1">
            <w:pPr>
              <w:pStyle w:val="List"/>
              <w:rPr>
                <w:lang w:val="en-NZ"/>
              </w:rPr>
            </w:pPr>
            <w:r w:rsidRPr="00216EC1">
              <w:t>4.</w:t>
            </w:r>
            <w:r w:rsidRPr="00216EC1">
              <w:tab/>
              <w:t>Maintain a safe work environment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C1" w:rsidP="00216EC1">
            <w:pPr>
              <w:pStyle w:val="List2"/>
            </w:pPr>
            <w:r w:rsidRPr="00216EC1">
              <w:t>4.1.</w:t>
            </w:r>
            <w:r w:rsidRPr="00216EC1">
              <w:tab/>
            </w:r>
            <w:r w:rsidRPr="00216EC1">
              <w:t>Use established safe work practices and personal protective equipment to ensure personal safety and that of other laboratory personnel</w:t>
            </w:r>
          </w:p>
          <w:p w:rsidR="00000000" w:rsidRPr="00216EC1" w:rsidP="00216EC1">
            <w:pPr>
              <w:pStyle w:val="List2"/>
            </w:pPr>
            <w:r w:rsidRPr="00216EC1">
              <w:t>4.2.</w:t>
            </w:r>
            <w:r w:rsidRPr="00216EC1">
              <w:tab/>
              <w:t>Follow safety protocols when handling and processing reference materials</w:t>
            </w:r>
          </w:p>
          <w:p w:rsidR="00000000" w:rsidRPr="00216EC1" w:rsidP="00216EC1">
            <w:pPr>
              <w:pStyle w:val="List2"/>
            </w:pPr>
            <w:r w:rsidRPr="00216EC1">
              <w:t>4.3.</w:t>
            </w:r>
            <w:r w:rsidRPr="00216EC1">
              <w:tab/>
              <w:t xml:space="preserve">Minimise the generation of wastes and </w:t>
            </w:r>
            <w:r w:rsidRPr="00216EC1">
              <w:t>environmental impacts</w:t>
            </w:r>
          </w:p>
          <w:p w:rsidR="00000000" w:rsidRPr="00216EC1" w:rsidP="00216EC1">
            <w:pPr>
              <w:pStyle w:val="List2"/>
            </w:pPr>
            <w:r w:rsidRPr="00216EC1">
              <w:t>4.4.</w:t>
            </w:r>
            <w:r w:rsidRPr="00216EC1">
              <w:tab/>
              <w:t>Ensure the safe collection of redundant/outdated stocks for subsequent disposal</w:t>
            </w:r>
          </w:p>
        </w:tc>
      </w:tr>
    </w:tbl>
    <w:p w:rsidR="00000000" w:rsidRPr="00216EC1" w:rsidP="00216EC1">
      <w:pPr>
        <w:pStyle w:val="BodyText"/>
      </w:pPr>
    </w:p>
    <w:p w:rsidR="00000000" w:rsidRPr="00216EC1" w:rsidP="00216EC1">
      <w:pPr>
        <w:pStyle w:val="AllowPageBreak"/>
      </w:pPr>
    </w:p>
    <w:p w:rsidR="00000000" w:rsidRPr="00216EC1" w:rsidP="00216EC1">
      <w:pPr>
        <w:pStyle w:val="Heading1"/>
      </w:pPr>
      <w:bookmarkStart w:id="9" w:name="O_102923"/>
      <w:bookmarkEnd w:id="9"/>
      <w:r w:rsidRPr="00216EC1">
        <w:t>Required Skills and Knowledge</w:t>
      </w:r>
    </w:p>
    <w:tbl>
      <w:tblPr>
        <w:tblW w:w="0" w:type="auto"/>
        <w:tblLayout w:type="fixed"/>
        <w:tblCellMar>
          <w:left w:w="62" w:type="dxa"/>
          <w:right w:w="62" w:type="dxa"/>
        </w:tblCellMar>
        <w:tblLook w:val="0000"/>
      </w:tblPr>
      <w:tblGrid>
        <w:gridCol w:w="8522"/>
      </w:tblGrid>
      <w:tr w:rsidTr="00152D1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6EC1">
            <w:pPr>
              <w:pStyle w:val="BodyText"/>
              <w:rPr>
                <w:lang w:val="en-NZ"/>
              </w:rPr>
            </w:pPr>
            <w:r w:rsidRPr="00216EC1">
              <w:rPr>
                <w:rStyle w:val="SpecialBold"/>
              </w:rPr>
              <w:t>REQUIRED SKILLS AND KNOWLEDGE</w:t>
            </w:r>
          </w:p>
        </w:tc>
      </w:tr>
      <w:tr w:rsidTr="00152D1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16EC1">
            <w:pPr>
              <w:pStyle w:val="BodyText"/>
              <w:rPr>
                <w:lang w:val="en-NZ"/>
              </w:rPr>
            </w:pPr>
            <w:r w:rsidRPr="00216EC1">
              <w:t>This section describes the skills and knowledge required for this unit.</w:t>
            </w:r>
          </w:p>
        </w:tc>
      </w:tr>
      <w:tr w:rsidTr="00152D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C1">
            <w:pPr>
              <w:pStyle w:val="BodyText"/>
              <w:rPr>
                <w:lang w:val="en-NZ"/>
              </w:rPr>
            </w:pPr>
            <w:r w:rsidRPr="00216EC1">
              <w:rPr>
                <w:rStyle w:val="SpecialBold"/>
              </w:rPr>
              <w:t>Required skills</w:t>
            </w:r>
          </w:p>
        </w:tc>
      </w:tr>
      <w:tr w:rsidTr="00152D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C1" w:rsidP="00216EC1">
            <w:pPr>
              <w:pStyle w:val="BodyText"/>
            </w:pPr>
            <w:r w:rsidRPr="00216EC1">
              <w:t>Required skills include:</w:t>
            </w:r>
          </w:p>
          <w:p w:rsidR="00000000" w:rsidRPr="00216EC1" w:rsidP="00216EC1">
            <w:pPr>
              <w:pStyle w:val="ListBullet"/>
            </w:pPr>
            <w:r w:rsidRPr="00216EC1">
              <w:t>maintaining materials and specimens so that the reference characteristics and attributes are stable in storage and manifest in use after ret</w:t>
            </w:r>
            <w:r w:rsidRPr="00216EC1">
              <w:t>rieval</w:t>
            </w:r>
          </w:p>
          <w:p w:rsidR="00000000" w:rsidRPr="00216EC1" w:rsidP="00216EC1">
            <w:pPr>
              <w:pStyle w:val="ListBullet"/>
            </w:pPr>
            <w:r w:rsidRPr="00216EC1">
              <w:t>performing all manipulations safely</w:t>
            </w:r>
          </w:p>
          <w:p w:rsidR="00000000" w:rsidRPr="00216EC1" w:rsidP="00216EC1">
            <w:pPr>
              <w:pStyle w:val="ListBullet"/>
            </w:pPr>
            <w:r w:rsidRPr="00216EC1">
              <w:t>testing stored material for reference characteristics before release or use</w:t>
            </w:r>
          </w:p>
          <w:p w:rsidR="00000000" w:rsidP="00216EC1">
            <w:pPr>
              <w:pStyle w:val="ListBullet"/>
              <w:rPr>
                <w:lang w:val="en-NZ"/>
              </w:rPr>
            </w:pPr>
            <w:r w:rsidRPr="00216EC1">
              <w:t>communicating appropriately with all customers</w:t>
            </w:r>
          </w:p>
        </w:tc>
      </w:tr>
      <w:tr w:rsidTr="00152D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C1">
            <w:pPr>
              <w:pStyle w:val="BodyText"/>
              <w:rPr>
                <w:lang w:val="en-NZ"/>
              </w:rPr>
            </w:pPr>
            <w:r w:rsidRPr="00216EC1">
              <w:rPr>
                <w:rStyle w:val="SpecialBold"/>
              </w:rPr>
              <w:t>Required knowledge</w:t>
            </w:r>
          </w:p>
        </w:tc>
      </w:tr>
      <w:tr w:rsidTr="00152D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C1" w:rsidP="00216EC1">
            <w:pPr>
              <w:pStyle w:val="BodyText"/>
            </w:pPr>
            <w:r w:rsidRPr="00216EC1">
              <w:t>Required knowledge includes:</w:t>
            </w:r>
          </w:p>
          <w:p w:rsidR="00000000" w:rsidRPr="00216EC1" w:rsidP="00216EC1">
            <w:pPr>
              <w:pStyle w:val="ListBullet"/>
            </w:pPr>
            <w:r w:rsidRPr="00216EC1">
              <w:t>certified reference materials - what they are, when and why they should be used</w:t>
            </w:r>
          </w:p>
          <w:p w:rsidR="00000000" w:rsidRPr="00216EC1" w:rsidP="00216EC1">
            <w:pPr>
              <w:pStyle w:val="ListBullet"/>
            </w:pPr>
            <w:r w:rsidRPr="00216EC1">
              <w:t>the storage requirements of biological and non-biological materials</w:t>
            </w:r>
          </w:p>
          <w:p w:rsidR="00000000" w:rsidRPr="00216EC1" w:rsidP="00216EC1">
            <w:pPr>
              <w:pStyle w:val="ListBullet"/>
            </w:pPr>
            <w:r w:rsidRPr="00216EC1">
              <w:t>quarantine or isolation procedures</w:t>
            </w:r>
          </w:p>
          <w:p w:rsidR="00000000" w:rsidRPr="00216EC1" w:rsidP="00216EC1">
            <w:pPr>
              <w:pStyle w:val="ListBullet"/>
            </w:pPr>
            <w:r w:rsidRPr="00216EC1">
              <w:t>the labile nature of chemical and biological materials</w:t>
            </w:r>
          </w:p>
          <w:p w:rsidR="00000000" w:rsidRPr="00216EC1" w:rsidP="00216EC1">
            <w:pPr>
              <w:pStyle w:val="ListBullet"/>
            </w:pPr>
            <w:r w:rsidRPr="00216EC1">
              <w:t xml:space="preserve">the rationale for </w:t>
            </w:r>
            <w:r w:rsidRPr="00216EC1">
              <w:t>testing reference characteristics before issuing reference materials</w:t>
            </w:r>
          </w:p>
          <w:p w:rsidR="00000000" w:rsidRPr="00216EC1" w:rsidP="00216EC1">
            <w:pPr>
              <w:pStyle w:val="ListBullet"/>
            </w:pPr>
            <w:r w:rsidRPr="00216EC1">
              <w:t>reasons for testing before accession of reference materials</w:t>
            </w:r>
          </w:p>
          <w:p w:rsidR="00000000" w:rsidRPr="00216EC1" w:rsidP="00216EC1">
            <w:pPr>
              <w:pStyle w:val="ListBullet"/>
            </w:pPr>
            <w:r w:rsidRPr="00216EC1">
              <w:t>relevant health, safety and environment requirements</w:t>
            </w:r>
          </w:p>
          <w:p w:rsidR="00000000" w:rsidRPr="00216EC1" w:rsidP="00216EC1">
            <w:pPr>
              <w:pStyle w:val="BodyText"/>
            </w:pPr>
            <w:r w:rsidRPr="00216EC1">
              <w:rPr>
                <w:rStyle w:val="SpecialBold"/>
              </w:rPr>
              <w:t>Specific industry</w:t>
            </w:r>
          </w:p>
          <w:p w:rsidR="00000000" w:rsidRPr="00216EC1" w:rsidP="00216EC1">
            <w:pPr>
              <w:pStyle w:val="BodyText"/>
            </w:pPr>
            <w:r w:rsidRPr="00216EC1">
              <w:t>Additional knowledge requirements may apply for different industry sectors. For example:</w:t>
            </w:r>
          </w:p>
          <w:p w:rsidR="00000000" w:rsidRPr="00216EC1" w:rsidP="00216EC1">
            <w:pPr>
              <w:pStyle w:val="BodyText"/>
            </w:pPr>
            <w:r w:rsidRPr="00216EC1">
              <w:t>Process manufacturing and construction:</w:t>
            </w:r>
          </w:p>
          <w:p w:rsidR="00000000" w:rsidRPr="00216EC1" w:rsidP="00216EC1">
            <w:pPr>
              <w:pStyle w:val="ListBullet"/>
            </w:pPr>
            <w:r w:rsidRPr="00216EC1">
              <w:t>drill (core) samples for mineral identification</w:t>
            </w:r>
          </w:p>
          <w:p w:rsidR="00000000" w:rsidRPr="00216EC1" w:rsidP="00216EC1">
            <w:pPr>
              <w:pStyle w:val="ListBullet"/>
            </w:pPr>
            <w:r w:rsidRPr="00216EC1">
              <w:t>concrete samples for analysis of composition and/or strength and suitability f</w:t>
            </w:r>
            <w:r w:rsidRPr="00216EC1">
              <w:t>or application</w:t>
            </w:r>
          </w:p>
          <w:p w:rsidR="00000000" w:rsidRPr="00216EC1" w:rsidP="00216EC1">
            <w:pPr>
              <w:pStyle w:val="BodyText"/>
            </w:pPr>
            <w:r w:rsidRPr="00216EC1">
              <w:t>Biomedical and environmental:</w:t>
            </w:r>
          </w:p>
          <w:p w:rsidR="00000000" w:rsidRPr="00216EC1" w:rsidP="00216EC1">
            <w:pPr>
              <w:pStyle w:val="ListBullet"/>
            </w:pPr>
            <w:r w:rsidRPr="00216EC1">
              <w:t>bacterial cultures related to colony and microscopic morphology, specificity and reliability of staining reaction, biochemical characteristics and immunological characteristics</w:t>
            </w:r>
          </w:p>
          <w:p w:rsidR="00000000" w:rsidRPr="00216EC1" w:rsidP="00216EC1">
            <w:pPr>
              <w:pStyle w:val="ListBullet"/>
            </w:pPr>
            <w:r w:rsidRPr="00216EC1">
              <w:t>cell suspensions and cell and tis</w:t>
            </w:r>
            <w:r w:rsidRPr="00216EC1">
              <w:t>sue preparations that can act as quantitative or qualitative controls in tests and procedures</w:t>
            </w:r>
          </w:p>
          <w:p w:rsidR="00000000" w:rsidRPr="00216EC1" w:rsidP="00216EC1">
            <w:pPr>
              <w:pStyle w:val="ListBullet"/>
            </w:pPr>
            <w:r w:rsidRPr="00216EC1">
              <w:t>plasma and other body fluids with known attributes or quanta that can act as standards and controls in quantitative and qualitative tests and procedures</w:t>
            </w:r>
          </w:p>
          <w:p w:rsidR="00000000" w:rsidRPr="00216EC1" w:rsidP="00216EC1">
            <w:pPr>
              <w:pStyle w:val="BodyText"/>
            </w:pPr>
            <w:r w:rsidRPr="00216EC1">
              <w:t xml:space="preserve">Food and </w:t>
            </w:r>
            <w:r w:rsidRPr="00216EC1">
              <w:t>beverage processing:</w:t>
            </w:r>
          </w:p>
          <w:p w:rsidR="00000000" w:rsidRPr="00216EC1" w:rsidP="00216EC1">
            <w:pPr>
              <w:pStyle w:val="ListBullet"/>
            </w:pPr>
            <w:r w:rsidRPr="00216EC1">
              <w:t>quality assurance for viability of enzymes used in process</w:t>
            </w:r>
          </w:p>
          <w:p w:rsidR="00000000" w:rsidRPr="00216EC1" w:rsidP="00216EC1">
            <w:pPr>
              <w:pStyle w:val="ListBullet"/>
            </w:pPr>
            <w:r w:rsidRPr="00216EC1">
              <w:t xml:space="preserve">bacterial or yeast cultures relating to colony and microscopic morphology for </w:t>
            </w:r>
            <w:r w:rsidRPr="00216EC1">
              <w:t>culturing purpose</w:t>
            </w:r>
          </w:p>
          <w:p w:rsidR="00000000" w:rsidRPr="00216EC1" w:rsidP="00216EC1">
            <w:pPr>
              <w:pStyle w:val="ListBullet"/>
            </w:pPr>
            <w:r w:rsidRPr="00216EC1">
              <w:t>grain samples used in identification of cereal specimens (e.g. barley varieties</w:t>
            </w:r>
            <w:r w:rsidRPr="00216EC1">
              <w:t>, such as Proctor, Franklin and Stirling)</w:t>
            </w:r>
          </w:p>
        </w:tc>
      </w:tr>
    </w:tbl>
    <w:p w:rsidR="00000000" w:rsidRPr="00216EC1" w:rsidP="00216EC1">
      <w:pPr>
        <w:pStyle w:val="BodyText"/>
      </w:pPr>
    </w:p>
    <w:p w:rsidR="00000000" w:rsidRPr="00216EC1" w:rsidP="00216EC1">
      <w:pPr>
        <w:pStyle w:val="AllowPageBreak"/>
      </w:pPr>
    </w:p>
    <w:p w:rsidR="00000000" w:rsidRPr="00216EC1" w:rsidP="00216EC1">
      <w:pPr>
        <w:pStyle w:val="Heading1"/>
      </w:pPr>
      <w:bookmarkStart w:id="10" w:name="O_102924"/>
      <w:bookmarkEnd w:id="10"/>
      <w:r w:rsidRPr="00216EC1">
        <w:t>Evidence Guide</w:t>
      </w:r>
    </w:p>
    <w:tbl>
      <w:tblPr>
        <w:tblW w:w="9570" w:type="dxa"/>
        <w:tblLayout w:type="fixed"/>
        <w:tblCellMar>
          <w:left w:w="62" w:type="dxa"/>
          <w:right w:w="62" w:type="dxa"/>
        </w:tblCellMar>
        <w:tblLook w:val="0000"/>
      </w:tblPr>
      <w:tblGrid>
        <w:gridCol w:w="3908"/>
        <w:gridCol w:w="5662"/>
      </w:tblGrid>
      <w:tr w:rsidTr="00152D1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C1">
            <w:pPr>
              <w:pStyle w:val="BodyText"/>
              <w:rPr>
                <w:lang w:val="en-NZ"/>
              </w:rPr>
            </w:pPr>
            <w:r w:rsidRPr="00216EC1">
              <w:rPr>
                <w:rStyle w:val="SpecialBold"/>
              </w:rPr>
              <w:t>EVIDENCE GUIDE</w:t>
            </w:r>
          </w:p>
        </w:tc>
      </w:tr>
      <w:tr w:rsidTr="00152D1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C1">
            <w:pPr>
              <w:pStyle w:val="BodyText"/>
              <w:rPr>
                <w:lang w:val="en-NZ"/>
              </w:rPr>
            </w:pPr>
            <w:r w:rsidRPr="00216EC1">
              <w:t xml:space="preserve">The Evidence Guide provides advice on assessment and must be read in conjunction with the performance criteria, required skills and knowledge, </w:t>
            </w:r>
            <w:r w:rsidRPr="00216EC1">
              <w:t>range statement and the Assessment Guidelines for the Training Package.</w:t>
            </w:r>
          </w:p>
        </w:tc>
      </w:tr>
      <w:tr w:rsidTr="00152D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C1">
            <w:pPr>
              <w:pStyle w:val="BodyText"/>
              <w:rPr>
                <w:lang w:val="en-NZ"/>
              </w:rPr>
            </w:pPr>
            <w:r w:rsidRPr="00216EC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C1">
            <w:pPr>
              <w:pStyle w:val="BodyText"/>
              <w:rPr>
                <w:lang w:val="en-NZ"/>
              </w:rPr>
            </w:pPr>
          </w:p>
        </w:tc>
      </w:tr>
      <w:tr w:rsidTr="00152D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C1">
            <w:pPr>
              <w:pStyle w:val="BodyText"/>
              <w:rPr>
                <w:lang w:val="en-NZ"/>
              </w:rPr>
            </w:pPr>
            <w:r w:rsidRPr="00216EC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C1" w:rsidP="00216EC1">
            <w:pPr>
              <w:pStyle w:val="BodyText"/>
            </w:pPr>
            <w:r w:rsidRPr="00216EC1">
              <w:t>Assessors should ensure that candidates can:</w:t>
            </w:r>
          </w:p>
          <w:p w:rsidR="00000000" w:rsidRPr="00216EC1" w:rsidP="00216EC1">
            <w:pPr>
              <w:pStyle w:val="ListBullet"/>
            </w:pPr>
            <w:r w:rsidRPr="00216EC1">
              <w:t>maintain material</w:t>
            </w:r>
            <w:r w:rsidRPr="00216EC1">
              <w:t xml:space="preserve"> identity during storage</w:t>
            </w:r>
          </w:p>
          <w:p w:rsidR="00000000" w:rsidRPr="00216EC1" w:rsidP="00216EC1">
            <w:pPr>
              <w:pStyle w:val="ListBullet"/>
            </w:pPr>
            <w:r w:rsidRPr="00216EC1">
              <w:t>perform all manipulations safely</w:t>
            </w:r>
          </w:p>
          <w:p w:rsidR="00000000" w:rsidRPr="00216EC1" w:rsidP="00216EC1">
            <w:pPr>
              <w:pStyle w:val="ListBullet"/>
            </w:pPr>
            <w:r w:rsidRPr="00216EC1">
              <w:t>test stored material for reference characteristics before release</w:t>
            </w:r>
          </w:p>
          <w:p w:rsidR="00000000" w:rsidP="00216EC1">
            <w:pPr>
              <w:pStyle w:val="ListBullet"/>
              <w:rPr>
                <w:lang w:val="en-NZ"/>
              </w:rPr>
            </w:pPr>
            <w:r w:rsidRPr="00216EC1">
              <w:t>communicate appropriately with all customers.</w:t>
            </w:r>
          </w:p>
        </w:tc>
      </w:tr>
      <w:tr w:rsidTr="00152D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C1">
            <w:pPr>
              <w:pStyle w:val="BodyText"/>
              <w:rPr>
                <w:lang w:val="en-NZ"/>
              </w:rPr>
            </w:pPr>
            <w:r w:rsidRPr="00216EC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C1" w:rsidP="00216EC1">
            <w:pPr>
              <w:pStyle w:val="BodyText"/>
            </w:pPr>
            <w:r w:rsidRPr="00216EC1">
              <w:t>This unit of competency is to be ass</w:t>
            </w:r>
            <w:r w:rsidRPr="00216EC1">
              <w:t>essed in the workplace or simulated workplace environment.</w:t>
            </w:r>
          </w:p>
          <w:p w:rsidR="00000000" w:rsidRPr="00216EC1" w:rsidP="00216EC1">
            <w:pPr>
              <w:pStyle w:val="BodyText"/>
            </w:pPr>
            <w:r w:rsidRPr="00216EC1">
              <w:t>This unit of competency may be assessed with any units that may involve using materials from a collection for example:</w:t>
            </w:r>
          </w:p>
          <w:p w:rsidR="00000000" w:rsidRPr="00216EC1" w:rsidP="00216EC1">
            <w:pPr>
              <w:pStyle w:val="ListBullet"/>
            </w:pPr>
            <w:r w:rsidRPr="00216EC1">
              <w:rPr>
                <w:rStyle w:val="Emphasis"/>
              </w:rPr>
              <w:t>MSL916003A Supervise laboratory operations in work</w:t>
            </w:r>
            <w:r w:rsidRPr="00216EC1">
              <w:t>/</w:t>
            </w:r>
            <w:r w:rsidRPr="00216EC1">
              <w:rPr>
                <w:rStyle w:val="Emphasis"/>
              </w:rPr>
              <w:t>functional area</w:t>
            </w:r>
          </w:p>
          <w:p w:rsidR="00000000" w:rsidRPr="00216EC1" w:rsidP="00216EC1">
            <w:pPr>
              <w:pStyle w:val="ListBullet"/>
            </w:pPr>
            <w:r w:rsidRPr="00216EC1">
              <w:rPr>
                <w:rStyle w:val="Emphasis"/>
              </w:rPr>
              <w:t>MSL975001A</w:t>
            </w:r>
            <w:r w:rsidRPr="00216EC1">
              <w:rPr>
                <w:rStyle w:val="Emphasis"/>
              </w:rPr>
              <w:t xml:space="preserve"> Perform microbiological tests</w:t>
            </w:r>
          </w:p>
          <w:p w:rsidR="00000000" w:rsidRPr="00216EC1" w:rsidP="00216EC1">
            <w:pPr>
              <w:pStyle w:val="ListBullet"/>
            </w:pPr>
            <w:r w:rsidRPr="00216EC1">
              <w:rPr>
                <w:rStyle w:val="Emphasis"/>
              </w:rPr>
              <w:t>MSL976003A Evaluate and select appropriate test methods and procedures</w:t>
            </w:r>
            <w:r w:rsidRPr="00216EC1">
              <w:t>.</w:t>
            </w:r>
          </w:p>
          <w:p w:rsidR="00000000" w:rsidRPr="00216EC1" w:rsidP="00216EC1">
            <w:pPr>
              <w:pStyle w:val="BodyText"/>
            </w:pPr>
            <w:r w:rsidRPr="00216EC1">
              <w:t>Resources may include:</w:t>
            </w:r>
          </w:p>
          <w:p w:rsidR="00000000" w:rsidRPr="00216EC1" w:rsidP="00216EC1">
            <w:pPr>
              <w:pStyle w:val="ListBullet"/>
            </w:pPr>
            <w:r w:rsidRPr="00216EC1">
              <w:t>equipment and materials related to the occupational task for which the reference material is relevant</w:t>
            </w:r>
          </w:p>
          <w:p w:rsidR="00000000" w:rsidRPr="00216EC1" w:rsidP="00216EC1">
            <w:pPr>
              <w:pStyle w:val="ListBullet"/>
            </w:pPr>
            <w:r w:rsidRPr="00216EC1">
              <w:t>reference materials</w:t>
            </w:r>
          </w:p>
          <w:p w:rsidR="00000000" w:rsidP="00216EC1">
            <w:pPr>
              <w:pStyle w:val="ListBullet"/>
              <w:rPr>
                <w:lang w:val="en-NZ"/>
              </w:rPr>
            </w:pPr>
            <w:r w:rsidRPr="00216EC1">
              <w:t>standard operating procedures (SOPs).</w:t>
            </w:r>
          </w:p>
        </w:tc>
      </w:tr>
      <w:tr w:rsidTr="00152D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C1">
            <w:pPr>
              <w:pStyle w:val="BodyText"/>
              <w:rPr>
                <w:lang w:val="en-NZ"/>
              </w:rPr>
            </w:pPr>
            <w:r w:rsidRPr="00216EC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C1" w:rsidP="00216EC1">
            <w:pPr>
              <w:pStyle w:val="BodyText"/>
            </w:pPr>
            <w:r w:rsidRPr="00216EC1">
              <w:t>The following assessment methods are suggested:</w:t>
            </w:r>
          </w:p>
          <w:p w:rsidR="00000000" w:rsidRPr="00216EC1" w:rsidP="00216EC1">
            <w:pPr>
              <w:pStyle w:val="ListBullet"/>
            </w:pPr>
            <w:r w:rsidRPr="00216EC1">
              <w:t>review of records for the supply of reference materials by the candidate</w:t>
            </w:r>
          </w:p>
          <w:p w:rsidR="00000000" w:rsidRPr="00216EC1" w:rsidP="00216EC1">
            <w:pPr>
              <w:pStyle w:val="ListBullet"/>
            </w:pPr>
            <w:r w:rsidRPr="00216EC1">
              <w:t>observation of the candidate performing tests of stored reference material</w:t>
            </w:r>
            <w:r w:rsidRPr="00216EC1">
              <w:t xml:space="preserve"> prior to release and review of results </w:t>
            </w:r>
          </w:p>
          <w:p w:rsidR="00000000" w:rsidRPr="00216EC1" w:rsidP="00216EC1">
            <w:pPr>
              <w:pStyle w:val="ListBullet"/>
            </w:pPr>
            <w:r w:rsidRPr="00216EC1">
              <w:t>case studies, such as the:</w:t>
            </w:r>
          </w:p>
          <w:p w:rsidR="00000000" w:rsidRPr="00216EC1" w:rsidP="00216EC1">
            <w:pPr>
              <w:pStyle w:val="ListBullet2"/>
            </w:pPr>
            <w:r w:rsidRPr="00216EC1">
              <w:t>accession and processing of a plasma sample that is intended for use as a control in a blood coagulation test</w:t>
            </w:r>
          </w:p>
          <w:p w:rsidR="00000000" w:rsidRPr="00216EC1" w:rsidP="00216EC1">
            <w:pPr>
              <w:pStyle w:val="ListBullet2"/>
            </w:pPr>
            <w:r w:rsidRPr="00216EC1">
              <w:t>response to request for supply of a Staphylococcus culture with coagulase activity</w:t>
            </w:r>
          </w:p>
          <w:p w:rsidR="00000000" w:rsidRPr="00216EC1" w:rsidP="00216EC1">
            <w:pPr>
              <w:pStyle w:val="ListBullet"/>
            </w:pPr>
            <w:r w:rsidRPr="00216EC1">
              <w:t>oral/written questioning about receipt, testing during storage and release of reference materials.</w:t>
            </w:r>
          </w:p>
          <w:p w:rsidR="00000000" w:rsidRPr="00216EC1" w:rsidP="00216EC1">
            <w:pPr>
              <w:pStyle w:val="BodyText"/>
            </w:pPr>
            <w:r w:rsidRPr="00216EC1">
              <w:t>In all cases, practical assessment should be supported by questions to as</w:t>
            </w:r>
            <w:r w:rsidRPr="00216EC1">
              <w:t xml:space="preserve">sess underpinning knowledge and those aspects of competency which are difficult to assess directly. Questioning techniques should suit the language and literacy </w:t>
            </w:r>
          </w:p>
          <w:p w:rsidR="00000000" w:rsidRPr="00216EC1" w:rsidP="00216EC1">
            <w:pPr>
              <w:pStyle w:val="BodyText"/>
            </w:pPr>
            <w:r w:rsidRPr="00216EC1">
              <w:t>Where applicable, reasonable adjustment must be made to work environments and training situati</w:t>
            </w:r>
            <w:r w:rsidRPr="00216EC1">
              <w:t xml:space="preserve">ons to accommodate ethnicity, age, gender, demographics and disability. </w:t>
            </w:r>
          </w:p>
          <w:p w:rsidR="00000000" w:rsidRPr="00216EC1" w:rsidP="00216EC1">
            <w:pPr>
              <w:pStyle w:val="BodyText"/>
            </w:pPr>
            <w:r w:rsidRPr="00216EC1">
              <w:t xml:space="preserve">Access must be provided to appropriate learning and/or assessment support when required. </w:t>
            </w:r>
          </w:p>
          <w:p w:rsidR="00000000" w:rsidP="00216EC1">
            <w:pPr>
              <w:pStyle w:val="BodyText"/>
              <w:rPr>
                <w:lang w:val="en-NZ"/>
              </w:rPr>
            </w:pPr>
            <w:r w:rsidRPr="00216EC1">
              <w:t>The language, literacy and numeracy demands of assessment should not be greater than those re</w:t>
            </w:r>
            <w:r w:rsidRPr="00216EC1">
              <w:t>quired to undertake the unit of competency in a work like environment.</w:t>
            </w:r>
          </w:p>
        </w:tc>
      </w:tr>
      <w:tr w:rsidTr="00152D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C1">
            <w:pPr>
              <w:pStyle w:val="BodyText"/>
              <w:rPr>
                <w:lang w:val="en-NZ"/>
              </w:rPr>
            </w:pPr>
            <w:r w:rsidRPr="00216EC1">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C1" w:rsidP="00216EC1">
            <w:pPr>
              <w:pStyle w:val="BodyText"/>
            </w:pPr>
            <w:r w:rsidRPr="00216EC1">
              <w:t xml:space="preserve">Industry representatives have provided the case studies below to illustrate the practical application of this unit of competency and to show </w:t>
            </w:r>
            <w:r w:rsidRPr="00216EC1">
              <w:t>their relevance in a workplace setting.</w:t>
            </w:r>
          </w:p>
          <w:p w:rsidR="00000000" w:rsidRPr="00216EC1" w:rsidP="00216EC1">
            <w:pPr>
              <w:pStyle w:val="BodyText"/>
            </w:pPr>
            <w:r w:rsidRPr="00216EC1">
              <w:rPr>
                <w:rStyle w:val="SpecialBold"/>
              </w:rPr>
              <w:t>Manufacturing</w:t>
            </w:r>
            <w:r w:rsidRPr="00216EC1">
              <w:t xml:space="preserve"> </w:t>
            </w:r>
          </w:p>
          <w:p w:rsidR="00000000" w:rsidRPr="00216EC1" w:rsidP="00216EC1">
            <w:pPr>
              <w:pStyle w:val="BodyText"/>
            </w:pPr>
            <w:r w:rsidRPr="00216EC1">
              <w:t>A technical officer in a pharmaceutical laboratory assays each batch of paracetamol tablets before their release for sale using ultraviolet spectrometric analysis. Twenty tablets are ground and a known</w:t>
            </w:r>
            <w:r w:rsidRPr="00216EC1">
              <w:t xml:space="preserve"> weight of sample is dissolved in a specified solvent. The ultraviolet absorption is measured and compared with the absorption of a reference standard, which has been similarly treated. The potency of the tablets is calculated and compared to the release l</w:t>
            </w:r>
            <w:r w:rsidRPr="00216EC1">
              <w:t>imits before being released for sale. The concentration of the reference paracetamol must be accurately known if the assay is to be correct. The standard is packed and stored under conditions that will minimise its breakdown, and the storage conditions are</w:t>
            </w:r>
            <w:r w:rsidRPr="00216EC1">
              <w:t xml:space="preserve"> monitored to ensure that the potency remains with acceptable limits.</w:t>
            </w:r>
          </w:p>
          <w:p w:rsidR="00000000" w:rsidRPr="00216EC1" w:rsidP="00216EC1">
            <w:pPr>
              <w:pStyle w:val="BodyText"/>
            </w:pPr>
            <w:r w:rsidRPr="00216EC1">
              <w:rPr>
                <w:rStyle w:val="SpecialBold"/>
              </w:rPr>
              <w:t>Biomedical</w:t>
            </w:r>
            <w:r w:rsidRPr="00216EC1">
              <w:t xml:space="preserve"> </w:t>
            </w:r>
          </w:p>
          <w:p w:rsidR="00000000" w:rsidRPr="00216EC1" w:rsidP="00216EC1">
            <w:pPr>
              <w:pStyle w:val="BodyText"/>
            </w:pPr>
            <w:r w:rsidRPr="00216EC1">
              <w:t>A technical officer in a histology laboratory was asked to perform a batch of iron stains by the Prussian Blue technique. The officer went to the block repository and chose o</w:t>
            </w:r>
            <w:r w:rsidRPr="00216EC1">
              <w:t>ne of the liver blocks known to contain haemosiderin. The officer checked the block number against the data in the control materials log and then cut four sections to process in parallel for the day's batch and those anticipated over the next few days. Not</w:t>
            </w:r>
            <w:r w:rsidRPr="00216EC1">
              <w:t>ing that there was only one iron-positive block left, the officer wrote a short memo to the laboratory supervisor suggesting that the pathologist allow for a stock of tissue to be collected the next time they identified a suitable specimen.</w:t>
            </w:r>
          </w:p>
          <w:p w:rsidR="00000000" w:rsidRPr="00216EC1" w:rsidP="00216EC1">
            <w:pPr>
              <w:pStyle w:val="BodyText"/>
            </w:pPr>
            <w:r w:rsidRPr="00216EC1">
              <w:rPr>
                <w:rStyle w:val="SpecialBold"/>
              </w:rPr>
              <w:t>Food processing</w:t>
            </w:r>
            <w:r w:rsidRPr="00216EC1">
              <w:t xml:space="preserve"> </w:t>
            </w:r>
          </w:p>
          <w:p w:rsidR="00000000" w:rsidRPr="00216EC1" w:rsidP="00216EC1">
            <w:pPr>
              <w:pStyle w:val="BodyText"/>
            </w:pPr>
            <w:r w:rsidRPr="00216EC1">
              <w:t>While many attributes of food can be quantified and specified using chemical reference standards, some attributes are best assessed by comparison with a physical reference sample. For example, the number of poppy seeds on a loaf of bread would be impract</w:t>
            </w:r>
            <w:r w:rsidRPr="00216EC1">
              <w:t>ical to count. However, comparison with retention samples made with various levels of poppy seeds will give an approximation of the number of seeds on the bread. Suitable reference samples need to be prepared and preserved so that the handling of samples d</w:t>
            </w:r>
            <w:r w:rsidRPr="00216EC1">
              <w:t>oes not result in seeds falling from the sample.</w:t>
            </w:r>
          </w:p>
        </w:tc>
      </w:tr>
    </w:tbl>
    <w:p w:rsidR="00000000" w:rsidRPr="00216EC1" w:rsidP="00216EC1">
      <w:pPr>
        <w:pStyle w:val="BodyText"/>
      </w:pPr>
    </w:p>
    <w:p w:rsidR="00000000" w:rsidRPr="00216EC1" w:rsidP="00216EC1">
      <w:pPr>
        <w:pStyle w:val="AllowPageBreak"/>
      </w:pPr>
    </w:p>
    <w:p w:rsidR="00000000" w:rsidRPr="00216EC1" w:rsidP="00216EC1">
      <w:pPr>
        <w:pStyle w:val="Heading1"/>
      </w:pPr>
      <w:bookmarkStart w:id="11" w:name="O_102925"/>
      <w:bookmarkEnd w:id="11"/>
      <w:r w:rsidRPr="00216EC1">
        <w:t>Range Statement</w:t>
      </w:r>
    </w:p>
    <w:tbl>
      <w:tblPr>
        <w:tblW w:w="0" w:type="auto"/>
        <w:tblLayout w:type="fixed"/>
        <w:tblCellMar>
          <w:left w:w="62" w:type="dxa"/>
          <w:right w:w="62" w:type="dxa"/>
        </w:tblCellMar>
        <w:tblLook w:val="0000"/>
      </w:tblPr>
      <w:tblGrid>
        <w:gridCol w:w="3501"/>
        <w:gridCol w:w="5021"/>
      </w:tblGrid>
      <w:tr w:rsidTr="00152D1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C1">
            <w:pPr>
              <w:pStyle w:val="BodyText"/>
              <w:rPr>
                <w:lang w:val="en-NZ"/>
              </w:rPr>
            </w:pPr>
            <w:r w:rsidRPr="00216EC1">
              <w:rPr>
                <w:rStyle w:val="SpecialBold"/>
              </w:rPr>
              <w:t>RANGE STATEMENT</w:t>
            </w:r>
          </w:p>
        </w:tc>
      </w:tr>
      <w:tr w:rsidTr="00152D1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C1">
            <w:pPr>
              <w:pStyle w:val="BodyText"/>
              <w:rPr>
                <w:lang w:val="en-NZ"/>
              </w:rPr>
            </w:pPr>
            <w:r w:rsidRPr="00216EC1">
              <w:t xml:space="preserve">The range statement relates to the unit of competency as a whole. It allows for different work environments and situations that may affect </w:t>
            </w:r>
            <w:r w:rsidRPr="00216EC1">
              <w:t>performance. Bold italicised wording, if used in the performance criteria, is detailed below. Essential operating conditions that may be present with training and assessment (depending on the work situation, needs of the candidate, accessibility of the ite</w:t>
            </w:r>
            <w:r w:rsidRPr="00216EC1">
              <w:t>m, and local industry and regional contexts) may also be included.</w:t>
            </w:r>
          </w:p>
        </w:tc>
      </w:tr>
      <w:tr w:rsidTr="00152D1E">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C1">
            <w:pPr>
              <w:pStyle w:val="BodyText"/>
              <w:rPr>
                <w:lang w:val="en-NZ"/>
              </w:rPr>
            </w:pPr>
            <w:r w:rsidRPr="00216EC1">
              <w:rPr>
                <w:rStyle w:val="SpecialBold"/>
              </w:rPr>
              <w:t>Codes of practice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C1">
            <w:pPr>
              <w:pStyle w:val="BodyText"/>
              <w:rPr>
                <w:lang w:val="en-NZ"/>
              </w:rPr>
            </w:pPr>
            <w:r w:rsidRPr="00216EC1">
              <w:t>Where reference is made to industry codes of practice, and/or Australian/international standards, it is expected the latest version will be used</w:t>
            </w:r>
          </w:p>
        </w:tc>
      </w:tr>
      <w:tr w:rsidTr="00152D1E">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C1">
            <w:pPr>
              <w:pStyle w:val="BodyText"/>
              <w:rPr>
                <w:lang w:val="en-NZ"/>
              </w:rPr>
            </w:pPr>
            <w:r w:rsidRPr="00216EC1">
              <w:rPr>
                <w:rStyle w:val="SpecialBold"/>
              </w:rPr>
              <w:t>Standards</w:t>
            </w:r>
            <w:r w:rsidRPr="00216EC1">
              <w:t xml:space="preserve">, </w:t>
            </w:r>
            <w:r w:rsidRPr="00216EC1">
              <w:rPr>
                <w:rStyle w:val="SpecialBold"/>
              </w:rPr>
              <w:t>codes</w:t>
            </w:r>
            <w:r w:rsidRPr="00216EC1">
              <w:t xml:space="preserve">, </w:t>
            </w:r>
            <w:r w:rsidRPr="00216EC1">
              <w:rPr>
                <w:rStyle w:val="SpecialBold"/>
              </w:rPr>
              <w:t>proce</w:t>
            </w:r>
            <w:r w:rsidRPr="00216EC1">
              <w:rPr>
                <w:rStyle w:val="SpecialBold"/>
              </w:rPr>
              <w:t>dures and</w:t>
            </w:r>
            <w:r w:rsidRPr="00216EC1">
              <w:t>/</w:t>
            </w:r>
            <w:r w:rsidRPr="00216EC1">
              <w:rPr>
                <w:rStyle w:val="SpecialBold"/>
              </w:rPr>
              <w:t>or enterprise requirements</w:t>
            </w:r>
            <w:r w:rsidRPr="00216EC1">
              <w:t xml:space="preserve"> </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C1" w:rsidP="00216EC1">
            <w:pPr>
              <w:pStyle w:val="BodyText"/>
            </w:pPr>
            <w:r w:rsidRPr="00216EC1">
              <w:t>Standards, codes, procedures and/or enterprise requirements may include:</w:t>
            </w:r>
          </w:p>
          <w:p w:rsidR="00000000" w:rsidRPr="00216EC1" w:rsidP="00216EC1">
            <w:pPr>
              <w:pStyle w:val="ListBullet"/>
            </w:pPr>
            <w:r w:rsidRPr="00216EC1">
              <w:t>Australian and international standards such as:</w:t>
            </w:r>
          </w:p>
          <w:p w:rsidR="00000000" w:rsidRPr="00216EC1" w:rsidP="00216EC1">
            <w:pPr>
              <w:pStyle w:val="ListBullet"/>
            </w:pPr>
            <w:r w:rsidRPr="00216EC1">
              <w:t>AS/NZS 2243 Set:2006 Safety in laboratories set</w:t>
            </w:r>
          </w:p>
          <w:p w:rsidR="00000000" w:rsidRPr="00216EC1" w:rsidP="00216EC1">
            <w:pPr>
              <w:pStyle w:val="ListBullet2"/>
            </w:pPr>
            <w:r w:rsidRPr="00216EC1">
              <w:t xml:space="preserve">AS/NZS 4452:1997 </w:t>
            </w:r>
            <w:r w:rsidRPr="00216EC1">
              <w:t>The storage and handling of toxic substances</w:t>
            </w:r>
          </w:p>
          <w:p w:rsidR="00000000" w:rsidRPr="00216EC1" w:rsidP="00216EC1">
            <w:pPr>
              <w:pStyle w:val="ListBullet2"/>
            </w:pPr>
            <w:r w:rsidRPr="00216EC1">
              <w:t>AS/NZS ISO 14000 Set:2005 Environmental management standards set</w:t>
            </w:r>
          </w:p>
          <w:p w:rsidR="00000000" w:rsidRPr="00216EC1" w:rsidP="00216EC1">
            <w:pPr>
              <w:pStyle w:val="ListBullet"/>
            </w:pPr>
            <w:r w:rsidRPr="00216EC1">
              <w:t>animal welfare legislation and codes of practice</w:t>
            </w:r>
          </w:p>
          <w:p w:rsidR="00000000" w:rsidRPr="00216EC1" w:rsidP="00216EC1">
            <w:pPr>
              <w:pStyle w:val="ListBullet"/>
            </w:pPr>
            <w:r w:rsidRPr="00216EC1">
              <w:t>Australian Dangerous Goods Code</w:t>
            </w:r>
          </w:p>
          <w:p w:rsidR="00000000" w:rsidRPr="00216EC1" w:rsidP="00216EC1">
            <w:pPr>
              <w:pStyle w:val="ListBullet"/>
            </w:pPr>
            <w:r w:rsidRPr="00216EC1">
              <w:t>Australian Quarantine and Inspection Service (AQIS) Export Contr</w:t>
            </w:r>
            <w:r w:rsidRPr="00216EC1">
              <w:t>ol (Orders) Regulations 1982</w:t>
            </w:r>
          </w:p>
          <w:p w:rsidR="00000000" w:rsidRPr="00216EC1" w:rsidP="00216EC1">
            <w:pPr>
              <w:pStyle w:val="ListBullet"/>
            </w:pPr>
            <w:r w:rsidRPr="00216EC1">
              <w:t>Australian Quarantine and Inspection Service (AQIS) Import Guidelines</w:t>
            </w:r>
          </w:p>
          <w:p w:rsidR="00000000" w:rsidRPr="00216EC1" w:rsidP="00216EC1">
            <w:pPr>
              <w:pStyle w:val="ListBullet"/>
            </w:pPr>
            <w:r w:rsidRPr="00216EC1">
              <w:t>Australian Radiation Protection and Nuclear Safety Agency (ARPANSA) Codes of Practice</w:t>
            </w:r>
          </w:p>
          <w:p w:rsidR="00000000" w:rsidRPr="00216EC1" w:rsidP="00216EC1">
            <w:pPr>
              <w:pStyle w:val="ListBullet"/>
            </w:pPr>
            <w:r w:rsidRPr="00216EC1">
              <w:t>cleaning, hygiene and personal hygiene requirements</w:t>
            </w:r>
          </w:p>
          <w:p w:rsidR="00000000" w:rsidRPr="00216EC1" w:rsidP="00216EC1">
            <w:pPr>
              <w:pStyle w:val="ListBullet"/>
            </w:pPr>
            <w:r w:rsidRPr="00216EC1">
              <w:t>enterprise procedur</w:t>
            </w:r>
            <w:r w:rsidRPr="00216EC1">
              <w:t>es, standard operating procedures (SOPs) and operating manuals</w:t>
            </w:r>
          </w:p>
          <w:p w:rsidR="00000000" w:rsidRPr="00216EC1" w:rsidP="00216EC1">
            <w:pPr>
              <w:pStyle w:val="ListBullet"/>
            </w:pPr>
            <w:r w:rsidRPr="00216EC1">
              <w:t>gene technology regulations</w:t>
            </w:r>
          </w:p>
          <w:p w:rsidR="00000000" w:rsidRPr="00216EC1" w:rsidP="00216EC1">
            <w:pPr>
              <w:pStyle w:val="ListBullet"/>
            </w:pPr>
            <w:r w:rsidRPr="00216EC1">
              <w:t>incident and accident/injury reports</w:t>
            </w:r>
          </w:p>
          <w:p w:rsidR="00000000" w:rsidRPr="00216EC1" w:rsidP="00216EC1">
            <w:pPr>
              <w:pStyle w:val="ListBullet"/>
            </w:pPr>
            <w:r w:rsidRPr="00216EC1">
              <w:t>material safety data sheets (MSDS)</w:t>
            </w:r>
          </w:p>
          <w:p w:rsidR="00000000" w:rsidRPr="00216EC1" w:rsidP="00216EC1">
            <w:pPr>
              <w:pStyle w:val="ListBullet"/>
            </w:pPr>
            <w:r w:rsidRPr="00216EC1">
              <w:t>National Code of Practice for the labelling of workplace substances (NOHSC:2012 (1994))</w:t>
            </w:r>
          </w:p>
          <w:p w:rsidR="00000000" w:rsidRPr="00216EC1" w:rsidP="00216EC1">
            <w:pPr>
              <w:pStyle w:val="ListBullet"/>
            </w:pPr>
            <w:r w:rsidRPr="00216EC1">
              <w:t>national environment protection measures</w:t>
            </w:r>
          </w:p>
          <w:p w:rsidR="00000000" w:rsidRPr="00216EC1" w:rsidP="00216EC1">
            <w:pPr>
              <w:pStyle w:val="ListBullet"/>
            </w:pPr>
            <w:r w:rsidRPr="00216EC1">
              <w:t>National Health and Medical Research Council (NHMRC) Guidelines</w:t>
            </w:r>
          </w:p>
          <w:p w:rsidR="00000000" w:rsidRPr="00216EC1" w:rsidP="00216EC1">
            <w:pPr>
              <w:pStyle w:val="ListBullet"/>
            </w:pPr>
            <w:r w:rsidRPr="00216EC1">
              <w:t>national measurement regulations and guidelines</w:t>
            </w:r>
          </w:p>
          <w:p w:rsidR="00000000" w:rsidRPr="00216EC1" w:rsidP="00216EC1">
            <w:pPr>
              <w:pStyle w:val="ListBullet"/>
            </w:pPr>
            <w:r w:rsidRPr="00216EC1">
              <w:t>occupational health and safety (OHS) national standards and codes of practice</w:t>
            </w:r>
          </w:p>
          <w:p w:rsidR="00000000" w:rsidRPr="00216EC1" w:rsidP="00216EC1">
            <w:pPr>
              <w:pStyle w:val="ListBullet"/>
            </w:pPr>
            <w:r w:rsidRPr="00216EC1">
              <w:t>sampling procedures (labe</w:t>
            </w:r>
            <w:r w:rsidRPr="00216EC1">
              <w:t>lling, preparation, storage, transport and disposal)</w:t>
            </w:r>
          </w:p>
          <w:p w:rsidR="00000000" w:rsidRPr="00216EC1" w:rsidP="00216EC1">
            <w:pPr>
              <w:pStyle w:val="ListBullet"/>
            </w:pPr>
            <w:r w:rsidRPr="00216EC1">
              <w:t>schematics, work flows and laboratory layouts</w:t>
            </w:r>
          </w:p>
          <w:p w:rsidR="00000000" w:rsidRPr="00216EC1" w:rsidP="00216EC1">
            <w:pPr>
              <w:pStyle w:val="ListBullet"/>
            </w:pPr>
            <w:r w:rsidRPr="00216EC1">
              <w:t>test procedures (validated and authorised)</w:t>
            </w:r>
          </w:p>
          <w:p w:rsidR="00000000" w:rsidRPr="00216EC1" w:rsidP="00216EC1">
            <w:pPr>
              <w:pStyle w:val="ListBullet"/>
            </w:pPr>
            <w:r w:rsidRPr="00216EC1">
              <w:t>Therapeutic Goods Regulations 1009</w:t>
            </w:r>
          </w:p>
          <w:p w:rsidR="00000000" w:rsidP="00216EC1">
            <w:pPr>
              <w:pStyle w:val="ListBullet"/>
              <w:rPr>
                <w:lang w:val="en-NZ"/>
              </w:rPr>
            </w:pPr>
            <w:r w:rsidRPr="00216EC1">
              <w:t>waste minimisation and disposal procedures</w:t>
            </w:r>
          </w:p>
        </w:tc>
      </w:tr>
      <w:tr w:rsidTr="00152D1E">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C1">
            <w:pPr>
              <w:pStyle w:val="BodyText"/>
              <w:rPr>
                <w:lang w:val="en-NZ"/>
              </w:rPr>
            </w:pPr>
            <w:r w:rsidRPr="00216EC1">
              <w:rPr>
                <w:rStyle w:val="SpecialBold"/>
              </w:rPr>
              <w:t>Reference materials</w:t>
            </w:r>
            <w:r w:rsidRPr="00216EC1">
              <w:t xml:space="preserve"> </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C1" w:rsidP="00216EC1">
            <w:pPr>
              <w:pStyle w:val="BodyText"/>
            </w:pPr>
            <w:r w:rsidRPr="00216EC1">
              <w:t>Reference mate</w:t>
            </w:r>
            <w:r w:rsidRPr="00216EC1">
              <w:t>rials may include:</w:t>
            </w:r>
          </w:p>
          <w:p w:rsidR="00000000" w:rsidRPr="00216EC1" w:rsidP="00216EC1">
            <w:pPr>
              <w:pStyle w:val="ListBullet"/>
            </w:pPr>
            <w:r w:rsidRPr="00216EC1">
              <w:t>specimens, such as cells, tissues and samples of aqueous or proteinaceous standards</w:t>
            </w:r>
          </w:p>
          <w:p w:rsidR="00000000" w:rsidRPr="00216EC1" w:rsidP="00216EC1">
            <w:pPr>
              <w:pStyle w:val="ListBullet"/>
            </w:pPr>
            <w:r w:rsidRPr="00216EC1">
              <w:t>aggregates, grains and powders</w:t>
            </w:r>
          </w:p>
          <w:p w:rsidR="00000000" w:rsidP="00216EC1">
            <w:pPr>
              <w:pStyle w:val="ListBullet"/>
              <w:rPr>
                <w:lang w:val="en-NZ"/>
              </w:rPr>
            </w:pPr>
            <w:r w:rsidRPr="00216EC1">
              <w:t>materials used for checking equipment calibrations</w:t>
            </w:r>
          </w:p>
        </w:tc>
      </w:tr>
      <w:tr w:rsidTr="00152D1E">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C1">
            <w:pPr>
              <w:pStyle w:val="BodyText"/>
              <w:rPr>
                <w:lang w:val="en-NZ"/>
              </w:rPr>
            </w:pPr>
            <w:r w:rsidRPr="00216EC1">
              <w:rPr>
                <w:rStyle w:val="SpecialBold"/>
              </w:rPr>
              <w:t>Dispensing and storing of reference materials</w:t>
            </w:r>
            <w:r w:rsidRPr="00216EC1">
              <w:t xml:space="preserve"> </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C1" w:rsidP="00216EC1">
            <w:pPr>
              <w:pStyle w:val="BodyText"/>
            </w:pPr>
            <w:r w:rsidRPr="00216EC1">
              <w:t xml:space="preserve">Dispensing </w:t>
            </w:r>
            <w:r w:rsidRPr="00216EC1">
              <w:t>and storing of reference materials may require:</w:t>
            </w:r>
          </w:p>
          <w:p w:rsidR="00000000" w:rsidRPr="00216EC1" w:rsidP="00216EC1">
            <w:pPr>
              <w:pStyle w:val="ListBullet"/>
            </w:pPr>
            <w:r w:rsidRPr="00216EC1">
              <w:t xml:space="preserve">reconstitution of  completely lyophilised materials </w:t>
            </w:r>
          </w:p>
          <w:p w:rsidR="00000000" w:rsidP="00216EC1">
            <w:pPr>
              <w:pStyle w:val="ListBullet"/>
              <w:rPr>
                <w:lang w:val="en-NZ"/>
              </w:rPr>
            </w:pPr>
            <w:r w:rsidRPr="00216EC1">
              <w:t xml:space="preserve">preparing materials for freeze-drying </w:t>
            </w:r>
          </w:p>
        </w:tc>
      </w:tr>
      <w:tr w:rsidTr="00152D1E">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C1">
            <w:pPr>
              <w:pStyle w:val="BodyText"/>
              <w:rPr>
                <w:lang w:val="en-NZ"/>
              </w:rPr>
            </w:pPr>
            <w:r w:rsidRPr="00216EC1">
              <w:rPr>
                <w:rStyle w:val="SpecialBold"/>
              </w:rPr>
              <w:t>Equipment</w:t>
            </w:r>
            <w:r w:rsidRPr="00216EC1">
              <w:t xml:space="preserve">, </w:t>
            </w:r>
            <w:r w:rsidRPr="00216EC1">
              <w:rPr>
                <w:rStyle w:val="SpecialBold"/>
              </w:rPr>
              <w:t>materials and systems</w:t>
            </w:r>
            <w:r w:rsidRPr="00216EC1">
              <w:t xml:space="preserve"> </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C1" w:rsidP="00216EC1">
            <w:pPr>
              <w:pStyle w:val="BodyText"/>
            </w:pPr>
            <w:r w:rsidRPr="00216EC1">
              <w:t>Equipment, materials and systems may include:</w:t>
            </w:r>
          </w:p>
          <w:p w:rsidR="00000000" w:rsidRPr="00216EC1" w:rsidP="00216EC1">
            <w:pPr>
              <w:pStyle w:val="ListBullet"/>
            </w:pPr>
            <w:r w:rsidRPr="00216EC1">
              <w:t>centrifuges, water baths and incu</w:t>
            </w:r>
            <w:r w:rsidRPr="00216EC1">
              <w:t>bators</w:t>
            </w:r>
          </w:p>
          <w:p w:rsidR="00000000" w:rsidRPr="00216EC1" w:rsidP="00216EC1">
            <w:pPr>
              <w:pStyle w:val="ListBullet"/>
            </w:pPr>
            <w:r w:rsidRPr="00216EC1">
              <w:t>lyophilisers and humidifiers</w:t>
            </w:r>
          </w:p>
          <w:p w:rsidR="00000000" w:rsidRPr="00216EC1" w:rsidP="00216EC1">
            <w:pPr>
              <w:pStyle w:val="ListBullet"/>
            </w:pPr>
            <w:r w:rsidRPr="00216EC1">
              <w:t>equipment and material for transport, such as dry ice or ice packs</w:t>
            </w:r>
          </w:p>
          <w:p w:rsidR="00000000" w:rsidRPr="00216EC1" w:rsidP="00216EC1">
            <w:pPr>
              <w:pStyle w:val="ListBullet"/>
            </w:pPr>
            <w:r w:rsidRPr="00216EC1">
              <w:t>equipment and material for storage, such as liquid nitrogen</w:t>
            </w:r>
          </w:p>
          <w:p w:rsidR="00000000" w:rsidRPr="00216EC1" w:rsidP="00216EC1">
            <w:pPr>
              <w:pStyle w:val="ListBullet"/>
            </w:pPr>
            <w:r w:rsidRPr="00216EC1">
              <w:t>storage boxes</w:t>
            </w:r>
          </w:p>
          <w:p w:rsidR="00000000" w:rsidRPr="00216EC1" w:rsidP="00216EC1">
            <w:pPr>
              <w:pStyle w:val="ListBullet"/>
            </w:pPr>
            <w:r w:rsidRPr="00216EC1">
              <w:t>storage and display cabinets</w:t>
            </w:r>
          </w:p>
          <w:p w:rsidR="00000000" w:rsidRPr="00216EC1" w:rsidP="00216EC1">
            <w:pPr>
              <w:pStyle w:val="ListBullet"/>
            </w:pPr>
            <w:r w:rsidRPr="00216EC1">
              <w:t>computer information systems, databases, record and filing systems</w:t>
            </w:r>
          </w:p>
          <w:p w:rsidR="00000000" w:rsidRPr="00216EC1" w:rsidP="00216EC1">
            <w:pPr>
              <w:pStyle w:val="ListBullet"/>
            </w:pPr>
            <w:r w:rsidRPr="00216EC1">
              <w:t>laboratory glassware and measuring equipment</w:t>
            </w:r>
          </w:p>
          <w:p w:rsidR="00000000" w:rsidP="00216EC1">
            <w:pPr>
              <w:pStyle w:val="ListBullet"/>
              <w:rPr>
                <w:lang w:val="en-NZ"/>
              </w:rPr>
            </w:pPr>
            <w:r w:rsidRPr="00216EC1">
              <w:t>materials suitable for the safe collection and disposal of biological and non-biological wastes</w:t>
            </w:r>
          </w:p>
        </w:tc>
      </w:tr>
      <w:tr w:rsidTr="00152D1E">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C1">
            <w:pPr>
              <w:pStyle w:val="BodyText"/>
              <w:rPr>
                <w:lang w:val="en-NZ"/>
              </w:rPr>
            </w:pPr>
            <w:r w:rsidRPr="00216EC1">
              <w:rPr>
                <w:rStyle w:val="SpecialBold"/>
              </w:rPr>
              <w:t>Communication</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C1" w:rsidP="00216EC1">
            <w:pPr>
              <w:pStyle w:val="BodyText"/>
            </w:pPr>
            <w:r w:rsidRPr="00216EC1">
              <w:t>Communication may involve:</w:t>
            </w:r>
          </w:p>
          <w:p w:rsidR="00000000" w:rsidRPr="00216EC1" w:rsidP="00216EC1">
            <w:pPr>
              <w:pStyle w:val="ListBullet"/>
            </w:pPr>
            <w:r w:rsidRPr="00216EC1">
              <w:t>super</w:t>
            </w:r>
            <w:r w:rsidRPr="00216EC1">
              <w:t>visors and managers (laboratory, quality and customer service)</w:t>
            </w:r>
          </w:p>
          <w:p w:rsidR="00000000" w:rsidRPr="00216EC1" w:rsidP="00216EC1">
            <w:pPr>
              <w:pStyle w:val="ListBullet"/>
            </w:pPr>
            <w:r w:rsidRPr="00216EC1">
              <w:t>other laboratory or clinical personnel</w:t>
            </w:r>
          </w:p>
          <w:p w:rsidR="00000000" w:rsidP="00216EC1">
            <w:pPr>
              <w:pStyle w:val="ListBullet"/>
              <w:rPr>
                <w:lang w:val="en-NZ"/>
              </w:rPr>
            </w:pPr>
            <w:r w:rsidRPr="00216EC1">
              <w:t>outside suppliers, internal and external customers</w:t>
            </w:r>
          </w:p>
        </w:tc>
      </w:tr>
      <w:tr w:rsidTr="00152D1E">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C1">
            <w:pPr>
              <w:pStyle w:val="BodyText"/>
              <w:rPr>
                <w:lang w:val="en-NZ"/>
              </w:rPr>
            </w:pPr>
            <w:r w:rsidRPr="00216EC1">
              <w:rPr>
                <w:rStyle w:val="SpecialBold"/>
              </w:rPr>
              <w:t>Hazards</w:t>
            </w:r>
            <w:r w:rsidRPr="00216EC1">
              <w:t xml:space="preserve"> </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C1" w:rsidP="00216EC1">
            <w:pPr>
              <w:pStyle w:val="BodyText"/>
            </w:pPr>
            <w:r w:rsidRPr="00216EC1">
              <w:t>Hazards may include:</w:t>
            </w:r>
          </w:p>
          <w:p w:rsidR="00000000" w:rsidRPr="00216EC1" w:rsidP="00216EC1">
            <w:pPr>
              <w:pStyle w:val="ListBullet"/>
            </w:pPr>
            <w:r w:rsidRPr="00216EC1">
              <w:t>chemicals, reagents</w:t>
            </w:r>
          </w:p>
          <w:p w:rsidR="00000000" w:rsidRPr="00216EC1" w:rsidP="00216EC1">
            <w:pPr>
              <w:pStyle w:val="ListBullet"/>
            </w:pPr>
            <w:r w:rsidRPr="00216EC1">
              <w:t>micro-organisms associated with soil, air, water, b</w:t>
            </w:r>
            <w:r w:rsidRPr="00216EC1">
              <w:t>lood and blood products and human or animal tissue and fluids</w:t>
            </w:r>
          </w:p>
          <w:p w:rsidR="00000000" w:rsidRPr="00216EC1" w:rsidP="00216EC1">
            <w:pPr>
              <w:pStyle w:val="ListBullet"/>
            </w:pPr>
            <w:r w:rsidRPr="00216EC1">
              <w:t>sharps, such as broken glassware</w:t>
            </w:r>
          </w:p>
          <w:p w:rsidR="00000000" w:rsidRPr="00216EC1" w:rsidP="00216EC1">
            <w:pPr>
              <w:pStyle w:val="ListBullet"/>
            </w:pPr>
            <w:r w:rsidRPr="00216EC1">
              <w:t>disturbance or interruption of services</w:t>
            </w:r>
          </w:p>
          <w:p w:rsidR="00000000" w:rsidP="00216EC1">
            <w:pPr>
              <w:pStyle w:val="ListBullet"/>
              <w:rPr>
                <w:lang w:val="en-NZ"/>
              </w:rPr>
            </w:pPr>
            <w:r w:rsidRPr="00216EC1">
              <w:t>manual handling of heavy boxes</w:t>
            </w:r>
          </w:p>
        </w:tc>
      </w:tr>
      <w:tr w:rsidTr="00152D1E">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C1">
            <w:pPr>
              <w:pStyle w:val="BodyText"/>
              <w:rPr>
                <w:lang w:val="en-NZ"/>
              </w:rPr>
            </w:pPr>
            <w:r w:rsidRPr="00216EC1">
              <w:rPr>
                <w:rStyle w:val="SpecialBold"/>
              </w:rPr>
              <w:t>Safety procedures</w:t>
            </w:r>
            <w:r w:rsidRPr="00216EC1">
              <w:t xml:space="preserve"> </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C1" w:rsidP="00216EC1">
            <w:pPr>
              <w:pStyle w:val="BodyText"/>
            </w:pPr>
            <w:r w:rsidRPr="00216EC1">
              <w:t>Safety procedures may include:</w:t>
            </w:r>
          </w:p>
          <w:p w:rsidR="00000000" w:rsidRPr="00216EC1" w:rsidP="00216EC1">
            <w:pPr>
              <w:pStyle w:val="ListBullet"/>
            </w:pPr>
            <w:r w:rsidRPr="00216EC1">
              <w:t>use of personal protective equipment, such as hearing protection, gloves, safety glasses and coveralls</w:t>
            </w:r>
          </w:p>
          <w:p w:rsidR="00000000" w:rsidRPr="00216EC1" w:rsidP="00216EC1">
            <w:pPr>
              <w:pStyle w:val="ListBullet"/>
            </w:pPr>
            <w:r w:rsidRPr="00216EC1">
              <w:t>ensuring access to service shut-off points</w:t>
            </w:r>
          </w:p>
          <w:p w:rsidR="00000000" w:rsidRPr="00216EC1" w:rsidP="00216EC1">
            <w:pPr>
              <w:pStyle w:val="ListBullet"/>
            </w:pPr>
            <w:r w:rsidRPr="00216EC1">
              <w:t>handling and storing hazardous materials and equipment in accordance with labels, MSDS, manufacturer's instruc</w:t>
            </w:r>
            <w:r w:rsidRPr="00216EC1">
              <w:t>tions and enterprise procedures and regulations</w:t>
            </w:r>
          </w:p>
          <w:p w:rsidR="00000000" w:rsidP="00216EC1">
            <w:pPr>
              <w:pStyle w:val="ListBullet"/>
              <w:rPr>
                <w:lang w:val="en-NZ"/>
              </w:rPr>
            </w:pPr>
            <w:r w:rsidRPr="00216EC1">
              <w:t>regular cleaning of equipment and work areas</w:t>
            </w:r>
          </w:p>
        </w:tc>
      </w:tr>
      <w:tr w:rsidTr="00152D1E">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C1">
            <w:pPr>
              <w:pStyle w:val="BodyText"/>
              <w:rPr>
                <w:lang w:val="en-NZ"/>
              </w:rPr>
            </w:pPr>
            <w:r w:rsidRPr="00216EC1">
              <w:rPr>
                <w:rStyle w:val="SpecialBold"/>
              </w:rPr>
              <w:t>Occupational health and safety</w:t>
            </w:r>
            <w:r w:rsidRPr="00216EC1">
              <w:t xml:space="preserve"> (</w:t>
            </w:r>
            <w:r w:rsidRPr="00216EC1">
              <w:rPr>
                <w:rStyle w:val="SpecialBold"/>
              </w:rPr>
              <w:t>OHS</w:t>
            </w:r>
            <w:r w:rsidRPr="00216EC1">
              <w:t xml:space="preserve">) </w:t>
            </w:r>
            <w:r w:rsidRPr="00216EC1">
              <w:rPr>
                <w:rStyle w:val="SpecialBold"/>
              </w:rPr>
              <w:t>and environmental management requirements</w:t>
            </w:r>
            <w:r w:rsidRPr="00216EC1">
              <w:t xml:space="preserve"> </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C1" w:rsidP="00216EC1">
            <w:pPr>
              <w:pStyle w:val="BodyText"/>
            </w:pPr>
            <w:r w:rsidRPr="00216EC1">
              <w:t>OHS and environmental management requirements:</w:t>
            </w:r>
          </w:p>
          <w:p w:rsidR="00000000" w:rsidRPr="00216EC1" w:rsidP="00216EC1">
            <w:pPr>
              <w:pStyle w:val="ListBullet"/>
            </w:pPr>
            <w:r w:rsidRPr="00216EC1">
              <w:t>all operations must comply with en</w:t>
            </w:r>
            <w:r w:rsidRPr="00216EC1">
              <w:t>terprise OHS and environmental management requirements, which may be imposed through state/territory or federal legislation - these requirements must not be compromised at any time</w:t>
            </w:r>
          </w:p>
          <w:p w:rsidR="00000000" w:rsidRPr="00216EC1" w:rsidP="00216EC1">
            <w:pPr>
              <w:pStyle w:val="ListBullet"/>
            </w:pPr>
            <w:r w:rsidRPr="00216EC1">
              <w:t>all operations assume the potentially hazardous nature of samples and requi</w:t>
            </w:r>
            <w:r w:rsidRPr="00216EC1">
              <w:t>re standard precautions to be applied</w:t>
            </w:r>
          </w:p>
          <w:p w:rsidR="00000000" w:rsidRPr="00216EC1" w:rsidP="00216EC1">
            <w:pPr>
              <w:pStyle w:val="ListBullet"/>
            </w:pPr>
            <w:r w:rsidRPr="00216EC1">
              <w:t>where relevant, users should access and apply current industry understanding of infection control issued by the National Health and Medical Research Council (NHMRC) and State and Territory Departments of Health</w:t>
            </w:r>
          </w:p>
        </w:tc>
      </w:tr>
    </w:tbl>
    <w:p w:rsidR="00152D1E" w:rsidP="00216EC1">
      <w:pPr>
        <w:pStyle w:val="BodyText"/>
      </w:pPr>
    </w:p>
    <w:p w:rsidR="00152D1E" w:rsidP="00216EC1">
      <w:pPr>
        <w:pStyle w:val="BodyText"/>
      </w:pPr>
    </w:p>
    <w:p w:rsidR="00000000" w:rsidRPr="00216EC1" w:rsidP="00216EC1">
      <w:pPr>
        <w:pStyle w:val="Heading1"/>
      </w:pPr>
      <w:bookmarkStart w:id="12" w:name="O_102926"/>
      <w:bookmarkEnd w:id="12"/>
      <w:r w:rsidRPr="00216EC1">
        <w:t>Unit Sector(s)</w:t>
      </w:r>
    </w:p>
    <w:tbl>
      <w:tblPr>
        <w:tblW w:w="0" w:type="auto"/>
        <w:tblLayout w:type="fixed"/>
        <w:tblCellMar>
          <w:left w:w="62" w:type="dxa"/>
          <w:right w:w="62" w:type="dxa"/>
        </w:tblCellMar>
        <w:tblLook w:val="0000"/>
      </w:tblPr>
      <w:tblGrid>
        <w:gridCol w:w="2601"/>
        <w:gridCol w:w="5921"/>
      </w:tblGrid>
      <w:tr w:rsidTr="00152D1E">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C1">
            <w:pPr>
              <w:pStyle w:val="BodyText"/>
              <w:rPr>
                <w:lang w:val="en-NZ"/>
              </w:rPr>
            </w:pPr>
            <w:r w:rsidRPr="00216EC1">
              <w:rPr>
                <w:rStyle w:val="SpecialBold"/>
              </w:rPr>
              <w:t>Unit sector</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C1" w:rsidP="00216EC1">
            <w:pPr>
              <w:pStyle w:val="BodyText"/>
            </w:pPr>
            <w:r w:rsidRPr="00216EC1">
              <w:t xml:space="preserve">Maintenance </w:t>
            </w:r>
          </w:p>
        </w:tc>
      </w:tr>
    </w:tbl>
    <w:p w:rsidR="00000000" w:rsidRPr="00216EC1" w:rsidP="00216EC1">
      <w:pPr>
        <w:pStyle w:val="BodyText"/>
      </w:pPr>
    </w:p>
    <w:p w:rsidR="00000000" w:rsidRPr="00216EC1" w:rsidP="00216EC1">
      <w:pPr>
        <w:pStyle w:val="AllowPageBreak"/>
      </w:pPr>
    </w:p>
    <w:p w:rsidR="00000000" w:rsidRPr="00216EC1" w:rsidP="00216EC1">
      <w:pPr>
        <w:pStyle w:val="Heading1"/>
      </w:pPr>
      <w:bookmarkStart w:id="13" w:name="O_159468"/>
      <w:bookmarkEnd w:id="13"/>
      <w:r w:rsidRPr="00216EC1">
        <w:t>Competency field</w:t>
      </w:r>
    </w:p>
    <w:tbl>
      <w:tblPr>
        <w:tblW w:w="0" w:type="auto"/>
        <w:tblLayout w:type="fixed"/>
        <w:tblCellMar>
          <w:left w:w="62" w:type="dxa"/>
          <w:right w:w="62" w:type="dxa"/>
        </w:tblCellMar>
        <w:tblLook w:val="0000"/>
      </w:tblPr>
      <w:tblGrid>
        <w:gridCol w:w="2784"/>
        <w:gridCol w:w="5738"/>
      </w:tblGrid>
      <w:tr w:rsidTr="00152D1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C1">
            <w:pPr>
              <w:pStyle w:val="BodyText"/>
              <w:rPr>
                <w:lang w:val="en-NZ"/>
              </w:rPr>
            </w:pPr>
            <w:r w:rsidRPr="00216EC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C1" w:rsidP="00216EC1">
            <w:pPr>
              <w:pStyle w:val="BodyText"/>
            </w:pPr>
          </w:p>
        </w:tc>
      </w:tr>
    </w:tbl>
    <w:p w:rsidR="00000000" w:rsidRPr="00216EC1" w:rsidP="00216EC1">
      <w:pPr>
        <w:pStyle w:val="BodyText"/>
      </w:pPr>
    </w:p>
    <w:p w:rsidR="00000000" w:rsidRPr="00216EC1" w:rsidP="00216EC1">
      <w:pPr>
        <w:pStyle w:val="AllowPageBreak"/>
      </w:pPr>
    </w:p>
    <w:p w:rsidR="00000000" w:rsidRPr="00216EC1" w:rsidP="00216EC1">
      <w:pPr>
        <w:pStyle w:val="Heading1"/>
      </w:pPr>
      <w:bookmarkStart w:id="14" w:name="O_159467"/>
      <w:bookmarkEnd w:id="14"/>
      <w:r w:rsidRPr="00216EC1">
        <w:t>Co-requisite units</w:t>
      </w:r>
    </w:p>
    <w:tbl>
      <w:tblPr>
        <w:tblW w:w="0" w:type="auto"/>
        <w:tblLayout w:type="fixed"/>
        <w:tblCellMar>
          <w:left w:w="62" w:type="dxa"/>
          <w:right w:w="62" w:type="dxa"/>
        </w:tblCellMar>
        <w:tblLook w:val="0000"/>
      </w:tblPr>
      <w:tblGrid>
        <w:gridCol w:w="2641"/>
        <w:gridCol w:w="1322"/>
        <w:gridCol w:w="4559"/>
      </w:tblGrid>
      <w:tr w:rsidTr="00152D1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C1">
            <w:pPr>
              <w:pStyle w:val="BodyText"/>
              <w:rPr>
                <w:lang w:val="en-NZ"/>
              </w:rPr>
            </w:pPr>
            <w:r w:rsidRPr="00216EC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C1">
            <w:pPr>
              <w:pStyle w:val="BodyText"/>
              <w:rPr>
                <w:lang w:val="en-NZ"/>
              </w:rPr>
            </w:pPr>
          </w:p>
        </w:tc>
      </w:tr>
      <w:tr w:rsidTr="00152D1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6EC1">
            <w:pPr>
              <w:pStyle w:val="BodyText"/>
              <w:rPr>
                <w:lang w:val="en-NZ"/>
              </w:rPr>
            </w:pPr>
          </w:p>
        </w:tc>
      </w:tr>
      <w:tr w:rsidTr="00152D1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6EC1" w:rsidP="00216EC1">
            <w:pPr>
              <w:pStyle w:val="BodyText"/>
            </w:pPr>
          </w:p>
        </w:tc>
      </w:tr>
    </w:tbl>
    <w:p w:rsidR="00000000" w:rsidRPr="00216EC1" w:rsidP="00216EC1">
      <w:pPr>
        <w:pStyle w:val="BodyText"/>
      </w:pPr>
    </w:p>
    <w:p w:rsidR="00000000" w:rsidRPr="00216EC1" w:rsidP="00216EC1"/>
    <w:sectPr w:rsidSect="00216E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E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2D1E" w:rsidP="00152D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E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D1E" w:rsidP="00216E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52D1E" w:rsidP="00216E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52D1E" w:rsidP="00216E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E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2D1E" w:rsidP="00152D1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E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D1E" w:rsidP="00216EC1">
    <w:pPr>
      <w:pStyle w:val="Header"/>
      <w:framePr w:wrap="around"/>
    </w:pPr>
    <w:r>
      <w:fldChar w:fldCharType="begin"/>
    </w:r>
    <w:r>
      <w:instrText xml:space="preserve"> TITLE   \* MERGEFORMAT </w:instrText>
    </w:r>
    <w:r>
      <w:fldChar w:fldCharType="separate"/>
    </w:r>
    <w:r>
      <w:t>MSL935002A Assist in the maintenance of reference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52D1E" w:rsidP="00216E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4665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8C25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BCEA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E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6EC1"/>
    <w:pPr>
      <w:spacing w:before="360" w:after="60"/>
      <w:outlineLvl w:val="0"/>
    </w:pPr>
    <w:rPr>
      <w:sz w:val="32"/>
    </w:rPr>
  </w:style>
  <w:style w:type="paragraph" w:styleId="Heading2">
    <w:name w:val="heading 2"/>
    <w:basedOn w:val="HeadingBase"/>
    <w:next w:val="BodyText"/>
    <w:link w:val="Heading2Char"/>
    <w:qFormat/>
    <w:rsid w:val="00216EC1"/>
    <w:pPr>
      <w:keepLines/>
      <w:spacing w:before="240" w:after="120"/>
      <w:outlineLvl w:val="1"/>
    </w:pPr>
    <w:rPr>
      <w:sz w:val="28"/>
      <w:szCs w:val="40"/>
    </w:rPr>
  </w:style>
  <w:style w:type="paragraph" w:styleId="Heading3">
    <w:name w:val="heading 3"/>
    <w:basedOn w:val="HeadingBase"/>
    <w:next w:val="BodyText"/>
    <w:link w:val="Heading3Char"/>
    <w:qFormat/>
    <w:rsid w:val="00216EC1"/>
    <w:pPr>
      <w:spacing w:before="180" w:after="120"/>
      <w:outlineLvl w:val="2"/>
    </w:pPr>
    <w:rPr>
      <w:spacing w:val="-10"/>
      <w:kern w:val="32"/>
    </w:rPr>
  </w:style>
  <w:style w:type="paragraph" w:styleId="Heading4">
    <w:name w:val="heading 4"/>
    <w:basedOn w:val="HeadingBase"/>
    <w:next w:val="BodyText"/>
    <w:link w:val="Heading4Char"/>
    <w:qFormat/>
    <w:rsid w:val="00216EC1"/>
    <w:pPr>
      <w:spacing w:before="160" w:after="120"/>
      <w:outlineLvl w:val="3"/>
    </w:pPr>
    <w:rPr>
      <w:sz w:val="22"/>
    </w:rPr>
  </w:style>
  <w:style w:type="paragraph" w:styleId="Heading5">
    <w:name w:val="heading 5"/>
    <w:basedOn w:val="HeadingBase"/>
    <w:next w:val="Normal"/>
    <w:link w:val="Heading5Char"/>
    <w:qFormat/>
    <w:rsid w:val="00216EC1"/>
    <w:pPr>
      <w:spacing w:before="80"/>
      <w:outlineLvl w:val="4"/>
    </w:pPr>
    <w:rPr>
      <w:color w:val="918585"/>
      <w:sz w:val="20"/>
    </w:rPr>
  </w:style>
  <w:style w:type="paragraph" w:styleId="Heading6">
    <w:name w:val="heading 6"/>
    <w:basedOn w:val="HeadingBase"/>
    <w:next w:val="Normal"/>
    <w:link w:val="Heading6Char"/>
    <w:qFormat/>
    <w:rsid w:val="00216EC1"/>
    <w:pPr>
      <w:spacing w:before="60"/>
      <w:outlineLvl w:val="5"/>
    </w:pPr>
    <w:rPr>
      <w:color w:val="918585"/>
      <w:sz w:val="20"/>
    </w:rPr>
  </w:style>
  <w:style w:type="paragraph" w:styleId="Heading7">
    <w:name w:val="heading 7"/>
    <w:basedOn w:val="Normal"/>
    <w:next w:val="Normal"/>
    <w:link w:val="Heading7Char"/>
    <w:qFormat/>
    <w:rsid w:val="00216EC1"/>
    <w:pPr>
      <w:ind w:left="720"/>
      <w:outlineLvl w:val="6"/>
    </w:pPr>
    <w:rPr>
      <w:i/>
    </w:rPr>
  </w:style>
  <w:style w:type="paragraph" w:styleId="Heading8">
    <w:name w:val="heading 8"/>
    <w:basedOn w:val="Normal"/>
    <w:next w:val="Normal"/>
    <w:link w:val="Heading8Char"/>
    <w:qFormat/>
    <w:rsid w:val="00216EC1"/>
    <w:pPr>
      <w:ind w:left="720"/>
      <w:outlineLvl w:val="7"/>
    </w:pPr>
    <w:rPr>
      <w:i/>
    </w:rPr>
  </w:style>
  <w:style w:type="paragraph" w:styleId="Heading9">
    <w:name w:val="heading 9"/>
    <w:basedOn w:val="Normal"/>
    <w:next w:val="Normal"/>
    <w:link w:val="Heading9Char"/>
    <w:qFormat/>
    <w:rsid w:val="00216EC1"/>
    <w:pPr>
      <w:ind w:left="720"/>
      <w:outlineLvl w:val="8"/>
    </w:pPr>
    <w:rPr>
      <w:i/>
    </w:rPr>
  </w:style>
  <w:style w:type="character" w:default="1" w:styleId="DefaultParagraphFont">
    <w:name w:val="Default Paragraph Font"/>
    <w:uiPriority w:val="1"/>
    <w:unhideWhenUsed/>
    <w:rsid w:val="00216E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6EC1"/>
  </w:style>
  <w:style w:type="character" w:customStyle="1" w:styleId="Heading1Char">
    <w:name w:val="Heading 1 Char"/>
    <w:basedOn w:val="DefaultParagraphFont"/>
    <w:link w:val="Heading1"/>
    <w:rsid w:val="00216EC1"/>
    <w:rPr>
      <w:rFonts w:ascii="Times New Roman" w:eastAsia="Times New Roman" w:hAnsi="Times New Roman" w:cs="Times New Roman"/>
      <w:b/>
      <w:sz w:val="32"/>
      <w:szCs w:val="20"/>
      <w:lang w:eastAsia="en-US"/>
    </w:rPr>
  </w:style>
  <w:style w:type="paragraph" w:styleId="BodyText">
    <w:name w:val="Body Text"/>
    <w:basedOn w:val="Normal"/>
    <w:link w:val="BodyTextChar"/>
    <w:rsid w:val="00216E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6EC1"/>
    <w:rPr>
      <w:rFonts w:ascii="Times New Roman" w:eastAsia="Times New Roman" w:hAnsi="Times New Roman" w:cs="Times New Roman"/>
      <w:sz w:val="24"/>
      <w:lang w:val="en-US" w:eastAsia="en-US"/>
    </w:rPr>
  </w:style>
  <w:style w:type="paragraph" w:styleId="Footer">
    <w:name w:val="footer"/>
    <w:basedOn w:val="Normal"/>
    <w:link w:val="FooterChar"/>
    <w:rsid w:val="00216E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6EC1"/>
    <w:rPr>
      <w:rFonts w:ascii="Times New Roman" w:eastAsia="Times New Roman" w:hAnsi="Times New Roman" w:cs="Times New Roman"/>
      <w:sz w:val="16"/>
      <w:lang w:val="en-US" w:eastAsia="en-US"/>
    </w:rPr>
  </w:style>
  <w:style w:type="paragraph" w:styleId="List">
    <w:name w:val="List"/>
    <w:basedOn w:val="BodyText"/>
    <w:next w:val="BodyText"/>
    <w:rsid w:val="00216EC1"/>
    <w:pPr>
      <w:tabs>
        <w:tab w:val="left" w:pos="340"/>
      </w:tabs>
      <w:spacing w:before="60" w:after="60"/>
      <w:ind w:left="340" w:hanging="340"/>
    </w:pPr>
  </w:style>
  <w:style w:type="paragraph" w:styleId="ListBullet">
    <w:name w:val="List Bullet"/>
    <w:basedOn w:val="List"/>
    <w:rsid w:val="00216EC1"/>
    <w:pPr>
      <w:numPr>
        <w:numId w:val="13"/>
      </w:numPr>
      <w:tabs>
        <w:tab w:val="clear" w:pos="340"/>
      </w:tabs>
      <w:spacing w:before="40" w:after="40"/>
    </w:pPr>
  </w:style>
  <w:style w:type="character" w:customStyle="1" w:styleId="SpecialBold">
    <w:name w:val="Special Bold"/>
    <w:basedOn w:val="DefaultParagraphFont"/>
    <w:rsid w:val="00216EC1"/>
    <w:rPr>
      <w:b/>
      <w:spacing w:val="0"/>
    </w:rPr>
  </w:style>
  <w:style w:type="paragraph" w:styleId="ListBullet2">
    <w:name w:val="List Bullet 2"/>
    <w:basedOn w:val="List2"/>
    <w:rsid w:val="00216EC1"/>
    <w:pPr>
      <w:numPr>
        <w:numId w:val="14"/>
      </w:numPr>
      <w:tabs>
        <w:tab w:val="clear" w:pos="680"/>
      </w:tabs>
    </w:pPr>
  </w:style>
  <w:style w:type="paragraph" w:styleId="Header">
    <w:name w:val="header"/>
    <w:basedOn w:val="Normal"/>
    <w:link w:val="HeaderChar"/>
    <w:rsid w:val="00216E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6EC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16EC1"/>
    <w:rPr>
      <w:i/>
    </w:rPr>
  </w:style>
  <w:style w:type="paragraph" w:customStyle="1" w:styleId="SuperHeading">
    <w:name w:val="SuperHeading"/>
    <w:basedOn w:val="Normal"/>
    <w:rsid w:val="00216EC1"/>
    <w:pPr>
      <w:spacing w:before="240" w:after="120"/>
      <w:outlineLvl w:val="0"/>
    </w:pPr>
    <w:rPr>
      <w:rFonts w:ascii="Times New Roman" w:hAnsi="Times New Roman"/>
      <w:b/>
      <w:sz w:val="28"/>
    </w:rPr>
  </w:style>
  <w:style w:type="paragraph" w:customStyle="1" w:styleId="AllowPageBreak">
    <w:name w:val="AllowPageBreak"/>
    <w:rsid w:val="00216EC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16EC1"/>
    <w:pPr>
      <w:tabs>
        <w:tab w:val="left" w:pos="680"/>
      </w:tabs>
      <w:spacing w:before="60" w:after="60"/>
      <w:ind w:left="680" w:hanging="340"/>
    </w:pPr>
  </w:style>
  <w:style w:type="character" w:customStyle="1" w:styleId="Heading2Char">
    <w:name w:val="Heading 2 Char"/>
    <w:basedOn w:val="DefaultParagraphFont"/>
    <w:link w:val="Heading2"/>
    <w:rsid w:val="00216E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6E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6E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6E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6E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6E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6E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6EC1"/>
    <w:rPr>
      <w:rFonts w:ascii="Courier New" w:eastAsia="Times New Roman" w:hAnsi="Courier New" w:cs="Times New Roman"/>
      <w:i/>
      <w:szCs w:val="20"/>
      <w:lang w:val="en-US" w:eastAsia="en-US"/>
    </w:rPr>
  </w:style>
  <w:style w:type="paragraph" w:customStyle="1" w:styleId="HeadingBase">
    <w:name w:val="Heading Base"/>
    <w:rsid w:val="00216E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6EC1"/>
    <w:pPr>
      <w:tabs>
        <w:tab w:val="right" w:leader="dot" w:pos="9072"/>
      </w:tabs>
      <w:ind w:left="567"/>
    </w:pPr>
    <w:rPr>
      <w:szCs w:val="22"/>
    </w:rPr>
  </w:style>
  <w:style w:type="paragraph" w:customStyle="1" w:styleId="TOCBase">
    <w:name w:val="TOC Base"/>
    <w:rsid w:val="00216E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6EC1"/>
    <w:pPr>
      <w:tabs>
        <w:tab w:val="right" w:leader="dot" w:pos="9072"/>
      </w:tabs>
      <w:spacing w:before="40" w:after="40"/>
      <w:ind w:left="284"/>
    </w:pPr>
    <w:rPr>
      <w:rFonts w:ascii="Times New Roman" w:hAnsi="Times New Roman"/>
    </w:rPr>
  </w:style>
  <w:style w:type="paragraph" w:styleId="TOC1">
    <w:name w:val="toc 1"/>
    <w:basedOn w:val="TOCBase"/>
    <w:next w:val="Normal"/>
    <w:rsid w:val="00216E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6EC1"/>
    <w:pPr>
      <w:spacing w:before="5040"/>
      <w:jc w:val="center"/>
    </w:pPr>
    <w:rPr>
      <w:sz w:val="48"/>
      <w:szCs w:val="72"/>
      <w:lang w:val="en-US"/>
    </w:rPr>
  </w:style>
  <w:style w:type="character" w:customStyle="1" w:styleId="TitleChar">
    <w:name w:val="Title Char"/>
    <w:basedOn w:val="DefaultParagraphFont"/>
    <w:link w:val="Title"/>
    <w:rsid w:val="00216E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6EC1"/>
    <w:pPr>
      <w:tabs>
        <w:tab w:val="left" w:pos="3600"/>
        <w:tab w:val="left" w:pos="3958"/>
      </w:tabs>
    </w:pPr>
  </w:style>
  <w:style w:type="paragraph" w:customStyle="1" w:styleId="Note">
    <w:name w:val="Note"/>
    <w:basedOn w:val="BodyText"/>
    <w:rsid w:val="00216E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6EC1"/>
    <w:pPr>
      <w:framePr w:wrap="auto" w:hAnchor="text" w:y="6049"/>
    </w:pPr>
    <w:rPr>
      <w:color w:val="000000"/>
      <w:sz w:val="40"/>
    </w:rPr>
  </w:style>
  <w:style w:type="paragraph" w:customStyle="1" w:styleId="TOCTitle">
    <w:name w:val="TOCTitle"/>
    <w:basedOn w:val="Heading1"/>
    <w:rsid w:val="00216EC1"/>
    <w:pPr>
      <w:spacing w:after="240"/>
      <w:jc w:val="center"/>
      <w:outlineLvl w:val="9"/>
    </w:pPr>
    <w:rPr>
      <w:caps/>
    </w:rPr>
  </w:style>
  <w:style w:type="paragraph" w:customStyle="1" w:styleId="Version">
    <w:name w:val="Version"/>
    <w:rsid w:val="00216E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6EC1"/>
    <w:pPr>
      <w:keepNext w:val="0"/>
      <w:tabs>
        <w:tab w:val="right" w:pos="4176"/>
      </w:tabs>
      <w:ind w:left="198" w:hanging="198"/>
    </w:pPr>
    <w:rPr>
      <w:rFonts w:ascii="Garamond" w:hAnsi="Garamond"/>
    </w:rPr>
  </w:style>
  <w:style w:type="paragraph" w:styleId="IndexHeading">
    <w:name w:val="index heading"/>
    <w:basedOn w:val="Normal"/>
    <w:next w:val="Index1"/>
    <w:semiHidden/>
    <w:rsid w:val="00216EC1"/>
    <w:pPr>
      <w:spacing w:before="120" w:after="120"/>
    </w:pPr>
    <w:rPr>
      <w:rFonts w:ascii="Arial" w:hAnsi="Arial"/>
      <w:b/>
      <w:color w:val="918585"/>
      <w:sz w:val="24"/>
    </w:rPr>
  </w:style>
  <w:style w:type="paragraph" w:customStyle="1" w:styleId="Chapter">
    <w:name w:val="Chapter"/>
    <w:basedOn w:val="Normal"/>
    <w:rsid w:val="00216EC1"/>
    <w:pPr>
      <w:spacing w:before="240"/>
    </w:pPr>
    <w:rPr>
      <w:rFonts w:ascii="Times New Roman" w:hAnsi="Times New Roman"/>
      <w:smallCaps/>
      <w:spacing w:val="80"/>
      <w:sz w:val="28"/>
    </w:rPr>
  </w:style>
  <w:style w:type="paragraph" w:customStyle="1" w:styleId="InChapter">
    <w:name w:val="InChapter"/>
    <w:basedOn w:val="Heading3"/>
    <w:rsid w:val="00216EC1"/>
    <w:pPr>
      <w:spacing w:after="240"/>
      <w:outlineLvl w:val="9"/>
    </w:pPr>
    <w:rPr>
      <w:noProof/>
    </w:rPr>
  </w:style>
  <w:style w:type="paragraph" w:styleId="Index2">
    <w:name w:val="index 2"/>
    <w:basedOn w:val="Normal"/>
    <w:next w:val="Normal"/>
    <w:semiHidden/>
    <w:rsid w:val="00216EC1"/>
    <w:pPr>
      <w:tabs>
        <w:tab w:val="right" w:pos="4176"/>
      </w:tabs>
      <w:ind w:left="568" w:hanging="284"/>
    </w:pPr>
    <w:rPr>
      <w:rFonts w:ascii="Garamond" w:hAnsi="Garamond"/>
    </w:rPr>
  </w:style>
  <w:style w:type="paragraph" w:customStyle="1" w:styleId="Byline">
    <w:name w:val="Byline"/>
    <w:rsid w:val="00216E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6EC1"/>
    <w:pPr>
      <w:tabs>
        <w:tab w:val="clear" w:pos="3600"/>
        <w:tab w:val="clear" w:pos="3958"/>
      </w:tabs>
      <w:jc w:val="right"/>
    </w:pPr>
  </w:style>
  <w:style w:type="paragraph" w:styleId="Caption">
    <w:name w:val="caption"/>
    <w:basedOn w:val="BodyText"/>
    <w:next w:val="Normal"/>
    <w:qFormat/>
    <w:rsid w:val="00216EC1"/>
    <w:pPr>
      <w:framePr w:w="2268" w:hSpace="181" w:vSpace="181" w:wrap="around" w:vAnchor="text" w:hAnchor="page" w:x="1135" w:y="285" w:anchorLock="1"/>
    </w:pPr>
    <w:rPr>
      <w:i/>
    </w:rPr>
  </w:style>
  <w:style w:type="paragraph" w:customStyle="1" w:styleId="MiniTOCTitle">
    <w:name w:val="MiniTOCTitle"/>
    <w:basedOn w:val="Heading4"/>
    <w:rsid w:val="00216EC1"/>
    <w:pPr>
      <w:spacing w:before="240"/>
      <w:outlineLvl w:val="9"/>
    </w:pPr>
    <w:rPr>
      <w:noProof/>
      <w:sz w:val="24"/>
    </w:rPr>
  </w:style>
  <w:style w:type="paragraph" w:customStyle="1" w:styleId="MiniTOCItem">
    <w:name w:val="MiniTOCItem"/>
    <w:basedOn w:val="ListBullet"/>
    <w:rsid w:val="00216EC1"/>
    <w:pPr>
      <w:numPr>
        <w:numId w:val="0"/>
      </w:numPr>
      <w:tabs>
        <w:tab w:val="right" w:leader="dot" w:pos="6521"/>
      </w:tabs>
      <w:spacing w:before="0" w:after="0"/>
    </w:pPr>
  </w:style>
  <w:style w:type="paragraph" w:customStyle="1" w:styleId="TOFTitle">
    <w:name w:val="TOFTitle"/>
    <w:basedOn w:val="TOCTitle"/>
    <w:rsid w:val="00216EC1"/>
  </w:style>
  <w:style w:type="paragraph" w:styleId="TableofFigures">
    <w:name w:val="table of figures"/>
    <w:basedOn w:val="Normal"/>
    <w:next w:val="Normal"/>
    <w:semiHidden/>
    <w:rsid w:val="00216EC1"/>
    <w:pPr>
      <w:tabs>
        <w:tab w:val="right" w:leader="dot" w:pos="9072"/>
      </w:tabs>
      <w:ind w:left="970" w:hanging="403"/>
    </w:pPr>
    <w:rPr>
      <w:rFonts w:ascii="Times New Roman" w:hAnsi="Times New Roman"/>
      <w:b/>
    </w:rPr>
  </w:style>
  <w:style w:type="paragraph" w:styleId="ListNumber">
    <w:name w:val="List Number"/>
    <w:basedOn w:val="List"/>
    <w:rsid w:val="00216EC1"/>
    <w:pPr>
      <w:numPr>
        <w:numId w:val="11"/>
      </w:numPr>
    </w:pPr>
  </w:style>
  <w:style w:type="character" w:customStyle="1" w:styleId="WingdingSymbols">
    <w:name w:val="Wingding Symbols"/>
    <w:rsid w:val="00216EC1"/>
    <w:rPr>
      <w:rFonts w:ascii="Wingdings" w:hAnsi="Wingdings"/>
    </w:rPr>
  </w:style>
  <w:style w:type="paragraph" w:customStyle="1" w:styleId="TableHeading">
    <w:name w:val="Table Heading"/>
    <w:basedOn w:val="HeadingBase"/>
    <w:rsid w:val="00216EC1"/>
    <w:pPr>
      <w:keepLines/>
      <w:pBdr>
        <w:bottom w:val="single" w:sz="6" w:space="1" w:color="918585"/>
      </w:pBdr>
      <w:spacing w:before="240"/>
    </w:pPr>
  </w:style>
  <w:style w:type="character" w:customStyle="1" w:styleId="HotSpot">
    <w:name w:val="HotSpot"/>
    <w:rsid w:val="00216EC1"/>
    <w:rPr>
      <w:color w:val="0033CC"/>
      <w:u w:val="none"/>
    </w:rPr>
  </w:style>
  <w:style w:type="paragraph" w:customStyle="1" w:styleId="BodyTextRight">
    <w:name w:val="Body Text Right"/>
    <w:basedOn w:val="BodyText"/>
    <w:rsid w:val="00216EC1"/>
    <w:pPr>
      <w:spacing w:before="0" w:after="0"/>
      <w:jc w:val="right"/>
    </w:pPr>
  </w:style>
  <w:style w:type="paragraph" w:styleId="Index3">
    <w:name w:val="index 3"/>
    <w:basedOn w:val="ListNumber2"/>
    <w:next w:val="Normal"/>
    <w:semiHidden/>
    <w:rsid w:val="00216EC1"/>
    <w:pPr>
      <w:numPr>
        <w:numId w:val="0"/>
      </w:numPr>
      <w:tabs>
        <w:tab w:val="right" w:leader="dot" w:pos="4176"/>
      </w:tabs>
    </w:pPr>
  </w:style>
  <w:style w:type="paragraph" w:styleId="ListNumber2">
    <w:name w:val="List Number 2"/>
    <w:basedOn w:val="List2"/>
    <w:rsid w:val="00216EC1"/>
    <w:pPr>
      <w:numPr>
        <w:numId w:val="10"/>
      </w:numPr>
      <w:tabs>
        <w:tab w:val="clear" w:pos="1060"/>
      </w:tabs>
    </w:pPr>
  </w:style>
  <w:style w:type="paragraph" w:customStyle="1" w:styleId="MarginNote">
    <w:name w:val="Margin Note"/>
    <w:basedOn w:val="BodyText"/>
    <w:rsid w:val="00216E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6E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6E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6EC1"/>
    <w:rPr>
      <w:sz w:val="32"/>
    </w:rPr>
  </w:style>
  <w:style w:type="paragraph" w:customStyle="1" w:styleId="HeadingProcedure">
    <w:name w:val="Heading Procedure"/>
    <w:basedOn w:val="HeadingBase"/>
    <w:next w:val="Normal"/>
    <w:rsid w:val="00216EC1"/>
    <w:pPr>
      <w:tabs>
        <w:tab w:val="left" w:pos="0"/>
      </w:tabs>
      <w:spacing w:before="120" w:after="60"/>
    </w:pPr>
    <w:rPr>
      <w:i/>
      <w:color w:val="918585"/>
      <w:sz w:val="22"/>
    </w:rPr>
  </w:style>
  <w:style w:type="paragraph" w:customStyle="1" w:styleId="TableBodyText">
    <w:name w:val="Table Body Text"/>
    <w:basedOn w:val="BodyText"/>
    <w:rsid w:val="00216EC1"/>
    <w:pPr>
      <w:spacing w:before="60" w:after="60"/>
    </w:pPr>
  </w:style>
  <w:style w:type="paragraph" w:styleId="ListContinue">
    <w:name w:val="List Continue"/>
    <w:basedOn w:val="List"/>
    <w:rsid w:val="00216EC1"/>
    <w:pPr>
      <w:ind w:firstLine="0"/>
    </w:pPr>
  </w:style>
  <w:style w:type="paragraph" w:customStyle="1" w:styleId="ListNote">
    <w:name w:val="List Note"/>
    <w:basedOn w:val="List"/>
    <w:rsid w:val="00216EC1"/>
    <w:pPr>
      <w:pBdr>
        <w:top w:val="single" w:sz="6" w:space="2" w:color="918585"/>
        <w:bottom w:val="single" w:sz="6" w:space="2" w:color="918585"/>
      </w:pBdr>
      <w:tabs>
        <w:tab w:val="left" w:pos="1021"/>
      </w:tabs>
      <w:ind w:firstLine="0"/>
    </w:pPr>
  </w:style>
  <w:style w:type="paragraph" w:customStyle="1" w:styleId="Warning">
    <w:name w:val="Warning"/>
    <w:basedOn w:val="BodyText"/>
    <w:rsid w:val="00216EC1"/>
    <w:pPr>
      <w:shd w:val="clear" w:color="auto" w:fill="D9D9D9"/>
      <w:tabs>
        <w:tab w:val="left" w:pos="992"/>
      </w:tabs>
      <w:ind w:left="119" w:right="119"/>
    </w:pPr>
    <w:rPr>
      <w:sz w:val="20"/>
    </w:rPr>
  </w:style>
  <w:style w:type="paragraph" w:customStyle="1" w:styleId="MarginIcons">
    <w:name w:val="Margin Icons"/>
    <w:basedOn w:val="BodyText"/>
    <w:rsid w:val="00216E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6EC1"/>
    <w:rPr>
      <w:rFonts w:ascii="Courier New" w:hAnsi="Courier New"/>
    </w:rPr>
  </w:style>
  <w:style w:type="paragraph" w:customStyle="1" w:styleId="NoteBullet">
    <w:name w:val="Note Bullet"/>
    <w:basedOn w:val="Note"/>
    <w:rsid w:val="00216EC1"/>
    <w:pPr>
      <w:tabs>
        <w:tab w:val="clear" w:pos="680"/>
      </w:tabs>
      <w:spacing w:before="60" w:after="60"/>
    </w:pPr>
  </w:style>
  <w:style w:type="paragraph" w:customStyle="1" w:styleId="SubHeading2">
    <w:name w:val="SubHeading2"/>
    <w:basedOn w:val="HeadingBase"/>
    <w:rsid w:val="00216EC1"/>
    <w:pPr>
      <w:spacing w:before="240" w:after="60"/>
    </w:pPr>
    <w:rPr>
      <w:sz w:val="20"/>
    </w:rPr>
  </w:style>
  <w:style w:type="paragraph" w:customStyle="1" w:styleId="SubHeading1">
    <w:name w:val="SubHeading1"/>
    <w:basedOn w:val="HeadingBase"/>
    <w:rsid w:val="00216EC1"/>
    <w:pPr>
      <w:spacing w:before="240" w:after="60"/>
    </w:pPr>
    <w:rPr>
      <w:color w:val="918585"/>
      <w:sz w:val="22"/>
    </w:rPr>
  </w:style>
  <w:style w:type="paragraph" w:customStyle="1" w:styleId="SideHeading">
    <w:name w:val="Side Heading"/>
    <w:basedOn w:val="HeadingBase"/>
    <w:rsid w:val="00216E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6EC1"/>
    <w:pPr>
      <w:numPr>
        <w:numId w:val="12"/>
      </w:numPr>
    </w:pPr>
  </w:style>
  <w:style w:type="paragraph" w:styleId="PlainText">
    <w:name w:val="Plain Text"/>
    <w:basedOn w:val="Normal"/>
    <w:link w:val="PlainTextChar"/>
    <w:rsid w:val="00216EC1"/>
    <w:rPr>
      <w:sz w:val="20"/>
    </w:rPr>
  </w:style>
  <w:style w:type="character" w:customStyle="1" w:styleId="PlainTextChar">
    <w:name w:val="Plain Text Char"/>
    <w:basedOn w:val="DefaultParagraphFont"/>
    <w:link w:val="PlainText"/>
    <w:rsid w:val="00216EC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6EC1"/>
    <w:rPr>
      <w:b/>
      <w:smallCaps/>
    </w:rPr>
  </w:style>
  <w:style w:type="paragraph" w:customStyle="1" w:styleId="TableListNumber">
    <w:name w:val="Table List Number"/>
    <w:basedOn w:val="ListNumber"/>
    <w:rsid w:val="00216EC1"/>
    <w:pPr>
      <w:numPr>
        <w:numId w:val="0"/>
      </w:numPr>
    </w:pPr>
  </w:style>
  <w:style w:type="paragraph" w:styleId="TOC4">
    <w:name w:val="toc 4"/>
    <w:basedOn w:val="TOCBase"/>
    <w:next w:val="Normal"/>
    <w:semiHidden/>
    <w:rsid w:val="00216EC1"/>
    <w:pPr>
      <w:tabs>
        <w:tab w:val="right" w:leader="dot" w:pos="9071"/>
      </w:tabs>
      <w:ind w:left="1701"/>
    </w:pPr>
  </w:style>
  <w:style w:type="paragraph" w:customStyle="1" w:styleId="ListAlpha">
    <w:name w:val="List Alpha"/>
    <w:basedOn w:val="List"/>
    <w:rsid w:val="00216EC1"/>
    <w:pPr>
      <w:numPr>
        <w:numId w:val="9"/>
      </w:numPr>
    </w:pPr>
  </w:style>
  <w:style w:type="paragraph" w:customStyle="1" w:styleId="ListAlpha2">
    <w:name w:val="List Alpha 2"/>
    <w:basedOn w:val="List2"/>
    <w:rsid w:val="00216EC1"/>
    <w:pPr>
      <w:numPr>
        <w:numId w:val="8"/>
      </w:numPr>
    </w:pPr>
  </w:style>
  <w:style w:type="paragraph" w:styleId="List3">
    <w:name w:val="List 3"/>
    <w:basedOn w:val="BodyText"/>
    <w:rsid w:val="00216EC1"/>
    <w:pPr>
      <w:tabs>
        <w:tab w:val="left" w:pos="1021"/>
      </w:tabs>
      <w:spacing w:before="60" w:after="60"/>
      <w:ind w:left="1020" w:hanging="340"/>
    </w:pPr>
  </w:style>
  <w:style w:type="paragraph" w:styleId="List4">
    <w:name w:val="List 4"/>
    <w:basedOn w:val="BodyText"/>
    <w:rsid w:val="00216EC1"/>
    <w:pPr>
      <w:tabs>
        <w:tab w:val="left" w:pos="1361"/>
      </w:tabs>
      <w:spacing w:before="60" w:after="60"/>
      <w:ind w:left="1361" w:hanging="340"/>
    </w:pPr>
  </w:style>
  <w:style w:type="paragraph" w:styleId="List5">
    <w:name w:val="List 5"/>
    <w:basedOn w:val="BodyText"/>
    <w:rsid w:val="00216EC1"/>
    <w:pPr>
      <w:tabs>
        <w:tab w:val="left" w:pos="1701"/>
      </w:tabs>
      <w:spacing w:before="60" w:after="60"/>
      <w:ind w:left="1701" w:hanging="340"/>
    </w:pPr>
  </w:style>
  <w:style w:type="paragraph" w:styleId="ListBullet3">
    <w:name w:val="List Bullet 3"/>
    <w:basedOn w:val="List3"/>
    <w:rsid w:val="00216EC1"/>
    <w:pPr>
      <w:numPr>
        <w:numId w:val="15"/>
      </w:numPr>
      <w:tabs>
        <w:tab w:val="clear" w:pos="1021"/>
      </w:tabs>
      <w:ind w:left="1037" w:hanging="357"/>
    </w:pPr>
  </w:style>
  <w:style w:type="paragraph" w:styleId="ListBullet4">
    <w:name w:val="List Bullet 4"/>
    <w:basedOn w:val="List4"/>
    <w:rsid w:val="00216EC1"/>
    <w:pPr>
      <w:numPr>
        <w:numId w:val="3"/>
      </w:numPr>
    </w:pPr>
  </w:style>
  <w:style w:type="paragraph" w:styleId="ListBullet5">
    <w:name w:val="List Bullet 5"/>
    <w:basedOn w:val="List5"/>
    <w:rsid w:val="00216EC1"/>
    <w:pPr>
      <w:numPr>
        <w:numId w:val="4"/>
      </w:numPr>
    </w:pPr>
  </w:style>
  <w:style w:type="paragraph" w:styleId="ListContinue2">
    <w:name w:val="List Continue 2"/>
    <w:basedOn w:val="List2"/>
    <w:rsid w:val="00216EC1"/>
    <w:pPr>
      <w:ind w:firstLine="0"/>
    </w:pPr>
  </w:style>
  <w:style w:type="paragraph" w:styleId="ListContinue3">
    <w:name w:val="List Continue 3"/>
    <w:basedOn w:val="List3"/>
    <w:rsid w:val="00216EC1"/>
    <w:pPr>
      <w:ind w:left="1021" w:firstLine="0"/>
    </w:pPr>
  </w:style>
  <w:style w:type="paragraph" w:styleId="ListContinue4">
    <w:name w:val="List Continue 4"/>
    <w:basedOn w:val="List4"/>
    <w:rsid w:val="00216EC1"/>
    <w:pPr>
      <w:ind w:firstLine="0"/>
    </w:pPr>
  </w:style>
  <w:style w:type="paragraph" w:styleId="ListContinue5">
    <w:name w:val="List Continue 5"/>
    <w:basedOn w:val="List5"/>
    <w:rsid w:val="00216EC1"/>
    <w:pPr>
      <w:ind w:firstLine="0"/>
    </w:pPr>
  </w:style>
  <w:style w:type="paragraph" w:styleId="ListNumber3">
    <w:name w:val="List Number 3"/>
    <w:basedOn w:val="List3"/>
    <w:rsid w:val="00216EC1"/>
    <w:pPr>
      <w:numPr>
        <w:numId w:val="5"/>
      </w:numPr>
    </w:pPr>
  </w:style>
  <w:style w:type="paragraph" w:styleId="ListNumber4">
    <w:name w:val="List Number 4"/>
    <w:basedOn w:val="List4"/>
    <w:rsid w:val="00216EC1"/>
    <w:pPr>
      <w:numPr>
        <w:numId w:val="6"/>
      </w:numPr>
    </w:pPr>
  </w:style>
  <w:style w:type="paragraph" w:styleId="ListNumber5">
    <w:name w:val="List Number 5"/>
    <w:basedOn w:val="List5"/>
    <w:rsid w:val="00216EC1"/>
    <w:pPr>
      <w:numPr>
        <w:numId w:val="7"/>
      </w:numPr>
    </w:pPr>
  </w:style>
  <w:style w:type="paragraph" w:styleId="BlockText">
    <w:name w:val="Block Text"/>
    <w:basedOn w:val="Normal"/>
    <w:rsid w:val="00216EC1"/>
    <w:pPr>
      <w:spacing w:after="120"/>
      <w:ind w:left="1440" w:right="1440"/>
    </w:pPr>
  </w:style>
  <w:style w:type="character" w:customStyle="1" w:styleId="Subscript">
    <w:name w:val="Subscript"/>
    <w:basedOn w:val="DefaultParagraphFont"/>
    <w:rsid w:val="00216EC1"/>
    <w:rPr>
      <w:sz w:val="16"/>
      <w:vertAlign w:val="subscript"/>
    </w:rPr>
  </w:style>
  <w:style w:type="character" w:customStyle="1" w:styleId="Superscript">
    <w:name w:val="Superscript"/>
    <w:basedOn w:val="DefaultParagraphFont"/>
    <w:rsid w:val="00216EC1"/>
    <w:rPr>
      <w:sz w:val="16"/>
      <w:vertAlign w:val="superscript"/>
    </w:rPr>
  </w:style>
  <w:style w:type="character" w:customStyle="1" w:styleId="Symbols">
    <w:name w:val="Symbols"/>
    <w:basedOn w:val="DefaultParagraphFont"/>
    <w:rsid w:val="00216EC1"/>
    <w:rPr>
      <w:rFonts w:ascii="Symbol" w:hAnsi="Symbol"/>
    </w:rPr>
  </w:style>
  <w:style w:type="character" w:customStyle="1" w:styleId="MenuOptions">
    <w:name w:val="Menu Options"/>
    <w:basedOn w:val="DefaultParagraphFont"/>
    <w:rsid w:val="00216EC1"/>
    <w:rPr>
      <w:rFonts w:ascii="Arial Narrow" w:hAnsi="Arial Narrow"/>
      <w:smallCaps/>
    </w:rPr>
  </w:style>
  <w:style w:type="character" w:customStyle="1" w:styleId="Buttons">
    <w:name w:val="Buttons"/>
    <w:basedOn w:val="DefaultParagraphFont"/>
    <w:rsid w:val="00216EC1"/>
    <w:rPr>
      <w:b/>
    </w:rPr>
  </w:style>
  <w:style w:type="character" w:customStyle="1" w:styleId="Underlined">
    <w:name w:val="Underlined"/>
    <w:basedOn w:val="DefaultParagraphFont"/>
    <w:rsid w:val="00216EC1"/>
    <w:rPr>
      <w:u w:val="single"/>
    </w:rPr>
  </w:style>
  <w:style w:type="paragraph" w:customStyle="1" w:styleId="TableBodyTextRight">
    <w:name w:val="Table Body Text Right"/>
    <w:basedOn w:val="TableBodyText"/>
    <w:rsid w:val="00216EC1"/>
    <w:pPr>
      <w:widowControl w:val="0"/>
      <w:autoSpaceDE w:val="0"/>
      <w:autoSpaceDN w:val="0"/>
      <w:adjustRightInd w:val="0"/>
      <w:jc w:val="right"/>
    </w:pPr>
    <w:rPr>
      <w:rFonts w:cs="Arial"/>
      <w:szCs w:val="18"/>
    </w:rPr>
  </w:style>
  <w:style w:type="paragraph" w:customStyle="1" w:styleId="CopyrightText">
    <w:name w:val="Copyright Text"/>
    <w:basedOn w:val="BodyText"/>
    <w:rsid w:val="00216EC1"/>
    <w:rPr>
      <w:sz w:val="18"/>
    </w:rPr>
  </w:style>
  <w:style w:type="paragraph" w:customStyle="1" w:styleId="BodySmallRight">
    <w:name w:val="Body Small Right"/>
    <w:basedOn w:val="BodyTextRight"/>
    <w:rsid w:val="00216EC1"/>
    <w:rPr>
      <w:sz w:val="18"/>
      <w:szCs w:val="18"/>
    </w:rPr>
  </w:style>
  <w:style w:type="paragraph" w:customStyle="1" w:styleId="MarginEdition">
    <w:name w:val="Margin Edition"/>
    <w:basedOn w:val="MarginNote"/>
    <w:rsid w:val="00216EC1"/>
    <w:pPr>
      <w:spacing w:before="0" w:after="0"/>
    </w:pPr>
    <w:rPr>
      <w:rFonts w:ascii="Times New Roman" w:hAnsi="Times New Roman"/>
      <w:color w:val="999999"/>
    </w:rPr>
  </w:style>
  <w:style w:type="paragraph" w:customStyle="1" w:styleId="Spacer">
    <w:name w:val="Spacer"/>
    <w:basedOn w:val="Normal"/>
    <w:rsid w:val="00216EC1"/>
    <w:rPr>
      <w:sz w:val="2"/>
      <w:szCs w:val="2"/>
    </w:rPr>
  </w:style>
  <w:style w:type="character" w:customStyle="1" w:styleId="Small">
    <w:name w:val="Small"/>
    <w:basedOn w:val="DefaultParagraphFont"/>
    <w:rsid w:val="00216EC1"/>
    <w:rPr>
      <w:sz w:val="16"/>
    </w:rPr>
  </w:style>
  <w:style w:type="paragraph" w:customStyle="1" w:styleId="WideTable">
    <w:name w:val="Wide Table"/>
    <w:basedOn w:val="Normal"/>
    <w:rsid w:val="00216EC1"/>
    <w:pPr>
      <w:ind w:left="-1418"/>
    </w:pPr>
    <w:rPr>
      <w:sz w:val="2"/>
      <w:szCs w:val="2"/>
    </w:rPr>
  </w:style>
  <w:style w:type="character" w:styleId="PageNumber">
    <w:name w:val="page number"/>
    <w:basedOn w:val="DefaultParagraphFont"/>
    <w:rsid w:val="00216EC1"/>
  </w:style>
  <w:style w:type="paragraph" w:styleId="Quote">
    <w:name w:val="Quote"/>
    <w:basedOn w:val="Heading1"/>
    <w:link w:val="QuoteChar"/>
    <w:qFormat/>
    <w:rsid w:val="00216EC1"/>
    <w:rPr>
      <w:b w:val="0"/>
      <w:sz w:val="72"/>
      <w:szCs w:val="72"/>
      <w:lang w:val="en-NZ"/>
    </w:rPr>
  </w:style>
  <w:style w:type="character" w:customStyle="1" w:styleId="QuoteChar">
    <w:name w:val="Quote Char"/>
    <w:basedOn w:val="DefaultParagraphFont"/>
    <w:link w:val="Quote"/>
    <w:rsid w:val="00216E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6EC1"/>
    <w:pPr>
      <w:pageBreakBefore/>
    </w:pPr>
  </w:style>
  <w:style w:type="paragraph" w:customStyle="1" w:styleId="Border">
    <w:name w:val="Border"/>
    <w:basedOn w:val="Normal"/>
    <w:qFormat/>
    <w:rsid w:val="00216E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6EC1"/>
    <w:rPr>
      <w:b/>
      <w:bCs/>
      <w:i/>
      <w:iCs/>
      <w:color w:val="auto"/>
    </w:rPr>
  </w:style>
  <w:style w:type="paragraph" w:styleId="IntenseQuote">
    <w:name w:val="Intense Quote"/>
    <w:basedOn w:val="Normal"/>
    <w:next w:val="Normal"/>
    <w:link w:val="IntenseQuoteChar"/>
    <w:uiPriority w:val="30"/>
    <w:qFormat/>
    <w:rsid w:val="00216E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6EC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6EC1"/>
    <w:rPr>
      <w:smallCaps/>
      <w:color w:val="auto"/>
      <w:u w:val="single"/>
    </w:rPr>
  </w:style>
  <w:style w:type="character" w:styleId="IntenseReference">
    <w:name w:val="Intense Reference"/>
    <w:basedOn w:val="DefaultParagraphFont"/>
    <w:uiPriority w:val="32"/>
    <w:qFormat/>
    <w:rsid w:val="00216EC1"/>
    <w:rPr>
      <w:b/>
      <w:bCs/>
      <w:smallCaps/>
      <w:color w:val="auto"/>
      <w:spacing w:val="5"/>
      <w:u w:val="single"/>
    </w:rPr>
  </w:style>
  <w:style w:type="paragraph" w:customStyle="1" w:styleId="2ColumnHeading">
    <w:name w:val="2Column Heading"/>
    <w:basedOn w:val="BodyText"/>
    <w:qFormat/>
    <w:rsid w:val="00216EC1"/>
    <w:pPr>
      <w:spacing w:after="60"/>
      <w:ind w:left="-2268"/>
    </w:pPr>
    <w:rPr>
      <w:b/>
    </w:rPr>
  </w:style>
  <w:style w:type="paragraph" w:customStyle="1" w:styleId="Heading1TOC">
    <w:name w:val="Heading1 TOC"/>
    <w:basedOn w:val="Normal"/>
    <w:qFormat/>
    <w:rsid w:val="00216EC1"/>
    <w:pPr>
      <w:spacing w:before="240" w:after="120"/>
    </w:pPr>
    <w:rPr>
      <w:rFonts w:ascii="Times New Roman" w:hAnsi="Times New Roman"/>
      <w:b/>
      <w:sz w:val="32"/>
    </w:rPr>
  </w:style>
  <w:style w:type="paragraph" w:customStyle="1" w:styleId="Heading2TOC">
    <w:name w:val="Heading2 TOC"/>
    <w:basedOn w:val="Normal"/>
    <w:qFormat/>
    <w:rsid w:val="00216EC1"/>
    <w:pPr>
      <w:spacing w:before="240" w:after="60"/>
    </w:pPr>
    <w:rPr>
      <w:rFonts w:ascii="Times New Roman" w:hAnsi="Times New Roman"/>
      <w:b/>
      <w:sz w:val="28"/>
    </w:rPr>
  </w:style>
  <w:style w:type="character" w:customStyle="1" w:styleId="Underline">
    <w:name w:val="Underline"/>
    <w:basedOn w:val="DefaultParagraphFont"/>
    <w:qFormat/>
    <w:rsid w:val="00216EC1"/>
    <w:rPr>
      <w:u w:val="single"/>
    </w:rPr>
  </w:style>
  <w:style w:type="character" w:customStyle="1" w:styleId="BoldandItalics">
    <w:name w:val="Bold and Italics"/>
    <w:qFormat/>
    <w:rsid w:val="00216EC1"/>
    <w:rPr>
      <w:b/>
      <w:i/>
      <w:u w:val="none"/>
    </w:rPr>
  </w:style>
  <w:style w:type="paragraph" w:styleId="BalloonText">
    <w:name w:val="Balloon Text"/>
    <w:basedOn w:val="Normal"/>
    <w:link w:val="BalloonTextChar"/>
    <w:rsid w:val="00216EC1"/>
    <w:rPr>
      <w:rFonts w:ascii="Tahoma" w:hAnsi="Tahoma" w:cs="Tahoma"/>
      <w:sz w:val="16"/>
      <w:szCs w:val="16"/>
    </w:rPr>
  </w:style>
  <w:style w:type="character" w:customStyle="1" w:styleId="BalloonTextChar">
    <w:name w:val="Balloon Text Char"/>
    <w:basedOn w:val="DefaultParagraphFont"/>
    <w:link w:val="BalloonText"/>
    <w:rsid w:val="00216E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6E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6EC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2010</Words>
  <Characters>12582</Characters>
  <Application>Microsoft Office Word</Application>
  <DocSecurity>0</DocSecurity>
  <Lines>415</Lines>
  <Paragraphs>196</Paragraphs>
  <ScaleCrop>false</ScaleCrop>
  <Company>Author-it Software Corporation Ltd.</Company>
  <LinksUpToDate>false</LinksUpToDate>
  <CharactersWithSpaces>14501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MSL935002A Assist in the maintenance of reference materials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2012-05-26T18:33:00Z</dcterms:created>
  <dcterms:modified xsi:type="dcterms:W3CDTF">2012-05-26T18:33:00Z</dcterms:modified>
</cp:coreProperties>
</file>