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170" w:rsidP="00FE5170">
      <w:pPr>
        <w:pStyle w:val="Title"/>
      </w:pPr>
      <w:r>
        <w:fldChar w:fldCharType="begin"/>
      </w:r>
      <w:r>
        <w:instrText xml:space="preserve"> TITLE   \* MERGEFORMAT </w:instrText>
      </w:r>
      <w:r>
        <w:fldChar w:fldCharType="separate"/>
      </w:r>
      <w:r>
        <w:t>MSL935001A Monitor the quality of test results and data</w:t>
      </w:r>
      <w:r>
        <w:fldChar w:fldCharType="end"/>
      </w:r>
    </w:p>
    <w:p w:rsidR="00FE5170" w:rsidP="00FE5170">
      <w:pPr>
        <w:pStyle w:val="Version"/>
        <w:sectPr w:rsidSect="00D331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3170" w:rsidP="00D33170">
      <w:pPr>
        <w:pStyle w:val="SuperHeading"/>
      </w:pPr>
      <w:r w:rsidRPr="00D33170">
        <w:t>MSL935001A Monitor the quality of test results and data</w:t>
      </w:r>
    </w:p>
    <w:p w:rsidR="00000000" w:rsidRPr="00D33170" w:rsidP="00D33170">
      <w:pPr>
        <w:pStyle w:val="SuperHeading"/>
      </w:pPr>
    </w:p>
    <w:p w:rsidR="00000000" w:rsidRPr="00D33170" w:rsidP="00D33170">
      <w:pPr>
        <w:pStyle w:val="Heading1"/>
      </w:pPr>
      <w:bookmarkStart w:id="1" w:name="O_102903"/>
      <w:bookmarkEnd w:id="1"/>
      <w:r w:rsidRPr="00D33170">
        <w:t>Modification History</w:t>
      </w:r>
    </w:p>
    <w:p w:rsidR="00000000" w:rsidRPr="00D33170" w:rsidP="00D33170">
      <w:pPr>
        <w:pStyle w:val="BodyText"/>
      </w:pPr>
      <w:r w:rsidRPr="00D33170">
        <w:t>Not applicable.</w:t>
      </w:r>
    </w:p>
    <w:p w:rsidR="00000000" w:rsidRPr="00D33170" w:rsidP="00D33170">
      <w:pPr>
        <w:pStyle w:val="AllowPageBreak"/>
      </w:pPr>
    </w:p>
    <w:p w:rsidR="00000000" w:rsidRPr="00D33170" w:rsidP="00D33170">
      <w:pPr>
        <w:pStyle w:val="Heading1"/>
      </w:pPr>
      <w:bookmarkStart w:id="2" w:name="O_102904"/>
      <w:bookmarkEnd w:id="2"/>
      <w:r w:rsidRPr="00D33170">
        <w:t>Unit Descriptor</w:t>
      </w:r>
    </w:p>
    <w:tbl>
      <w:tblPr>
        <w:tblW w:w="0" w:type="auto"/>
        <w:tblLayout w:type="fixed"/>
        <w:tblCellMar>
          <w:left w:w="62" w:type="dxa"/>
          <w:right w:w="62" w:type="dxa"/>
        </w:tblCellMar>
        <w:tblLook w:val="0000"/>
      </w:tblPr>
      <w:tblGrid>
        <w:gridCol w:w="2665"/>
        <w:gridCol w:w="5857"/>
      </w:tblGrid>
      <w:tr w:rsidTr="00FE517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This unit of competency covers the ability to analyse a series of test results and data to dete</w:t>
            </w:r>
            <w:r w:rsidRPr="00D33170">
              <w:t xml:space="preserve">ct potential or actual non-conformances, assess their significance and recommend preventative or corrective actions. The unit assumes personnel will have access to enterprise quality assurance procedures based on Australian and/or international standards. </w:t>
            </w:r>
            <w:r w:rsidRPr="00D33170">
              <w:t>This unit of competency does not cover the adaptation or development of test methods or procedures.</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3" w:name="O_102905"/>
      <w:bookmarkEnd w:id="3"/>
      <w:r w:rsidRPr="00D33170">
        <w:t>Application of the Unit</w:t>
      </w:r>
    </w:p>
    <w:tbl>
      <w:tblPr>
        <w:tblW w:w="0" w:type="auto"/>
        <w:tblLayout w:type="fixed"/>
        <w:tblCellMar>
          <w:left w:w="62" w:type="dxa"/>
          <w:right w:w="62" w:type="dxa"/>
        </w:tblCellMar>
        <w:tblLook w:val="0000"/>
      </w:tblPr>
      <w:tblGrid>
        <w:gridCol w:w="2752"/>
        <w:gridCol w:w="5770"/>
      </w:tblGrid>
      <w:tr w:rsidTr="00FE517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This unit of competency is applicable to technical officers, technical specialists and laboratory supervisors in all industry sectors.</w:t>
            </w:r>
          </w:p>
          <w:p w:rsidR="00000000" w:rsidRPr="00D33170" w:rsidP="00D33170">
            <w:pPr>
              <w:pStyle w:val="BodyText"/>
            </w:pPr>
            <w:r w:rsidRPr="00D33170">
              <w:t>Industry representatives have provided case studies to illustrate the practical application of this unit of competency an</w:t>
            </w:r>
            <w:r w:rsidRPr="00D33170">
              <w:t>d to show its relevance in a workplace setting. These can be found at the end of this unit of competency under the section 'This competency in practice'.</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4" w:name="O_102906"/>
      <w:bookmarkEnd w:id="4"/>
      <w:r w:rsidRPr="00D33170">
        <w:t>Licensing/Regulatory Information</w:t>
      </w:r>
    </w:p>
    <w:p w:rsidR="00000000" w:rsidRPr="00D33170" w:rsidP="00D33170">
      <w:pPr>
        <w:pStyle w:val="BodyText"/>
      </w:pPr>
      <w:r w:rsidRPr="00D33170">
        <w:t>Not applicable.</w:t>
      </w:r>
    </w:p>
    <w:p w:rsidR="00000000" w:rsidRPr="00D33170" w:rsidP="00D33170">
      <w:pPr>
        <w:pStyle w:val="AllowPageBreak"/>
      </w:pPr>
    </w:p>
    <w:p w:rsidR="00000000" w:rsidRPr="00D33170" w:rsidP="00D33170">
      <w:pPr>
        <w:pStyle w:val="Heading1"/>
      </w:pPr>
      <w:bookmarkStart w:id="5" w:name="O_102908"/>
      <w:bookmarkEnd w:id="5"/>
      <w:r w:rsidRPr="00D33170">
        <w:t>Pre-Requisites</w:t>
      </w:r>
    </w:p>
    <w:tbl>
      <w:tblPr>
        <w:tblW w:w="0" w:type="auto"/>
        <w:tblLayout w:type="fixed"/>
        <w:tblCellMar>
          <w:left w:w="62" w:type="dxa"/>
          <w:right w:w="62" w:type="dxa"/>
        </w:tblCellMar>
        <w:tblLook w:val="0000"/>
      </w:tblPr>
      <w:tblGrid>
        <w:gridCol w:w="2681"/>
        <w:gridCol w:w="2785"/>
        <w:gridCol w:w="3056"/>
      </w:tblGrid>
      <w:tr w:rsidTr="00FE5170">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Prerequisite units</w:t>
            </w:r>
          </w:p>
        </w:tc>
        <w:tc>
          <w:tcPr>
            <w:tcW w:w="584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p>
        </w:tc>
      </w:tr>
      <w:tr w:rsidTr="00FE5170">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rPr>
                <w:rStyle w:val="Emphasis"/>
              </w:rPr>
              <w:t>MSL924001A</w:t>
            </w: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Emphasis"/>
              </w:rPr>
              <w:t>Process and interpret data</w:t>
            </w:r>
          </w:p>
        </w:tc>
      </w:tr>
      <w:tr w:rsidTr="00FE5170">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6" w:name="O_102907"/>
      <w:bookmarkEnd w:id="6"/>
      <w:r w:rsidRPr="00D33170">
        <w:t>Employability Skills Information</w:t>
      </w:r>
    </w:p>
    <w:tbl>
      <w:tblPr>
        <w:tblW w:w="0" w:type="auto"/>
        <w:tblLayout w:type="fixed"/>
        <w:tblCellMar>
          <w:left w:w="62" w:type="dxa"/>
          <w:right w:w="62" w:type="dxa"/>
        </w:tblCellMar>
        <w:tblLook w:val="0000"/>
      </w:tblPr>
      <w:tblGrid>
        <w:gridCol w:w="2802"/>
        <w:gridCol w:w="5720"/>
      </w:tblGrid>
      <w:tr w:rsidTr="00FE51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This unit contains employability skills.</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7" w:name="O_102909"/>
      <w:bookmarkEnd w:id="7"/>
      <w:r w:rsidRPr="00D33170">
        <w:t>Elements and Performance Criteria Pre-Content</w:t>
      </w:r>
    </w:p>
    <w:tbl>
      <w:tblPr>
        <w:tblW w:w="0" w:type="auto"/>
        <w:tblLayout w:type="fixed"/>
        <w:tblCellMar>
          <w:left w:w="62" w:type="dxa"/>
          <w:right w:w="62" w:type="dxa"/>
        </w:tblCellMar>
        <w:tblLook w:val="0000"/>
      </w:tblPr>
      <w:tblGrid>
        <w:gridCol w:w="2552"/>
        <w:gridCol w:w="5970"/>
      </w:tblGrid>
      <w:tr w:rsidTr="00FE517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Performance criteria describe the performance needed to demonstrate achievement of the element. Where bold italicised text is used, further information is detailed in the required skills and</w:t>
            </w:r>
            <w:r w:rsidRPr="00D33170">
              <w:t xml:space="preserve"> knowledge section and the range statement. Assessment of performance is to be consistent with the evidence guide.</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8" w:name="O_102910"/>
      <w:bookmarkEnd w:id="8"/>
      <w:r w:rsidRPr="00D33170">
        <w:t>Elements and Performance Criteria</w:t>
      </w:r>
    </w:p>
    <w:tbl>
      <w:tblPr>
        <w:tblW w:w="0" w:type="auto"/>
        <w:tblLayout w:type="fixed"/>
        <w:tblCellMar>
          <w:left w:w="62" w:type="dxa"/>
          <w:right w:w="62" w:type="dxa"/>
        </w:tblCellMar>
        <w:tblLook w:val="0000"/>
      </w:tblPr>
      <w:tblGrid>
        <w:gridCol w:w="2552"/>
        <w:gridCol w:w="5970"/>
      </w:tblGrid>
      <w:tr w:rsidTr="00FE517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PERFORMANCE CRITERIA</w:t>
            </w:r>
          </w:p>
        </w:tc>
      </w:tr>
      <w:tr w:rsidTr="00FE517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List"/>
              <w:rPr>
                <w:lang w:val="en-NZ"/>
              </w:rPr>
            </w:pPr>
            <w:r w:rsidRPr="00D33170">
              <w:t>1.</w:t>
            </w:r>
            <w:r w:rsidRPr="00D33170">
              <w:tab/>
              <w:t>Verify accuracy of data and technical records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List2"/>
            </w:pPr>
            <w:r w:rsidRPr="00D33170">
              <w:t>1.1.</w:t>
            </w:r>
            <w:r w:rsidRPr="00D33170">
              <w:tab/>
            </w:r>
            <w:r w:rsidRPr="00D33170">
              <w:t>Retrieve and collate all relevant data files and technical records for the specified time interval, tests or product range or project</w:t>
            </w:r>
          </w:p>
          <w:p w:rsidR="00000000" w:rsidRPr="00D33170" w:rsidP="00D33170">
            <w:pPr>
              <w:pStyle w:val="List2"/>
            </w:pPr>
            <w:r w:rsidRPr="00D33170">
              <w:t>1.2.</w:t>
            </w:r>
            <w:r w:rsidRPr="00D33170">
              <w:tab/>
              <w:t>Inspect data records to check the integrity of data entry, alterations, transfers and calculations</w:t>
            </w:r>
          </w:p>
          <w:p w:rsidR="00000000" w:rsidP="00D33170">
            <w:pPr>
              <w:pStyle w:val="List2"/>
              <w:rPr>
                <w:lang w:val="en-NZ"/>
              </w:rPr>
            </w:pPr>
            <w:r w:rsidRPr="00D33170">
              <w:t>1.3.</w:t>
            </w:r>
            <w:r w:rsidRPr="00D33170">
              <w:tab/>
              <w:t xml:space="preserve">Confirm that </w:t>
            </w:r>
            <w:r w:rsidRPr="00D33170">
              <w:t>technical records contain sufficient information to provide an audit trail for the tests involved</w:t>
            </w:r>
          </w:p>
        </w:tc>
      </w:tr>
      <w:tr w:rsidTr="00FE517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List"/>
              <w:rPr>
                <w:lang w:val="en-NZ"/>
              </w:rPr>
            </w:pPr>
            <w:r w:rsidRPr="00D33170">
              <w:t>2.</w:t>
            </w:r>
            <w:r w:rsidRPr="00D33170">
              <w:tab/>
              <w:t>Assess the quality of data/results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List2"/>
            </w:pPr>
            <w:r w:rsidRPr="00D33170">
              <w:t>2.1.</w:t>
            </w:r>
            <w:r w:rsidRPr="00D33170">
              <w:tab/>
              <w:t>Use charts and tables to determine whether data/results are within specified limits</w:t>
            </w:r>
          </w:p>
          <w:p w:rsidR="00000000" w:rsidRPr="00D33170" w:rsidP="00D33170">
            <w:pPr>
              <w:pStyle w:val="List2"/>
            </w:pPr>
            <w:r w:rsidRPr="00D33170">
              <w:t>2.2.</w:t>
            </w:r>
            <w:r w:rsidRPr="00D33170">
              <w:tab/>
              <w:t>Analyse data trends and r</w:t>
            </w:r>
            <w:r w:rsidRPr="00D33170">
              <w:t>esults for blanks, duplicates and/or check samples to detect systematic uncertainties</w:t>
            </w:r>
          </w:p>
          <w:p w:rsidR="00000000" w:rsidRPr="00D33170" w:rsidP="00D33170">
            <w:pPr>
              <w:pStyle w:val="List2"/>
            </w:pPr>
            <w:r w:rsidRPr="00D33170">
              <w:t>2.3.</w:t>
            </w:r>
            <w:r w:rsidRPr="00D33170">
              <w:tab/>
              <w:t>Use statistical tests and enterprise procedures to check data acceptability</w:t>
            </w:r>
          </w:p>
          <w:p w:rsidR="00000000" w:rsidRPr="00D33170" w:rsidP="00D33170">
            <w:pPr>
              <w:pStyle w:val="List2"/>
            </w:pPr>
            <w:r w:rsidRPr="00D33170">
              <w:t>2.4.</w:t>
            </w:r>
            <w:r w:rsidRPr="00D33170">
              <w:tab/>
              <w:t>Check that estimations of uncertainties are reasonable and consistent with test meth</w:t>
            </w:r>
            <w:r w:rsidRPr="00D33170">
              <w:t>od, client or product specification requirements</w:t>
            </w:r>
          </w:p>
          <w:p w:rsidR="00000000" w:rsidP="00D33170">
            <w:pPr>
              <w:pStyle w:val="List2"/>
              <w:rPr>
                <w:lang w:val="en-NZ"/>
              </w:rPr>
            </w:pPr>
            <w:r w:rsidRPr="00D33170">
              <w:t>2.5.</w:t>
            </w:r>
            <w:r w:rsidRPr="00D33170">
              <w:tab/>
              <w:t>Identify results that cannot be reconciled with technical records and/or expected outcomes</w:t>
            </w:r>
          </w:p>
        </w:tc>
      </w:tr>
      <w:tr w:rsidTr="00FE517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List"/>
              <w:rPr>
                <w:lang w:val="en-NZ"/>
              </w:rPr>
            </w:pPr>
            <w:r w:rsidRPr="00D33170">
              <w:t>3.</w:t>
            </w:r>
            <w:r w:rsidRPr="00D33170">
              <w:tab/>
              <w:t>Identify potential causes for unacceptable results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List2"/>
            </w:pPr>
            <w:r w:rsidRPr="00D33170">
              <w:t>3.1.</w:t>
            </w:r>
            <w:r w:rsidRPr="00D33170">
              <w:tab/>
              <w:t>Review user checks and calibration performance reco</w:t>
            </w:r>
            <w:r w:rsidRPr="00D33170">
              <w:t>rds to confirm that equipment/ instrument meets test specifications</w:t>
            </w:r>
          </w:p>
          <w:p w:rsidR="00000000" w:rsidRPr="00D33170" w:rsidP="00D33170">
            <w:pPr>
              <w:pStyle w:val="List2"/>
            </w:pPr>
            <w:r w:rsidRPr="00D33170">
              <w:t>3.2.</w:t>
            </w:r>
            <w:r w:rsidRPr="00D33170">
              <w:tab/>
              <w:t>Check for obvious sources of interferences that may have occurred during measurements</w:t>
            </w:r>
          </w:p>
          <w:p w:rsidR="00000000" w:rsidRPr="00D33170" w:rsidP="00D33170">
            <w:pPr>
              <w:pStyle w:val="List2"/>
            </w:pPr>
            <w:r w:rsidRPr="00D33170">
              <w:t>3.3.</w:t>
            </w:r>
            <w:r w:rsidRPr="00D33170">
              <w:tab/>
            </w:r>
            <w:r w:rsidRPr="00D33170">
              <w:t>Review technical records to identify human or environmental factors that could affect reliability of results</w:t>
            </w:r>
          </w:p>
          <w:p w:rsidR="00000000" w:rsidRPr="00D33170" w:rsidP="00D33170">
            <w:pPr>
              <w:pStyle w:val="List2"/>
            </w:pPr>
            <w:r w:rsidRPr="00D33170">
              <w:t>3.4.</w:t>
            </w:r>
            <w:r w:rsidRPr="00D33170">
              <w:tab/>
              <w:t>Review records of sample collection and preparation to confirm chain of custody requirements and adherence to sampling procedures</w:t>
            </w:r>
          </w:p>
          <w:p w:rsidR="00000000" w:rsidRPr="00D33170" w:rsidP="00D33170">
            <w:pPr>
              <w:pStyle w:val="List2"/>
            </w:pPr>
            <w:r w:rsidRPr="00D33170">
              <w:t>3.5.</w:t>
            </w:r>
            <w:r w:rsidRPr="00D33170">
              <w:tab/>
              <w:t>Check t</w:t>
            </w:r>
            <w:r w:rsidRPr="00D33170">
              <w:t>hat any documented deviations from sampling procedures and/or test methods were technically justified and authorised</w:t>
            </w:r>
          </w:p>
          <w:p w:rsidR="00000000" w:rsidP="00D33170">
            <w:pPr>
              <w:pStyle w:val="List2"/>
              <w:rPr>
                <w:lang w:val="en-NZ"/>
              </w:rPr>
            </w:pPr>
            <w:r w:rsidRPr="00D33170">
              <w:t>3.6.</w:t>
            </w:r>
            <w:r w:rsidRPr="00D33170">
              <w:tab/>
              <w:t>Check the condition of sampling equipment and/or stored samples if available/appropriate</w:t>
            </w:r>
          </w:p>
        </w:tc>
      </w:tr>
      <w:tr w:rsidTr="00FE517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List"/>
              <w:rPr>
                <w:lang w:val="en-NZ"/>
              </w:rPr>
            </w:pPr>
            <w:r w:rsidRPr="00D33170">
              <w:t>4.</w:t>
            </w:r>
            <w:r w:rsidRPr="00D33170">
              <w:tab/>
              <w:t>Report findings to relevant personnel</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List2"/>
            </w:pPr>
            <w:r w:rsidRPr="00D33170">
              <w:t>4.1</w:t>
            </w:r>
            <w:r w:rsidRPr="00D33170">
              <w:t>.</w:t>
            </w:r>
            <w:r w:rsidRPr="00D33170">
              <w:tab/>
              <w:t>Summarise the quality of test results and data</w:t>
            </w:r>
          </w:p>
          <w:p w:rsidR="00000000" w:rsidRPr="00D33170" w:rsidP="00D33170">
            <w:pPr>
              <w:pStyle w:val="List2"/>
            </w:pPr>
            <w:r w:rsidRPr="00D33170">
              <w:t>4.2.</w:t>
            </w:r>
            <w:r w:rsidRPr="00D33170">
              <w:tab/>
              <w:t>Document potential sources or instances of non-conforming work and assess their significance</w:t>
            </w:r>
          </w:p>
          <w:p w:rsidR="00000000" w:rsidRPr="00D33170" w:rsidP="00D33170">
            <w:pPr>
              <w:pStyle w:val="List2"/>
            </w:pPr>
            <w:r w:rsidRPr="00D33170">
              <w:t>4.3.</w:t>
            </w:r>
            <w:r w:rsidRPr="00D33170">
              <w:tab/>
              <w:t>Recommend appropriate preventative/corrective actions to improve sampling, testing and/or calibration ac</w:t>
            </w:r>
            <w:r w:rsidRPr="00D33170">
              <w:t>tivities</w:t>
            </w:r>
          </w:p>
          <w:p w:rsidR="00000000" w:rsidRPr="00D33170" w:rsidP="00D33170">
            <w:pPr>
              <w:pStyle w:val="List2"/>
            </w:pPr>
            <w:r w:rsidRPr="00D33170">
              <w:t>4.4.</w:t>
            </w:r>
            <w:r w:rsidRPr="00D33170">
              <w:tab/>
              <w:t>Prepare reports in a format and style consistent with their intended use and enterprise guidelines</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9" w:name="O_102911"/>
      <w:bookmarkEnd w:id="9"/>
      <w:r w:rsidRPr="00D33170">
        <w:t>Required Skills and Knowledge</w:t>
      </w:r>
    </w:p>
    <w:tbl>
      <w:tblPr>
        <w:tblW w:w="0" w:type="auto"/>
        <w:tblLayout w:type="fixed"/>
        <w:tblCellMar>
          <w:left w:w="62" w:type="dxa"/>
          <w:right w:w="62" w:type="dxa"/>
        </w:tblCellMar>
        <w:tblLook w:val="0000"/>
      </w:tblPr>
      <w:tblGrid>
        <w:gridCol w:w="8522"/>
      </w:tblGrid>
      <w:tr w:rsidTr="00FE51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REQUIRED SKILLS AND KNOWLEDGE</w:t>
            </w:r>
          </w:p>
        </w:tc>
      </w:tr>
      <w:tr w:rsidTr="00FE51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t>This section describes the skills and knowledge required for this unit.</w:t>
            </w:r>
          </w:p>
        </w:tc>
      </w:tr>
      <w:tr w:rsidTr="00FE5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Required skills</w:t>
            </w:r>
          </w:p>
        </w:tc>
      </w:tr>
      <w:tr w:rsidTr="00FE5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Required skills include:</w:t>
            </w:r>
          </w:p>
          <w:p w:rsidR="00000000" w:rsidRPr="00D33170" w:rsidP="00D33170">
            <w:pPr>
              <w:pStyle w:val="ListBullet"/>
            </w:pPr>
            <w:r w:rsidRPr="00D33170">
              <w:t>verifying the accuracy and completeness of data, results and technical records</w:t>
            </w:r>
          </w:p>
          <w:p w:rsidR="00000000" w:rsidRPr="00D33170" w:rsidP="00D33170">
            <w:pPr>
              <w:pStyle w:val="ListBullet"/>
            </w:pPr>
            <w:r w:rsidRPr="00D33170">
              <w:t>recognising significant trends in data and/or aberrant results</w:t>
            </w:r>
          </w:p>
          <w:p w:rsidR="00000000" w:rsidRPr="00D33170" w:rsidP="00D33170">
            <w:pPr>
              <w:pStyle w:val="ListBullet"/>
            </w:pPr>
            <w:r w:rsidRPr="00D33170">
              <w:t>using statistical tests to estimate uncertainties and determine data acceptability</w:t>
            </w:r>
          </w:p>
          <w:p w:rsidR="00000000" w:rsidRPr="00D33170" w:rsidP="00D33170">
            <w:pPr>
              <w:pStyle w:val="ListBullet"/>
            </w:pPr>
            <w:r w:rsidRPr="00D33170">
              <w:t>analysing sampling, sample preparation testing and/or calibration activities to identify potential causes of u</w:t>
            </w:r>
            <w:r w:rsidRPr="00D33170">
              <w:t>nacceptable data/results</w:t>
            </w:r>
          </w:p>
          <w:p w:rsidR="00000000" w:rsidRPr="00D33170" w:rsidP="00D33170">
            <w:pPr>
              <w:pStyle w:val="ListBullet"/>
            </w:pPr>
            <w:r w:rsidRPr="00D33170">
              <w:t>applying effective problem solving strategies</w:t>
            </w:r>
          </w:p>
          <w:p w:rsidR="00000000" w:rsidRPr="00D33170" w:rsidP="00D33170">
            <w:pPr>
              <w:pStyle w:val="ListBullet"/>
            </w:pPr>
            <w:r w:rsidRPr="00D33170">
              <w:t>recommending appropriate preventative/corrective actions to control potential/actual non-conforming work</w:t>
            </w:r>
          </w:p>
          <w:p w:rsidR="00000000" w:rsidP="00D33170">
            <w:pPr>
              <w:pStyle w:val="ListBullet"/>
              <w:rPr>
                <w:lang w:val="en-NZ"/>
              </w:rPr>
            </w:pPr>
            <w:r w:rsidRPr="00D33170">
              <w:t xml:space="preserve">following enterprise procedures for documenting and reporting information about </w:t>
            </w:r>
            <w:r w:rsidRPr="00D33170">
              <w:t>quality</w:t>
            </w:r>
          </w:p>
        </w:tc>
      </w:tr>
      <w:tr w:rsidTr="00FE5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Required knowledge</w:t>
            </w:r>
          </w:p>
        </w:tc>
      </w:tr>
      <w:tr w:rsidTr="00FE5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Required knowledge includes:</w:t>
            </w:r>
          </w:p>
          <w:p w:rsidR="00000000" w:rsidRPr="00D33170" w:rsidP="00D33170">
            <w:pPr>
              <w:pStyle w:val="ListBullet"/>
            </w:pPr>
            <w:r w:rsidRPr="00D33170">
              <w:t>characteristic properties of the materials in question</w:t>
            </w:r>
          </w:p>
          <w:p w:rsidR="00000000" w:rsidRPr="00D33170" w:rsidP="00D33170">
            <w:pPr>
              <w:pStyle w:val="ListBullet"/>
            </w:pPr>
            <w:r w:rsidRPr="00D33170">
              <w:t>specifications for samples, tests and/or calibration activities under investigation</w:t>
            </w:r>
          </w:p>
          <w:p w:rsidR="00000000" w:rsidRPr="00D33170" w:rsidP="00D33170">
            <w:pPr>
              <w:pStyle w:val="ListBullet"/>
            </w:pPr>
            <w:r w:rsidRPr="00D33170">
              <w:t>scientific and technical knowledge of the procedures, equi</w:t>
            </w:r>
            <w:r w:rsidRPr="00D33170">
              <w:t>pment, materials and instrumentation used to generate the test results and data</w:t>
            </w:r>
          </w:p>
          <w:p w:rsidR="00000000" w:rsidRPr="00D33170" w:rsidP="00D33170">
            <w:pPr>
              <w:pStyle w:val="ListBullet"/>
            </w:pPr>
            <w:r w:rsidRPr="00D33170">
              <w:t>methods for statistical analysis of data (means, ranges, standard deviations, confidence limits and data acceptability) and sampling procedures</w:t>
            </w:r>
          </w:p>
          <w:p w:rsidR="00000000" w:rsidRPr="00D33170" w:rsidP="00D33170">
            <w:pPr>
              <w:pStyle w:val="ListBullet"/>
            </w:pPr>
            <w:r w:rsidRPr="00D33170">
              <w:t>problem solving techniques andro</w:t>
            </w:r>
            <w:r w:rsidRPr="00D33170">
              <w:t>ot cause analysis</w:t>
            </w:r>
          </w:p>
          <w:p w:rsidR="00000000" w:rsidRPr="00D33170" w:rsidP="00D33170">
            <w:pPr>
              <w:pStyle w:val="ListBullet"/>
            </w:pPr>
            <w:r w:rsidRPr="00D33170">
              <w:t>enterprise and/or legal traceability requirements</w:t>
            </w:r>
          </w:p>
          <w:p w:rsidR="00000000" w:rsidRPr="00D33170" w:rsidP="00D33170">
            <w:pPr>
              <w:pStyle w:val="ListBullet"/>
            </w:pPr>
            <w:r w:rsidRPr="00D33170">
              <w:t>relevant health, safety and environment requirements</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10" w:name="O_102912"/>
      <w:bookmarkEnd w:id="10"/>
      <w:r w:rsidRPr="00D33170">
        <w:t>Evidence Guide</w:t>
      </w:r>
    </w:p>
    <w:tbl>
      <w:tblPr>
        <w:tblW w:w="9570" w:type="dxa"/>
        <w:tblLayout w:type="fixed"/>
        <w:tblCellMar>
          <w:left w:w="62" w:type="dxa"/>
          <w:right w:w="62" w:type="dxa"/>
        </w:tblCellMar>
        <w:tblLook w:val="0000"/>
      </w:tblPr>
      <w:tblGrid>
        <w:gridCol w:w="3908"/>
        <w:gridCol w:w="5662"/>
      </w:tblGrid>
      <w:tr w:rsidTr="00FE51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EVIDENCE GUIDE</w:t>
            </w:r>
          </w:p>
        </w:tc>
      </w:tr>
      <w:tr w:rsidTr="00FE51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t>The Evidence Guide provides advice on assessment and must be read in conjunction with the performance criteria, required skills and knowledge, range statement and the Assessment Guidelines for the Training Package.</w:t>
            </w:r>
          </w:p>
        </w:tc>
      </w:tr>
      <w:tr w:rsidTr="00FE5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p>
        </w:tc>
      </w:tr>
      <w:tr w:rsidTr="00FE5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Critical aspec</w:t>
            </w:r>
            <w:r w:rsidRPr="00D3317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Assessors should ensure that candidates can:</w:t>
            </w:r>
          </w:p>
          <w:p w:rsidR="00000000" w:rsidRPr="00D33170" w:rsidP="00D33170">
            <w:pPr>
              <w:pStyle w:val="ListBullet"/>
            </w:pPr>
            <w:r w:rsidRPr="00D33170">
              <w:t>verify the accuracy and completeness of data, results and technical records</w:t>
            </w:r>
          </w:p>
          <w:p w:rsidR="00000000" w:rsidRPr="00D33170" w:rsidP="00D33170">
            <w:pPr>
              <w:pStyle w:val="ListBullet"/>
            </w:pPr>
            <w:r w:rsidRPr="00D33170">
              <w:t>recognise significant trends in data and/or aberrant results</w:t>
            </w:r>
          </w:p>
          <w:p w:rsidR="00000000" w:rsidRPr="00D33170" w:rsidP="00D33170">
            <w:pPr>
              <w:pStyle w:val="ListBullet"/>
            </w:pPr>
            <w:r w:rsidRPr="00D33170">
              <w:t>use statistical tests to estimate uncertainties and determine data acceptability</w:t>
            </w:r>
          </w:p>
          <w:p w:rsidR="00000000" w:rsidRPr="00D33170" w:rsidP="00D33170">
            <w:pPr>
              <w:pStyle w:val="ListBullet"/>
            </w:pPr>
            <w:r w:rsidRPr="00D33170">
              <w:t>analyse sampling, sample preparation testing and/or calibration activities to identify potential causes of unaccep</w:t>
            </w:r>
            <w:r w:rsidRPr="00D33170">
              <w:t>table data/results</w:t>
            </w:r>
          </w:p>
          <w:p w:rsidR="00000000" w:rsidRPr="00D33170" w:rsidP="00D33170">
            <w:pPr>
              <w:pStyle w:val="ListBullet"/>
            </w:pPr>
            <w:r w:rsidRPr="00D33170">
              <w:t>apply effective problem solving strategies</w:t>
            </w:r>
          </w:p>
          <w:p w:rsidR="00000000" w:rsidRPr="00D33170" w:rsidP="00D33170">
            <w:pPr>
              <w:pStyle w:val="ListBullet"/>
            </w:pPr>
            <w:r w:rsidRPr="00D33170">
              <w:t>recommend appropriate preventative/corrective actions to control potential/actual non-conforming work</w:t>
            </w:r>
          </w:p>
          <w:p w:rsidR="00000000" w:rsidP="00D33170">
            <w:pPr>
              <w:pStyle w:val="ListBullet"/>
              <w:rPr>
                <w:lang w:val="en-NZ"/>
              </w:rPr>
            </w:pPr>
            <w:r w:rsidRPr="00D33170">
              <w:t>follow enterprise procedures for documenting and reporting information about quality.</w:t>
            </w:r>
          </w:p>
        </w:tc>
      </w:tr>
      <w:tr w:rsidTr="00FE5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Conte</w:t>
            </w:r>
            <w:r w:rsidRPr="00D33170">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 xml:space="preserve">This unit of competency is to be assessed in the workplace or simulated workplace environment. </w:t>
            </w:r>
          </w:p>
          <w:p w:rsidR="00000000" w:rsidRPr="00D33170" w:rsidP="00D33170">
            <w:pPr>
              <w:pStyle w:val="BodyText"/>
            </w:pPr>
            <w:r w:rsidRPr="00D33170">
              <w:t>This unit of competency may be assessed with:</w:t>
            </w:r>
          </w:p>
          <w:p w:rsidR="00000000" w:rsidRPr="00D33170" w:rsidP="00D33170">
            <w:pPr>
              <w:pStyle w:val="ListBullet"/>
            </w:pPr>
            <w:r w:rsidRPr="00D33170">
              <w:rPr>
                <w:rStyle w:val="Emphasis"/>
              </w:rPr>
              <w:t>MSL925001A Analyse data and report results</w:t>
            </w:r>
          </w:p>
          <w:p w:rsidR="00000000" w:rsidRPr="00D33170" w:rsidP="00D33170">
            <w:pPr>
              <w:pStyle w:val="ListBullet"/>
            </w:pPr>
            <w:r w:rsidRPr="00D33170">
              <w:rPr>
                <w:rStyle w:val="Emphasis"/>
              </w:rPr>
              <w:t xml:space="preserve">relevant MSL974000 series </w:t>
            </w:r>
            <w:r w:rsidRPr="00D33170">
              <w:rPr>
                <w:rStyle w:val="Emphasis"/>
              </w:rPr>
              <w:t>units of competency</w:t>
            </w:r>
          </w:p>
          <w:p w:rsidR="00000000" w:rsidRPr="00D33170" w:rsidP="00D33170">
            <w:pPr>
              <w:pStyle w:val="ListBullet"/>
            </w:pPr>
            <w:r w:rsidRPr="00D33170">
              <w:rPr>
                <w:rStyle w:val="Emphasis"/>
              </w:rPr>
              <w:t>relevant MSL975000 series units of competency</w:t>
            </w:r>
            <w:r w:rsidRPr="00D33170">
              <w:t>.</w:t>
            </w:r>
          </w:p>
          <w:p w:rsidR="00000000" w:rsidRPr="00D33170" w:rsidP="00D33170">
            <w:pPr>
              <w:pStyle w:val="BodyText"/>
            </w:pPr>
            <w:r w:rsidRPr="00D33170">
              <w:t>Resources may include:</w:t>
            </w:r>
          </w:p>
          <w:p w:rsidR="00000000" w:rsidRPr="00D33170" w:rsidP="00D33170">
            <w:pPr>
              <w:pStyle w:val="ListBullet"/>
            </w:pPr>
            <w:r w:rsidRPr="00D33170">
              <w:t>data files and technical records, and laboratory information management system (LIMS)</w:t>
            </w:r>
          </w:p>
          <w:p w:rsidR="00000000" w:rsidRPr="00D33170" w:rsidP="00D33170">
            <w:pPr>
              <w:pStyle w:val="ListBullet"/>
            </w:pPr>
            <w:r w:rsidRPr="00D33170">
              <w:t>appropriate software</w:t>
            </w:r>
          </w:p>
          <w:p w:rsidR="00000000" w:rsidRPr="00D33170" w:rsidP="00D33170">
            <w:pPr>
              <w:pStyle w:val="ListBullet"/>
            </w:pPr>
            <w:r w:rsidRPr="00D33170">
              <w:t>enterprise quality manual and procedures</w:t>
            </w:r>
          </w:p>
          <w:p w:rsidR="00000000" w:rsidP="00D33170">
            <w:pPr>
              <w:pStyle w:val="ListBullet"/>
              <w:rPr>
                <w:lang w:val="en-NZ"/>
              </w:rPr>
            </w:pPr>
            <w:r w:rsidRPr="00D33170">
              <w:t>access to samples, sampling equipment and test equipment/instruments/materials.</w:t>
            </w:r>
          </w:p>
        </w:tc>
      </w:tr>
      <w:tr w:rsidTr="00FE5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The following assessment methods are suggested:</w:t>
            </w:r>
          </w:p>
          <w:p w:rsidR="00000000" w:rsidRPr="00D33170" w:rsidP="00D33170">
            <w:pPr>
              <w:pStyle w:val="ListBullet"/>
            </w:pPr>
            <w:r w:rsidRPr="00D33170">
              <w:t>review of verified records and reports generated by the candidate</w:t>
            </w:r>
          </w:p>
          <w:p w:rsidR="00000000" w:rsidRPr="00D33170" w:rsidP="00D33170">
            <w:pPr>
              <w:pStyle w:val="ListBullet"/>
            </w:pPr>
            <w:r w:rsidRPr="00D33170">
              <w:t>feedback from supervisors and peers abo</w:t>
            </w:r>
            <w:r w:rsidRPr="00D33170">
              <w:t>ut the candidate's ability to monitor the quality of test results and data</w:t>
            </w:r>
          </w:p>
          <w:p w:rsidR="00000000" w:rsidRPr="00D33170" w:rsidP="00D33170">
            <w:pPr>
              <w:pStyle w:val="ListBullet"/>
            </w:pPr>
            <w:r w:rsidRPr="00D33170">
              <w:t>questioning to assess understanding of trends in data, sources of uncertainty, and preventative/corrective actions.</w:t>
            </w:r>
          </w:p>
          <w:p w:rsidR="00000000" w:rsidRPr="00D33170" w:rsidP="00D33170">
            <w:pPr>
              <w:pStyle w:val="BodyText"/>
            </w:pPr>
            <w:r w:rsidRPr="00D33170">
              <w:t>In all cases, practical assessment should be supported by questio</w:t>
            </w:r>
            <w:r w:rsidRPr="00D33170">
              <w:t xml:space="preserve">ns to assess underpinning knowledge and those aspects of competency which are difficult to assess directly. </w:t>
            </w:r>
          </w:p>
          <w:p w:rsidR="00000000" w:rsidRPr="00D33170" w:rsidP="00D33170">
            <w:pPr>
              <w:pStyle w:val="BodyText"/>
            </w:pPr>
            <w:r w:rsidRPr="00D33170">
              <w:t>Where applicable, reasonable adjustment must be made to work environments and training situations to accommodate ethnicity, age, gender, demographi</w:t>
            </w:r>
            <w:r w:rsidRPr="00D33170">
              <w:t xml:space="preserve">cs and disability. </w:t>
            </w:r>
          </w:p>
          <w:p w:rsidR="00000000" w:rsidRPr="00D33170" w:rsidP="00D33170">
            <w:pPr>
              <w:pStyle w:val="BodyText"/>
            </w:pPr>
            <w:r w:rsidRPr="00D33170">
              <w:t xml:space="preserve">Access must be provided to appropriate learning and/or assessment support when required. </w:t>
            </w:r>
          </w:p>
          <w:p w:rsidR="00000000" w:rsidP="00D33170">
            <w:pPr>
              <w:pStyle w:val="BodyText"/>
              <w:rPr>
                <w:lang w:val="en-NZ"/>
              </w:rPr>
            </w:pPr>
            <w:r w:rsidRPr="00D33170">
              <w:t xml:space="preserve">The language, literacy and numeracy demands of assessment should not be greater than those required to undertake the unit of competency in a work </w:t>
            </w:r>
            <w:r w:rsidRPr="00D33170">
              <w:t>like environment.</w:t>
            </w:r>
          </w:p>
        </w:tc>
      </w:tr>
      <w:tr w:rsidTr="00FE5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Industry representatives have provided the case studies below to illustrate the practical application of this unit of competency and to show their relevance in a workplace setting.</w:t>
            </w:r>
          </w:p>
          <w:p w:rsidR="00000000" w:rsidRPr="00D33170" w:rsidP="00D33170">
            <w:pPr>
              <w:pStyle w:val="BodyText"/>
            </w:pPr>
            <w:r w:rsidRPr="00D33170">
              <w:rPr>
                <w:rStyle w:val="SpecialBold"/>
              </w:rPr>
              <w:t>Manufacturing</w:t>
            </w:r>
          </w:p>
          <w:p w:rsidR="00000000" w:rsidRPr="00D33170" w:rsidP="00D33170">
            <w:pPr>
              <w:pStyle w:val="BodyText"/>
            </w:pPr>
            <w:r w:rsidRPr="00D33170">
              <w:t>The person conducting final quality assurance activities is responsible for ensuring that the results of each calibration or test carried out by the laboratory are reported accurately, unambiguously, clearly and objectively in accordance with specific inst</w:t>
            </w:r>
            <w:r w:rsidRPr="00D33170">
              <w:t xml:space="preserve">ructions in the test or calibration method. Test reports and calibration certificates are checked for mistakes, including the correct transfer of data from original worksheets and to ensure all relevant information is documented and is the result of valid </w:t>
            </w:r>
            <w:r w:rsidRPr="00D33170">
              <w:t>measurements. Quality inspectors are also ultimately responsible to their clients for the quality of work produced by outsourced subcontractors.</w:t>
            </w:r>
          </w:p>
          <w:p w:rsidR="00000000" w:rsidRPr="00D33170" w:rsidP="00D33170">
            <w:pPr>
              <w:pStyle w:val="BodyText"/>
            </w:pPr>
            <w:r w:rsidRPr="00D33170">
              <w:rPr>
                <w:rStyle w:val="SpecialBold"/>
              </w:rPr>
              <w:t>Environmental</w:t>
            </w:r>
            <w:r w:rsidRPr="00D33170">
              <w:t xml:space="preserve"> </w:t>
            </w:r>
          </w:p>
          <w:p w:rsidR="00000000" w:rsidRPr="00D33170" w:rsidP="00D33170">
            <w:pPr>
              <w:pStyle w:val="BodyText"/>
            </w:pPr>
            <w:r w:rsidRPr="00D33170">
              <w:t xml:space="preserve">A laboratory regularly collects carbon monoxide (CO) data as part of an air monitoring program. </w:t>
            </w:r>
            <w:r w:rsidRPr="00D33170">
              <w:t>The laboratory operates several remote air sampling sites that take CO samples every three seconds using standard methods. The measurements are stored in data loggers and downloaded to the laboratory's computer every 24 hours. Using a standard software pac</w:t>
            </w:r>
            <w:r w:rsidRPr="00D33170">
              <w:t>kage, the laboratory technician generates 1 hour and 24 hour averages for each site. They then graph the results over a one year period and use the appropriate Australian Air Quality Standard to determine exceedances for the 1 hour and 24 hour averages. To</w:t>
            </w:r>
            <w:r w:rsidRPr="00D33170">
              <w:t xml:space="preserve"> ensure that any exceedances are genuine, the technician carefully checks factors, such as equipment calibration procedures, seasonal variations in data, artefacts, equipment downtime and maintenance of monitoring equipment over the past year. The verified</w:t>
            </w:r>
            <w:r w:rsidRPr="00D33170">
              <w:t xml:space="preserve"> data and exceedances are reported and compared with previous years' exceedances to determine long term trends in air quality at the sampling sites.</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11" w:name="O_102913"/>
      <w:bookmarkEnd w:id="11"/>
      <w:r w:rsidRPr="00D33170">
        <w:t>Range Statement</w:t>
      </w:r>
    </w:p>
    <w:tbl>
      <w:tblPr>
        <w:tblW w:w="0" w:type="auto"/>
        <w:tblLayout w:type="fixed"/>
        <w:tblCellMar>
          <w:left w:w="62" w:type="dxa"/>
          <w:right w:w="62" w:type="dxa"/>
        </w:tblCellMar>
        <w:tblLook w:val="0000"/>
      </w:tblPr>
      <w:tblGrid>
        <w:gridCol w:w="3607"/>
        <w:gridCol w:w="4915"/>
      </w:tblGrid>
      <w:tr w:rsidTr="00FE51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RANGE STATEMENT</w:t>
            </w:r>
          </w:p>
        </w:tc>
      </w:tr>
      <w:tr w:rsidTr="00FE51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t>The range statement relates to the unit of competency as a whole. It allows for different work environments and situations that may affect performance. Bold italicised wording, if used in the performance criteria, is detailed below. Essential operating con</w:t>
            </w:r>
            <w:r w:rsidRPr="00D33170">
              <w:t>ditions that may be present with training and assessment (depending on the work situation, needs of the candidate, accessibility of the item, and local industry and regional contexts) may also be included.</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Codes of practice</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t>Where reference is made to industry codes of practice, and/or Australian/international standards, it is expected the latest version will be used</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Standards</w:t>
            </w:r>
            <w:r w:rsidRPr="00D33170">
              <w:t xml:space="preserve">, </w:t>
            </w:r>
            <w:r w:rsidRPr="00D33170">
              <w:rPr>
                <w:rStyle w:val="SpecialBold"/>
              </w:rPr>
              <w:t>codes</w:t>
            </w:r>
            <w:r w:rsidRPr="00D33170">
              <w:t xml:space="preserve">, </w:t>
            </w:r>
            <w:r w:rsidRPr="00D33170">
              <w:rPr>
                <w:rStyle w:val="SpecialBold"/>
              </w:rPr>
              <w:t>procedures and</w:t>
            </w:r>
            <w:r w:rsidRPr="00D33170">
              <w:t>/</w:t>
            </w:r>
            <w:r w:rsidRPr="00D33170">
              <w:rPr>
                <w:rStyle w:val="SpecialBold"/>
              </w:rPr>
              <w:t>or enterprise requirements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Standards, codes, procedures and/or enterprise re</w:t>
            </w:r>
            <w:r w:rsidRPr="00D33170">
              <w:t>quirements may include:</w:t>
            </w:r>
          </w:p>
          <w:p w:rsidR="00000000" w:rsidRPr="00D33170" w:rsidP="00D33170">
            <w:pPr>
              <w:pStyle w:val="ListBullet"/>
            </w:pPr>
            <w:r w:rsidRPr="00D33170">
              <w:t>Australian and international standards, such as:</w:t>
            </w:r>
          </w:p>
          <w:p w:rsidR="00000000" w:rsidRPr="00D33170" w:rsidP="00D33170">
            <w:pPr>
              <w:pStyle w:val="ListBullet2"/>
            </w:pPr>
            <w:r w:rsidRPr="00D33170">
              <w:t>AS ISO 1000-1998 The international system of units (SI) and its application</w:t>
            </w:r>
          </w:p>
          <w:p w:rsidR="00000000" w:rsidRPr="00D33170" w:rsidP="00D33170">
            <w:pPr>
              <w:pStyle w:val="ListBullet2"/>
            </w:pPr>
            <w:r w:rsidRPr="00D33170">
              <w:t>AS ISO 17025-2005 General requirements for the competence of testing and calibration laboratories</w:t>
            </w:r>
          </w:p>
          <w:p w:rsidR="00000000" w:rsidRPr="00D33170" w:rsidP="00D33170">
            <w:pPr>
              <w:pStyle w:val="ListBullet2"/>
            </w:pPr>
            <w:r w:rsidRPr="00D33170">
              <w:t>AS/NZS ISO 10005:2006 Quality management systems - Guidelines for quality plans</w:t>
            </w:r>
          </w:p>
          <w:p w:rsidR="00000000" w:rsidRPr="00D33170" w:rsidP="00D33170">
            <w:pPr>
              <w:pStyle w:val="ListBullet2"/>
            </w:pPr>
            <w:r w:rsidRPr="00D33170">
              <w:t>AS/NZS ISO 10012:2004 Measurement management systems - Requirements for measurement processes and measuring equipment</w:t>
            </w:r>
          </w:p>
          <w:p w:rsidR="00000000" w:rsidRPr="00D33170" w:rsidP="00D33170">
            <w:pPr>
              <w:pStyle w:val="ListBullet2"/>
            </w:pPr>
            <w:r w:rsidRPr="00D33170">
              <w:t>AS/NZS ISO 9000 Set:2008 Quality management systems set</w:t>
            </w:r>
          </w:p>
          <w:p w:rsidR="00000000" w:rsidRPr="00D33170" w:rsidP="00D33170">
            <w:pPr>
              <w:pStyle w:val="ListBullet2"/>
            </w:pPr>
            <w:r w:rsidRPr="00D33170">
              <w:t>AS</w:t>
            </w:r>
            <w:r w:rsidRPr="00D33170">
              <w:t>/NZS ISO 9001:2008 Quality management systems - Requirements</w:t>
            </w:r>
          </w:p>
          <w:p w:rsidR="00000000" w:rsidRPr="00D33170" w:rsidP="00D33170">
            <w:pPr>
              <w:pStyle w:val="ListBullet2"/>
            </w:pPr>
            <w:r w:rsidRPr="00D33170">
              <w:t>ISO 5725 Accuracy (trueness and precision) of measurement methods and results</w:t>
            </w:r>
          </w:p>
          <w:p w:rsidR="00000000" w:rsidRPr="00D33170" w:rsidP="00D33170">
            <w:pPr>
              <w:pStyle w:val="ListBullet2"/>
            </w:pPr>
            <w:r w:rsidRPr="00D33170">
              <w:t>ISO/IEC Guide 98-3:2008 Uncertainty of measurement - Part 3 Guide to the expression of uncertainty in measurement (GU</w:t>
            </w:r>
            <w:r w:rsidRPr="00D33170">
              <w:t>M)</w:t>
            </w:r>
          </w:p>
          <w:p w:rsidR="00000000" w:rsidRPr="00D33170" w:rsidP="00D33170">
            <w:pPr>
              <w:pStyle w:val="ListBullet"/>
            </w:pPr>
            <w:r w:rsidRPr="00D33170">
              <w:t>Eurachem/CITAC Guide CG4 Quantifying uncertainty in analytical measurement</w:t>
            </w:r>
          </w:p>
          <w:p w:rsidR="00000000" w:rsidRPr="00D33170" w:rsidP="00D33170">
            <w:pPr>
              <w:pStyle w:val="ListBullet"/>
            </w:pPr>
            <w:r w:rsidRPr="00D33170">
              <w:t>national measurement regulations and guidelines</w:t>
            </w:r>
          </w:p>
          <w:p w:rsidR="00000000" w:rsidRPr="00D33170" w:rsidP="00D33170">
            <w:pPr>
              <w:pStyle w:val="ListBullet"/>
            </w:pPr>
            <w:r w:rsidRPr="00D33170">
              <w:t>Australian code of good manufacturing practice for medicinal products (GMP)</w:t>
            </w:r>
          </w:p>
          <w:p w:rsidR="00000000" w:rsidRPr="00D33170" w:rsidP="00D33170">
            <w:pPr>
              <w:pStyle w:val="ListBullet"/>
            </w:pPr>
            <w:r w:rsidRPr="00D33170">
              <w:t>enterprise recording and reporting procedures</w:t>
            </w:r>
          </w:p>
          <w:p w:rsidR="00000000" w:rsidRPr="00D33170" w:rsidP="00D33170">
            <w:pPr>
              <w:pStyle w:val="ListBullet"/>
            </w:pPr>
            <w:r w:rsidRPr="00D33170">
              <w:t>equipme</w:t>
            </w:r>
            <w:r w:rsidRPr="00D33170">
              <w:t>nt startup, operation and shutdown procedures</w:t>
            </w:r>
          </w:p>
          <w:p w:rsidR="00000000" w:rsidRPr="00D33170" w:rsidP="00D33170">
            <w:pPr>
              <w:pStyle w:val="ListBullet"/>
            </w:pPr>
            <w:r w:rsidRPr="00D33170">
              <w:t>material safety data sheets (MSDS)</w:t>
            </w:r>
          </w:p>
          <w:p w:rsidR="00000000" w:rsidRPr="00D33170" w:rsidP="00D33170">
            <w:pPr>
              <w:pStyle w:val="ListBullet"/>
            </w:pPr>
            <w:r w:rsidRPr="00D33170">
              <w:t>National Association of Testing Authorities (NATA) Accreditation programs requirements</w:t>
            </w:r>
          </w:p>
          <w:p w:rsidR="00000000" w:rsidRPr="00D33170" w:rsidP="00D33170">
            <w:pPr>
              <w:pStyle w:val="ListBullet"/>
            </w:pPr>
            <w:r w:rsidRPr="00D33170">
              <w:t>principles of good laboratory practice (GLP)</w:t>
            </w:r>
          </w:p>
          <w:p w:rsidR="00000000" w:rsidRPr="00D33170" w:rsidP="00D33170">
            <w:pPr>
              <w:pStyle w:val="ListBullet"/>
            </w:pPr>
            <w:r w:rsidRPr="00D33170">
              <w:t>production and laboratory schedules</w:t>
            </w:r>
          </w:p>
          <w:p w:rsidR="00000000" w:rsidRPr="00D33170" w:rsidP="00D33170">
            <w:pPr>
              <w:pStyle w:val="ListBullet"/>
            </w:pPr>
            <w:r w:rsidRPr="00D33170">
              <w:t>quality manuals, equipment and procedures manuals</w:t>
            </w:r>
          </w:p>
          <w:p w:rsidR="00000000" w:rsidP="00D33170">
            <w:pPr>
              <w:pStyle w:val="ListBullet"/>
              <w:rPr>
                <w:lang w:val="en-NZ"/>
              </w:rPr>
            </w:pPr>
            <w:r w:rsidRPr="00D33170">
              <w:t>standard operating procedures (SOPs) and published preparation methods</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Technical records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Technical records consist of data and information generated during sampling, testing and/or calibrations which indi</w:t>
            </w:r>
            <w:r w:rsidRPr="00D33170">
              <w:t>cate whether quality or process parameters have been achieved. They may include:</w:t>
            </w:r>
          </w:p>
          <w:p w:rsidR="00000000" w:rsidRPr="00D33170" w:rsidP="00D33170">
            <w:pPr>
              <w:pStyle w:val="ListBullet"/>
            </w:pPr>
            <w:r w:rsidRPr="00D33170">
              <w:t>request forms, service agreements and contracts</w:t>
            </w:r>
          </w:p>
          <w:p w:rsidR="00000000" w:rsidRPr="00D33170" w:rsidP="00D33170">
            <w:pPr>
              <w:pStyle w:val="ListBullet"/>
            </w:pPr>
            <w:r w:rsidRPr="00D33170">
              <w:t>worksheets, work books, check sheets and work notes</w:t>
            </w:r>
          </w:p>
          <w:p w:rsidR="00000000" w:rsidRPr="00D33170" w:rsidP="00D33170">
            <w:pPr>
              <w:pStyle w:val="ListBullet"/>
            </w:pPr>
            <w:r w:rsidRPr="00D33170">
              <w:t>original observations, derived data and calculations</w:t>
            </w:r>
          </w:p>
          <w:p w:rsidR="00000000" w:rsidRPr="00D33170" w:rsidP="00D33170">
            <w:pPr>
              <w:pStyle w:val="ListBullet"/>
            </w:pPr>
            <w:r w:rsidRPr="00D33170">
              <w:t>control graphs</w:t>
            </w:r>
          </w:p>
          <w:p w:rsidR="00000000" w:rsidRPr="00D33170" w:rsidP="00D33170">
            <w:pPr>
              <w:pStyle w:val="ListBullet"/>
            </w:pPr>
            <w:r w:rsidRPr="00D33170">
              <w:t>extern</w:t>
            </w:r>
            <w:r w:rsidRPr="00D33170">
              <w:t>al, internal test reports and calibration certificates</w:t>
            </w:r>
          </w:p>
          <w:p w:rsidR="00000000" w:rsidRPr="00D33170" w:rsidP="00D33170">
            <w:pPr>
              <w:pStyle w:val="ListBullet"/>
            </w:pPr>
            <w:r w:rsidRPr="00D33170">
              <w:t>clients notes, papers and feedback</w:t>
            </w:r>
          </w:p>
          <w:p w:rsidR="00000000" w:rsidP="00D33170">
            <w:pPr>
              <w:pStyle w:val="ListBullet"/>
              <w:rPr>
                <w:lang w:val="en-NZ"/>
              </w:rPr>
            </w:pPr>
            <w:r w:rsidRPr="00D33170">
              <w:t>listing of data and the personnel responsible for sampling, performance of each test/calibration and checking of results</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Charts</w:t>
            </w:r>
            <w:r w:rsidRPr="00D33170">
              <w:t xml:space="preserve">, </w:t>
            </w:r>
            <w:r w:rsidRPr="00D33170">
              <w:rPr>
                <w:rStyle w:val="SpecialBold"/>
              </w:rPr>
              <w:t>tables and statistical tests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Charts, tables and statistical tests may include:</w:t>
            </w:r>
          </w:p>
          <w:p w:rsidR="00000000" w:rsidRPr="00D33170" w:rsidP="00D33170">
            <w:pPr>
              <w:pStyle w:val="ListBullet"/>
            </w:pPr>
            <w:r w:rsidRPr="00D33170">
              <w:t>run charts and control charts</w:t>
            </w:r>
          </w:p>
          <w:p w:rsidR="00000000" w:rsidRPr="00D33170" w:rsidP="00D33170">
            <w:pPr>
              <w:pStyle w:val="ListBullet"/>
            </w:pPr>
            <w:r w:rsidRPr="00D33170">
              <w:t>histograms, frequency plots, stem and leaf plots, boxplots and scatter plots</w:t>
            </w:r>
          </w:p>
          <w:p w:rsidR="00000000" w:rsidRPr="00D33170" w:rsidP="00D33170">
            <w:pPr>
              <w:pStyle w:val="ListBullet"/>
            </w:pPr>
            <w:r w:rsidRPr="00D33170">
              <w:t>probability and normal probability plots</w:t>
            </w:r>
          </w:p>
          <w:p w:rsidR="00000000" w:rsidRPr="00D33170" w:rsidP="00D33170">
            <w:pPr>
              <w:pStyle w:val="ListBullet"/>
            </w:pPr>
            <w:r w:rsidRPr="00D33170">
              <w:t>Pareto diagrams, Stewhart control charts and CuSum contro</w:t>
            </w:r>
            <w:r w:rsidRPr="00D33170">
              <w:t>l charts</w:t>
            </w:r>
          </w:p>
          <w:p w:rsidR="00000000" w:rsidRPr="00D33170" w:rsidP="00D33170">
            <w:pPr>
              <w:pStyle w:val="ListBullet"/>
            </w:pPr>
            <w:r w:rsidRPr="00D33170">
              <w:t>regression methods for calibration, linearity checks and comparing analytical methods</w:t>
            </w:r>
          </w:p>
          <w:p w:rsidR="00000000" w:rsidRPr="00D33170" w:rsidP="00D33170">
            <w:pPr>
              <w:pStyle w:val="ListBullet"/>
            </w:pPr>
            <w:r w:rsidRPr="00D33170">
              <w:t>analysis of variance (ANOVA)</w:t>
            </w:r>
          </w:p>
          <w:p w:rsidR="00000000" w:rsidP="00D33170">
            <w:pPr>
              <w:pStyle w:val="ListBullet"/>
              <w:rPr>
                <w:lang w:val="en-NZ"/>
              </w:rPr>
            </w:pPr>
            <w:r w:rsidRPr="00D33170">
              <w:t>data acceptability tests, such as Q, T and Youden</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Instrument calibration</w:t>
            </w:r>
            <w:r w:rsidRPr="00D33170">
              <w:t xml:space="preserve">/ </w:t>
            </w:r>
            <w:r w:rsidRPr="00D33170">
              <w:rPr>
                <w:rStyle w:val="SpecialBold"/>
              </w:rPr>
              <w:t>performance records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Instrument calibration/performance r</w:t>
            </w:r>
            <w:r w:rsidRPr="00D33170">
              <w:t>ecords may include:</w:t>
            </w:r>
          </w:p>
          <w:p w:rsidR="00000000" w:rsidRPr="00D33170" w:rsidP="00D33170">
            <w:pPr>
              <w:pStyle w:val="ListBullet"/>
            </w:pPr>
            <w:r w:rsidRPr="00D33170">
              <w:t>checks that equipment/instrument complies with specifications</w:t>
            </w:r>
          </w:p>
          <w:p w:rsidR="00000000" w:rsidRPr="00D33170" w:rsidP="00D33170">
            <w:pPr>
              <w:pStyle w:val="ListBullet"/>
            </w:pPr>
            <w:r w:rsidRPr="00D33170">
              <w:t>dates, results and copies of reports and certificates of calibrations, adjustments, acceptance criteria and due date of next calibration</w:t>
            </w:r>
          </w:p>
          <w:p w:rsidR="00000000" w:rsidRPr="00D33170" w:rsidP="00D33170">
            <w:pPr>
              <w:pStyle w:val="ListBullet"/>
            </w:pPr>
            <w:r w:rsidRPr="00D33170">
              <w:t>maintenance plan, maintenance carried out to date</w:t>
            </w:r>
          </w:p>
          <w:p w:rsidR="00000000" w:rsidP="00D33170">
            <w:pPr>
              <w:pStyle w:val="ListBullet"/>
              <w:rPr>
                <w:lang w:val="en-NZ"/>
              </w:rPr>
            </w:pPr>
            <w:r w:rsidRPr="00D33170">
              <w:t>damage, malfunction, modification or repairs</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Sources of interferences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Sources of interferences may include:</w:t>
            </w:r>
          </w:p>
          <w:p w:rsidR="00000000" w:rsidRPr="00D33170" w:rsidP="00D33170">
            <w:pPr>
              <w:pStyle w:val="ListBullet"/>
            </w:pPr>
            <w:r w:rsidRPr="00D33170">
              <w:t>spectral interference (e.g. in inductively coupled plasma)</w:t>
            </w:r>
          </w:p>
          <w:p w:rsidR="00000000" w:rsidRPr="00D33170" w:rsidP="00D33170">
            <w:pPr>
              <w:pStyle w:val="ListBullet"/>
            </w:pPr>
            <w:r w:rsidRPr="00D33170">
              <w:t>physical interference (e.g. in atomi</w:t>
            </w:r>
            <w:r w:rsidRPr="00D33170">
              <w:t>c absorption spectroscopy)</w:t>
            </w:r>
          </w:p>
          <w:p w:rsidR="00000000" w:rsidRPr="00D33170" w:rsidP="00D33170">
            <w:pPr>
              <w:pStyle w:val="ListBullet"/>
            </w:pPr>
            <w:r w:rsidRPr="00D33170">
              <w:t>matrix effects</w:t>
            </w:r>
          </w:p>
          <w:p w:rsidR="00000000" w:rsidRPr="00D33170" w:rsidP="00D33170">
            <w:pPr>
              <w:pStyle w:val="ListBullet"/>
            </w:pPr>
            <w:r w:rsidRPr="00D33170">
              <w:t>presence of contaminants</w:t>
            </w:r>
          </w:p>
          <w:p w:rsidR="00000000" w:rsidP="00D33170">
            <w:pPr>
              <w:pStyle w:val="ListBullet"/>
              <w:rPr>
                <w:lang w:val="en-NZ"/>
              </w:rPr>
            </w:pPr>
            <w:r w:rsidRPr="00D33170">
              <w:t>masking of analytes</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Human and environmental factors</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Human and environmental factors may include:</w:t>
            </w:r>
          </w:p>
          <w:p w:rsidR="00000000" w:rsidRPr="00D33170" w:rsidP="00D33170">
            <w:pPr>
              <w:pStyle w:val="ListBullet"/>
            </w:pPr>
            <w:r w:rsidRPr="00D33170">
              <w:t>lack of operator competence and/or training</w:t>
            </w:r>
          </w:p>
          <w:p w:rsidR="00000000" w:rsidRPr="00D33170" w:rsidP="00D33170">
            <w:pPr>
              <w:pStyle w:val="ListBullet"/>
            </w:pPr>
            <w:r w:rsidRPr="00D33170">
              <w:t>inadequate attention to detail, fatigue and st</w:t>
            </w:r>
            <w:r w:rsidRPr="00D33170">
              <w:t>ress</w:t>
            </w:r>
          </w:p>
          <w:p w:rsidR="00000000" w:rsidRPr="00D33170" w:rsidP="00D33170">
            <w:pPr>
              <w:pStyle w:val="ListBullet"/>
            </w:pPr>
            <w:r w:rsidRPr="00D33170">
              <w:t>inadequate hygiene and sterility</w:t>
            </w:r>
          </w:p>
          <w:p w:rsidR="00000000" w:rsidRPr="00D33170" w:rsidP="00D33170">
            <w:pPr>
              <w:pStyle w:val="ListBullet"/>
            </w:pPr>
            <w:r w:rsidRPr="00D33170">
              <w:t>unacceptable dust, humidity, temperature and illumination levels</w:t>
            </w:r>
          </w:p>
          <w:p w:rsidR="00000000" w:rsidRPr="00D33170" w:rsidP="00D33170">
            <w:pPr>
              <w:pStyle w:val="ListBullet"/>
            </w:pPr>
            <w:r w:rsidRPr="00D33170">
              <w:t>electromagnetic disturbances</w:t>
            </w:r>
          </w:p>
          <w:p w:rsidR="00000000" w:rsidRPr="00D33170" w:rsidP="00D33170">
            <w:pPr>
              <w:pStyle w:val="ListBullet"/>
            </w:pPr>
            <w:r w:rsidRPr="00D33170">
              <w:t>variations to gas, electricity and water supply</w:t>
            </w:r>
          </w:p>
          <w:p w:rsidR="00000000" w:rsidP="00D33170">
            <w:pPr>
              <w:pStyle w:val="ListBullet"/>
              <w:rPr>
                <w:lang w:val="en-NZ"/>
              </w:rPr>
            </w:pPr>
            <w:r w:rsidRPr="00D33170">
              <w:t>unacceptable sound and vibration levels</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Sample preparation problems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Sample preparation problems could result from:</w:t>
            </w:r>
          </w:p>
          <w:p w:rsidR="00000000" w:rsidRPr="00D33170" w:rsidP="00D33170">
            <w:pPr>
              <w:pStyle w:val="ListBullet"/>
            </w:pPr>
            <w:r w:rsidRPr="00D33170">
              <w:t>incomplete preparation</w:t>
            </w:r>
          </w:p>
          <w:p w:rsidR="00000000" w:rsidRPr="00D33170" w:rsidP="00D33170">
            <w:pPr>
              <w:pStyle w:val="ListBullet"/>
            </w:pPr>
            <w:r w:rsidRPr="00D33170">
              <w:t>segregation</w:t>
            </w:r>
          </w:p>
          <w:p w:rsidR="00000000" w:rsidRPr="00D33170" w:rsidP="00D33170">
            <w:pPr>
              <w:pStyle w:val="ListBullet"/>
            </w:pPr>
            <w:r w:rsidRPr="00D33170">
              <w:t>sample disturbance</w:t>
            </w:r>
          </w:p>
          <w:p w:rsidR="00000000" w:rsidRPr="00D33170" w:rsidP="00D33170">
            <w:pPr>
              <w:pStyle w:val="ListBullet"/>
            </w:pPr>
            <w:r w:rsidRPr="00D33170">
              <w:t>incorrect sample containers</w:t>
            </w:r>
          </w:p>
          <w:p w:rsidR="00000000" w:rsidRPr="00D33170" w:rsidP="00D33170">
            <w:pPr>
              <w:pStyle w:val="ListBullet"/>
            </w:pPr>
            <w:r w:rsidRPr="00D33170">
              <w:t>incorrect sample handling (filtered/non-filtered, temperature control and preservation)</w:t>
            </w:r>
          </w:p>
          <w:p w:rsidR="00000000" w:rsidRPr="00D33170" w:rsidP="00D33170">
            <w:pPr>
              <w:pStyle w:val="ListBullet"/>
            </w:pPr>
            <w:r w:rsidRPr="00D33170">
              <w:t>incorrect particle size</w:t>
            </w:r>
          </w:p>
          <w:p w:rsidR="00000000" w:rsidRPr="00D33170" w:rsidP="00D33170">
            <w:pPr>
              <w:pStyle w:val="ListBullet"/>
            </w:pPr>
            <w:r w:rsidRPr="00D33170">
              <w:t>incorrect matr</w:t>
            </w:r>
            <w:r w:rsidRPr="00D33170">
              <w:t>ix</w:t>
            </w:r>
          </w:p>
          <w:p w:rsidR="00000000" w:rsidP="00D33170">
            <w:pPr>
              <w:pStyle w:val="ListBullet"/>
              <w:rPr>
                <w:lang w:val="en-NZ"/>
              </w:rPr>
            </w:pPr>
            <w:r w:rsidRPr="00D33170">
              <w:t>incomplete digest</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Preventative</w:t>
            </w:r>
            <w:r w:rsidRPr="00D33170">
              <w:t>/</w:t>
            </w:r>
            <w:r w:rsidRPr="00D33170">
              <w:rPr>
                <w:rStyle w:val="SpecialBold"/>
              </w:rPr>
              <w:t>corrective actions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Preventative/corrective actions could include:</w:t>
            </w:r>
          </w:p>
          <w:p w:rsidR="00000000" w:rsidRPr="00D33170" w:rsidP="00D33170">
            <w:pPr>
              <w:pStyle w:val="ListBullet"/>
            </w:pPr>
            <w:r w:rsidRPr="00D33170">
              <w:t>regular use of certified reference materials</w:t>
            </w:r>
          </w:p>
          <w:p w:rsidR="00000000" w:rsidRPr="00D33170" w:rsidP="00D33170">
            <w:pPr>
              <w:pStyle w:val="ListBullet"/>
            </w:pPr>
            <w:r w:rsidRPr="00D33170">
              <w:t>internal quality controls using secondary reference materials</w:t>
            </w:r>
          </w:p>
          <w:p w:rsidR="00000000" w:rsidRPr="00D33170" w:rsidP="00D33170">
            <w:pPr>
              <w:pStyle w:val="ListBullet"/>
            </w:pPr>
            <w:r w:rsidRPr="00D33170">
              <w:t>participation in inter-laboratory comparison or proficiency testing programs</w:t>
            </w:r>
          </w:p>
          <w:p w:rsidR="00000000" w:rsidRPr="00D33170" w:rsidP="00D33170">
            <w:pPr>
              <w:pStyle w:val="ListBullet"/>
            </w:pPr>
            <w:r w:rsidRPr="00D33170">
              <w:t>replicate tests or calibrations using the same or different methods</w:t>
            </w:r>
          </w:p>
          <w:p w:rsidR="00000000" w:rsidRPr="00D33170" w:rsidP="00D33170">
            <w:pPr>
              <w:pStyle w:val="ListBullet"/>
            </w:pPr>
            <w:r w:rsidRPr="00D33170">
              <w:t>retesting or recalibration of retained items</w:t>
            </w:r>
          </w:p>
          <w:p w:rsidR="00000000" w:rsidRPr="00D33170" w:rsidP="00D33170">
            <w:pPr>
              <w:pStyle w:val="ListBullet"/>
            </w:pPr>
            <w:r w:rsidRPr="00D33170">
              <w:t>correlation of results for different characteristics of an item</w:t>
            </w:r>
          </w:p>
          <w:p w:rsidR="00000000" w:rsidRPr="00D33170" w:rsidP="00D33170">
            <w:pPr>
              <w:pStyle w:val="ListBullet"/>
            </w:pPr>
            <w:r w:rsidRPr="00D33170">
              <w:t>ad</w:t>
            </w:r>
            <w:r w:rsidRPr="00D33170">
              <w:t>ditional audits and management reviews</w:t>
            </w:r>
          </w:p>
          <w:p w:rsidR="00000000" w:rsidRPr="00D33170" w:rsidP="00D33170">
            <w:pPr>
              <w:pStyle w:val="ListBullet"/>
            </w:pPr>
            <w:r w:rsidRPr="00D33170">
              <w:t>regular quality checks on consumables</w:t>
            </w:r>
          </w:p>
          <w:p w:rsidR="00000000" w:rsidRPr="00D33170" w:rsidP="00D33170">
            <w:pPr>
              <w:pStyle w:val="ListBullet"/>
            </w:pPr>
            <w:r w:rsidRPr="00D33170">
              <w:t>enhanced staff observation, supervision and/or training</w:t>
            </w:r>
          </w:p>
          <w:p w:rsidR="00000000" w:rsidRPr="00D33170" w:rsidP="00D33170">
            <w:pPr>
              <w:pStyle w:val="ListBullet"/>
            </w:pPr>
            <w:r w:rsidRPr="00D33170">
              <w:t>more detailed sample specifications, test methods and procedures</w:t>
            </w:r>
          </w:p>
          <w:p w:rsidR="00000000" w:rsidP="00D33170">
            <w:pPr>
              <w:pStyle w:val="ListBullet"/>
              <w:rPr>
                <w:lang w:val="en-NZ"/>
              </w:rPr>
            </w:pPr>
            <w:r w:rsidRPr="00D33170">
              <w:t>feedback from clients on improving quality system, testing</w:t>
            </w:r>
            <w:r w:rsidRPr="00D33170">
              <w:t xml:space="preserve"> and calibration activities</w:t>
            </w:r>
          </w:p>
        </w:tc>
      </w:tr>
      <w:tr w:rsidTr="00FE5170">
        <w:tblPrEx>
          <w:tblW w:w="0" w:type="auto"/>
          <w:tblLayout w:type="fixed"/>
          <w:tblCellMar>
            <w:left w:w="62" w:type="dxa"/>
            <w:right w:w="62" w:type="dxa"/>
          </w:tblCellMar>
          <w:tblLook w:val="0000"/>
        </w:tblPrEx>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Occupational health and safety</w:t>
            </w:r>
            <w:r w:rsidRPr="00D33170">
              <w:t xml:space="preserve"> (</w:t>
            </w:r>
            <w:r w:rsidRPr="00D33170">
              <w:rPr>
                <w:rStyle w:val="SpecialBold"/>
              </w:rPr>
              <w:t>OHS</w:t>
            </w:r>
            <w:r w:rsidRPr="00D33170">
              <w:t xml:space="preserve">) </w:t>
            </w:r>
            <w:r w:rsidRPr="00D33170">
              <w:rPr>
                <w:rStyle w:val="SpecialBold"/>
              </w:rPr>
              <w:t>and environmental management requirements</w:t>
            </w:r>
            <w:r w:rsidRPr="00D33170">
              <w:t xml:space="preserve"> </w:t>
            </w:r>
          </w:p>
        </w:tc>
        <w:tc>
          <w:tcPr>
            <w:tcW w:w="4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OHS and environmental management requirements:</w:t>
            </w:r>
          </w:p>
          <w:p w:rsidR="00000000" w:rsidRPr="00D33170" w:rsidP="00D33170">
            <w:pPr>
              <w:pStyle w:val="ListBullet"/>
            </w:pPr>
            <w:r w:rsidRPr="00D33170">
              <w:t xml:space="preserve">all operations must comply with enterprise OHS and environmental management requirements, </w:t>
            </w:r>
            <w:r w:rsidRPr="00D33170">
              <w:t>which may be imposed through state/territory or federal legislation - these requirements must not be compromised at any time</w:t>
            </w:r>
          </w:p>
          <w:p w:rsidR="00000000" w:rsidRPr="00D33170" w:rsidP="00D33170">
            <w:pPr>
              <w:pStyle w:val="ListBullet"/>
            </w:pPr>
            <w:r w:rsidRPr="00D33170">
              <w:t>all operations assume the potentially hazardous nature of samples and require standard precautions to be applied</w:t>
            </w:r>
          </w:p>
          <w:p w:rsidR="00000000" w:rsidRPr="00D33170" w:rsidP="00D33170">
            <w:pPr>
              <w:pStyle w:val="ListBullet"/>
            </w:pPr>
            <w:r w:rsidRPr="00D33170">
              <w:t>where relevant, us</w:t>
            </w:r>
            <w:r w:rsidRPr="00D33170">
              <w:t>ers should access and apply current industry understanding of infection control issued by the National Health and Medical Research Council (NHMRC) and State and Territory Departments of Health</w:t>
            </w:r>
          </w:p>
        </w:tc>
      </w:tr>
    </w:tbl>
    <w:p w:rsidR="00FE5170" w:rsidP="00D33170">
      <w:pPr>
        <w:pStyle w:val="BodyText"/>
      </w:pPr>
    </w:p>
    <w:p w:rsidR="00FE5170" w:rsidP="00D33170">
      <w:pPr>
        <w:pStyle w:val="BodyText"/>
      </w:pPr>
    </w:p>
    <w:p w:rsidR="00000000" w:rsidRPr="00D33170" w:rsidP="00D33170">
      <w:pPr>
        <w:pStyle w:val="Heading1"/>
      </w:pPr>
      <w:bookmarkStart w:id="12" w:name="O_102914"/>
      <w:bookmarkEnd w:id="12"/>
      <w:r w:rsidRPr="00D33170">
        <w:t>Unit Sector(s)</w:t>
      </w:r>
    </w:p>
    <w:tbl>
      <w:tblPr>
        <w:tblW w:w="0" w:type="auto"/>
        <w:tblLayout w:type="fixed"/>
        <w:tblCellMar>
          <w:left w:w="62" w:type="dxa"/>
          <w:right w:w="62" w:type="dxa"/>
        </w:tblCellMar>
        <w:tblLook w:val="0000"/>
      </w:tblPr>
      <w:tblGrid>
        <w:gridCol w:w="2601"/>
        <w:gridCol w:w="5921"/>
      </w:tblGrid>
      <w:tr w:rsidTr="00FE5170">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r w:rsidRPr="00D33170">
              <w:t>Maintenance</w:t>
            </w: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13" w:name="O_159466"/>
      <w:bookmarkEnd w:id="13"/>
      <w:r w:rsidRPr="00D33170">
        <w:t>Competency field</w:t>
      </w:r>
    </w:p>
    <w:tbl>
      <w:tblPr>
        <w:tblW w:w="0" w:type="auto"/>
        <w:tblLayout w:type="fixed"/>
        <w:tblCellMar>
          <w:left w:w="62" w:type="dxa"/>
          <w:right w:w="62" w:type="dxa"/>
        </w:tblCellMar>
        <w:tblLook w:val="0000"/>
      </w:tblPr>
      <w:tblGrid>
        <w:gridCol w:w="2784"/>
        <w:gridCol w:w="5738"/>
      </w:tblGrid>
      <w:tr w:rsidTr="00FE51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p>
        </w:tc>
      </w:tr>
    </w:tbl>
    <w:p w:rsidR="00000000" w:rsidRPr="00D33170" w:rsidP="00D33170">
      <w:pPr>
        <w:pStyle w:val="BodyText"/>
      </w:pPr>
    </w:p>
    <w:p w:rsidR="00000000" w:rsidRPr="00D33170" w:rsidP="00D33170">
      <w:pPr>
        <w:pStyle w:val="AllowPageBreak"/>
      </w:pPr>
    </w:p>
    <w:p w:rsidR="00000000" w:rsidRPr="00D33170" w:rsidP="00D33170">
      <w:pPr>
        <w:pStyle w:val="Heading1"/>
      </w:pPr>
      <w:bookmarkStart w:id="14" w:name="O_159465"/>
      <w:bookmarkEnd w:id="14"/>
      <w:r w:rsidRPr="00D33170">
        <w:t>Co-requisite units</w:t>
      </w:r>
    </w:p>
    <w:tbl>
      <w:tblPr>
        <w:tblW w:w="0" w:type="auto"/>
        <w:tblLayout w:type="fixed"/>
        <w:tblCellMar>
          <w:left w:w="62" w:type="dxa"/>
          <w:right w:w="62" w:type="dxa"/>
        </w:tblCellMar>
        <w:tblLook w:val="0000"/>
      </w:tblPr>
      <w:tblGrid>
        <w:gridCol w:w="2641"/>
        <w:gridCol w:w="1322"/>
        <w:gridCol w:w="4559"/>
      </w:tblGrid>
      <w:tr w:rsidTr="00FE51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r w:rsidRPr="00D331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p>
        </w:tc>
      </w:tr>
      <w:tr w:rsidTr="00FE51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70">
            <w:pPr>
              <w:pStyle w:val="BodyText"/>
              <w:rPr>
                <w:lang w:val="en-NZ"/>
              </w:rPr>
            </w:pPr>
          </w:p>
        </w:tc>
      </w:tr>
      <w:tr w:rsidTr="00FE51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70" w:rsidP="00D33170">
            <w:pPr>
              <w:pStyle w:val="BodyText"/>
            </w:pPr>
          </w:p>
        </w:tc>
      </w:tr>
    </w:tbl>
    <w:p w:rsidR="00000000" w:rsidRPr="00D33170" w:rsidP="00D33170">
      <w:pPr>
        <w:pStyle w:val="BodyText"/>
      </w:pPr>
    </w:p>
    <w:p w:rsidR="00000000" w:rsidRPr="00D33170" w:rsidP="00D33170"/>
    <w:sectPr w:rsidSect="00D331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170" w:rsidP="00FE5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70" w:rsidP="00D33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5170" w:rsidP="00D331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5170" w:rsidP="00D331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170" w:rsidP="00FE51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70" w:rsidP="00D33170">
    <w:pPr>
      <w:pStyle w:val="Header"/>
      <w:framePr w:wrap="around"/>
    </w:pPr>
    <w:r>
      <w:fldChar w:fldCharType="begin"/>
    </w:r>
    <w:r>
      <w:instrText xml:space="preserve"> TITLE   \* MERGEFORMAT </w:instrText>
    </w:r>
    <w:r>
      <w:fldChar w:fldCharType="separate"/>
    </w:r>
    <w:r>
      <w:t>MSL935001A Monitor the quality of test results and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5170" w:rsidP="00D331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0C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6D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A9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170"/>
    <w:pPr>
      <w:spacing w:before="360" w:after="60"/>
      <w:outlineLvl w:val="0"/>
    </w:pPr>
    <w:rPr>
      <w:sz w:val="32"/>
    </w:rPr>
  </w:style>
  <w:style w:type="paragraph" w:styleId="Heading2">
    <w:name w:val="heading 2"/>
    <w:basedOn w:val="HeadingBase"/>
    <w:next w:val="BodyText"/>
    <w:link w:val="Heading2Char"/>
    <w:qFormat/>
    <w:rsid w:val="00D33170"/>
    <w:pPr>
      <w:keepLines/>
      <w:spacing w:before="240" w:after="120"/>
      <w:outlineLvl w:val="1"/>
    </w:pPr>
    <w:rPr>
      <w:sz w:val="28"/>
      <w:szCs w:val="40"/>
    </w:rPr>
  </w:style>
  <w:style w:type="paragraph" w:styleId="Heading3">
    <w:name w:val="heading 3"/>
    <w:basedOn w:val="HeadingBase"/>
    <w:next w:val="BodyText"/>
    <w:link w:val="Heading3Char"/>
    <w:qFormat/>
    <w:rsid w:val="00D33170"/>
    <w:pPr>
      <w:spacing w:before="180" w:after="120"/>
      <w:outlineLvl w:val="2"/>
    </w:pPr>
    <w:rPr>
      <w:spacing w:val="-10"/>
      <w:kern w:val="32"/>
    </w:rPr>
  </w:style>
  <w:style w:type="paragraph" w:styleId="Heading4">
    <w:name w:val="heading 4"/>
    <w:basedOn w:val="HeadingBase"/>
    <w:next w:val="BodyText"/>
    <w:link w:val="Heading4Char"/>
    <w:qFormat/>
    <w:rsid w:val="00D33170"/>
    <w:pPr>
      <w:spacing w:before="160" w:after="120"/>
      <w:outlineLvl w:val="3"/>
    </w:pPr>
    <w:rPr>
      <w:sz w:val="22"/>
    </w:rPr>
  </w:style>
  <w:style w:type="paragraph" w:styleId="Heading5">
    <w:name w:val="heading 5"/>
    <w:basedOn w:val="HeadingBase"/>
    <w:next w:val="Normal"/>
    <w:link w:val="Heading5Char"/>
    <w:qFormat/>
    <w:rsid w:val="00D33170"/>
    <w:pPr>
      <w:spacing w:before="80"/>
      <w:outlineLvl w:val="4"/>
    </w:pPr>
    <w:rPr>
      <w:color w:val="918585"/>
      <w:sz w:val="20"/>
    </w:rPr>
  </w:style>
  <w:style w:type="paragraph" w:styleId="Heading6">
    <w:name w:val="heading 6"/>
    <w:basedOn w:val="HeadingBase"/>
    <w:next w:val="Normal"/>
    <w:link w:val="Heading6Char"/>
    <w:qFormat/>
    <w:rsid w:val="00D33170"/>
    <w:pPr>
      <w:spacing w:before="60"/>
      <w:outlineLvl w:val="5"/>
    </w:pPr>
    <w:rPr>
      <w:color w:val="918585"/>
      <w:sz w:val="20"/>
    </w:rPr>
  </w:style>
  <w:style w:type="paragraph" w:styleId="Heading7">
    <w:name w:val="heading 7"/>
    <w:basedOn w:val="Normal"/>
    <w:next w:val="Normal"/>
    <w:link w:val="Heading7Char"/>
    <w:qFormat/>
    <w:rsid w:val="00D33170"/>
    <w:pPr>
      <w:ind w:left="720"/>
      <w:outlineLvl w:val="6"/>
    </w:pPr>
    <w:rPr>
      <w:i/>
    </w:rPr>
  </w:style>
  <w:style w:type="paragraph" w:styleId="Heading8">
    <w:name w:val="heading 8"/>
    <w:basedOn w:val="Normal"/>
    <w:next w:val="Normal"/>
    <w:link w:val="Heading8Char"/>
    <w:qFormat/>
    <w:rsid w:val="00D33170"/>
    <w:pPr>
      <w:ind w:left="720"/>
      <w:outlineLvl w:val="7"/>
    </w:pPr>
    <w:rPr>
      <w:i/>
    </w:rPr>
  </w:style>
  <w:style w:type="paragraph" w:styleId="Heading9">
    <w:name w:val="heading 9"/>
    <w:basedOn w:val="Normal"/>
    <w:next w:val="Normal"/>
    <w:link w:val="Heading9Char"/>
    <w:qFormat/>
    <w:rsid w:val="00D33170"/>
    <w:pPr>
      <w:ind w:left="720"/>
      <w:outlineLvl w:val="8"/>
    </w:pPr>
    <w:rPr>
      <w:i/>
    </w:rPr>
  </w:style>
  <w:style w:type="character" w:default="1" w:styleId="DefaultParagraphFont">
    <w:name w:val="Default Paragraph Font"/>
    <w:uiPriority w:val="1"/>
    <w:unhideWhenUsed/>
    <w:rsid w:val="00D33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170"/>
  </w:style>
  <w:style w:type="character" w:customStyle="1" w:styleId="Heading1Char">
    <w:name w:val="Heading 1 Char"/>
    <w:basedOn w:val="DefaultParagraphFont"/>
    <w:link w:val="Heading1"/>
    <w:rsid w:val="00D33170"/>
    <w:rPr>
      <w:rFonts w:ascii="Times New Roman" w:eastAsia="Times New Roman" w:hAnsi="Times New Roman" w:cs="Times New Roman"/>
      <w:b/>
      <w:sz w:val="32"/>
      <w:szCs w:val="20"/>
      <w:lang w:eastAsia="en-US"/>
    </w:rPr>
  </w:style>
  <w:style w:type="paragraph" w:styleId="BodyText">
    <w:name w:val="Body Text"/>
    <w:basedOn w:val="Normal"/>
    <w:link w:val="BodyTextChar"/>
    <w:rsid w:val="00D331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170"/>
    <w:rPr>
      <w:rFonts w:ascii="Times New Roman" w:eastAsia="Times New Roman" w:hAnsi="Times New Roman" w:cs="Times New Roman"/>
      <w:sz w:val="24"/>
      <w:lang w:val="en-US" w:eastAsia="en-US"/>
    </w:rPr>
  </w:style>
  <w:style w:type="paragraph" w:styleId="Footer">
    <w:name w:val="footer"/>
    <w:basedOn w:val="Normal"/>
    <w:link w:val="FooterChar"/>
    <w:rsid w:val="00D33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170"/>
    <w:rPr>
      <w:rFonts w:ascii="Times New Roman" w:eastAsia="Times New Roman" w:hAnsi="Times New Roman" w:cs="Times New Roman"/>
      <w:sz w:val="16"/>
      <w:lang w:val="en-US" w:eastAsia="en-US"/>
    </w:rPr>
  </w:style>
  <w:style w:type="paragraph" w:styleId="List">
    <w:name w:val="List"/>
    <w:basedOn w:val="BodyText"/>
    <w:next w:val="BodyText"/>
    <w:rsid w:val="00D33170"/>
    <w:pPr>
      <w:tabs>
        <w:tab w:val="left" w:pos="340"/>
      </w:tabs>
      <w:spacing w:before="60" w:after="60"/>
      <w:ind w:left="340" w:hanging="340"/>
    </w:pPr>
  </w:style>
  <w:style w:type="paragraph" w:styleId="ListBullet">
    <w:name w:val="List Bullet"/>
    <w:basedOn w:val="List"/>
    <w:rsid w:val="00D33170"/>
    <w:pPr>
      <w:numPr>
        <w:numId w:val="13"/>
      </w:numPr>
      <w:tabs>
        <w:tab w:val="clear" w:pos="340"/>
      </w:tabs>
      <w:spacing w:before="40" w:after="40"/>
    </w:pPr>
  </w:style>
  <w:style w:type="character" w:customStyle="1" w:styleId="SpecialBold">
    <w:name w:val="Special Bold"/>
    <w:basedOn w:val="DefaultParagraphFont"/>
    <w:rsid w:val="00D33170"/>
    <w:rPr>
      <w:b/>
      <w:spacing w:val="0"/>
    </w:rPr>
  </w:style>
  <w:style w:type="paragraph" w:styleId="ListBullet2">
    <w:name w:val="List Bullet 2"/>
    <w:basedOn w:val="List2"/>
    <w:rsid w:val="00D33170"/>
    <w:pPr>
      <w:numPr>
        <w:numId w:val="14"/>
      </w:numPr>
      <w:tabs>
        <w:tab w:val="clear" w:pos="680"/>
      </w:tabs>
    </w:pPr>
  </w:style>
  <w:style w:type="paragraph" w:styleId="Header">
    <w:name w:val="header"/>
    <w:basedOn w:val="Normal"/>
    <w:link w:val="HeaderChar"/>
    <w:rsid w:val="00D33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1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3170"/>
    <w:rPr>
      <w:i/>
    </w:rPr>
  </w:style>
  <w:style w:type="paragraph" w:customStyle="1" w:styleId="SuperHeading">
    <w:name w:val="SuperHeading"/>
    <w:basedOn w:val="Normal"/>
    <w:rsid w:val="00D33170"/>
    <w:pPr>
      <w:spacing w:before="240" w:after="120"/>
      <w:outlineLvl w:val="0"/>
    </w:pPr>
    <w:rPr>
      <w:rFonts w:ascii="Times New Roman" w:hAnsi="Times New Roman"/>
      <w:b/>
      <w:sz w:val="28"/>
    </w:rPr>
  </w:style>
  <w:style w:type="paragraph" w:customStyle="1" w:styleId="AllowPageBreak">
    <w:name w:val="AllowPageBreak"/>
    <w:rsid w:val="00D331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170"/>
    <w:pPr>
      <w:tabs>
        <w:tab w:val="left" w:pos="680"/>
      </w:tabs>
      <w:spacing w:before="60" w:after="60"/>
      <w:ind w:left="680" w:hanging="340"/>
    </w:pPr>
  </w:style>
  <w:style w:type="character" w:customStyle="1" w:styleId="Heading2Char">
    <w:name w:val="Heading 2 Char"/>
    <w:basedOn w:val="DefaultParagraphFont"/>
    <w:link w:val="Heading2"/>
    <w:rsid w:val="00D33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1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1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170"/>
    <w:rPr>
      <w:rFonts w:ascii="Courier New" w:eastAsia="Times New Roman" w:hAnsi="Courier New" w:cs="Times New Roman"/>
      <w:i/>
      <w:szCs w:val="20"/>
      <w:lang w:val="en-US" w:eastAsia="en-US"/>
    </w:rPr>
  </w:style>
  <w:style w:type="paragraph" w:customStyle="1" w:styleId="HeadingBase">
    <w:name w:val="Heading Base"/>
    <w:rsid w:val="00D33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170"/>
    <w:pPr>
      <w:tabs>
        <w:tab w:val="right" w:leader="dot" w:pos="9072"/>
      </w:tabs>
      <w:ind w:left="567"/>
    </w:pPr>
    <w:rPr>
      <w:szCs w:val="22"/>
    </w:rPr>
  </w:style>
  <w:style w:type="paragraph" w:customStyle="1" w:styleId="TOCBase">
    <w:name w:val="TOC Base"/>
    <w:rsid w:val="00D33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170"/>
    <w:pPr>
      <w:tabs>
        <w:tab w:val="right" w:leader="dot" w:pos="9072"/>
      </w:tabs>
      <w:spacing w:before="40" w:after="40"/>
      <w:ind w:left="284"/>
    </w:pPr>
    <w:rPr>
      <w:rFonts w:ascii="Times New Roman" w:hAnsi="Times New Roman"/>
    </w:rPr>
  </w:style>
  <w:style w:type="paragraph" w:styleId="TOC1">
    <w:name w:val="toc 1"/>
    <w:basedOn w:val="TOCBase"/>
    <w:next w:val="Normal"/>
    <w:rsid w:val="00D331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170"/>
    <w:pPr>
      <w:spacing w:before="5040"/>
      <w:jc w:val="center"/>
    </w:pPr>
    <w:rPr>
      <w:sz w:val="48"/>
      <w:szCs w:val="72"/>
      <w:lang w:val="en-US"/>
    </w:rPr>
  </w:style>
  <w:style w:type="character" w:customStyle="1" w:styleId="TitleChar">
    <w:name w:val="Title Char"/>
    <w:basedOn w:val="DefaultParagraphFont"/>
    <w:link w:val="Title"/>
    <w:rsid w:val="00D33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170"/>
    <w:pPr>
      <w:tabs>
        <w:tab w:val="left" w:pos="3600"/>
        <w:tab w:val="left" w:pos="3958"/>
      </w:tabs>
    </w:pPr>
  </w:style>
  <w:style w:type="paragraph" w:customStyle="1" w:styleId="Note">
    <w:name w:val="Note"/>
    <w:basedOn w:val="BodyText"/>
    <w:rsid w:val="00D33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170"/>
    <w:pPr>
      <w:framePr w:wrap="auto" w:hAnchor="text" w:y="6049"/>
    </w:pPr>
    <w:rPr>
      <w:color w:val="000000"/>
      <w:sz w:val="40"/>
    </w:rPr>
  </w:style>
  <w:style w:type="paragraph" w:customStyle="1" w:styleId="TOCTitle">
    <w:name w:val="TOCTitle"/>
    <w:basedOn w:val="Heading1"/>
    <w:rsid w:val="00D33170"/>
    <w:pPr>
      <w:spacing w:after="240"/>
      <w:jc w:val="center"/>
      <w:outlineLvl w:val="9"/>
    </w:pPr>
    <w:rPr>
      <w:caps/>
    </w:rPr>
  </w:style>
  <w:style w:type="paragraph" w:customStyle="1" w:styleId="Version">
    <w:name w:val="Version"/>
    <w:rsid w:val="00D33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170"/>
    <w:pPr>
      <w:keepNext w:val="0"/>
      <w:tabs>
        <w:tab w:val="right" w:pos="4176"/>
      </w:tabs>
      <w:ind w:left="198" w:hanging="198"/>
    </w:pPr>
    <w:rPr>
      <w:rFonts w:ascii="Garamond" w:hAnsi="Garamond"/>
    </w:rPr>
  </w:style>
  <w:style w:type="paragraph" w:styleId="IndexHeading">
    <w:name w:val="index heading"/>
    <w:basedOn w:val="Normal"/>
    <w:next w:val="Index1"/>
    <w:semiHidden/>
    <w:rsid w:val="00D33170"/>
    <w:pPr>
      <w:spacing w:before="120" w:after="120"/>
    </w:pPr>
    <w:rPr>
      <w:rFonts w:ascii="Arial" w:hAnsi="Arial"/>
      <w:b/>
      <w:color w:val="918585"/>
      <w:sz w:val="24"/>
    </w:rPr>
  </w:style>
  <w:style w:type="paragraph" w:customStyle="1" w:styleId="Chapter">
    <w:name w:val="Chapter"/>
    <w:basedOn w:val="Normal"/>
    <w:rsid w:val="00D33170"/>
    <w:pPr>
      <w:spacing w:before="240"/>
    </w:pPr>
    <w:rPr>
      <w:rFonts w:ascii="Times New Roman" w:hAnsi="Times New Roman"/>
      <w:smallCaps/>
      <w:spacing w:val="80"/>
      <w:sz w:val="28"/>
    </w:rPr>
  </w:style>
  <w:style w:type="paragraph" w:customStyle="1" w:styleId="InChapter">
    <w:name w:val="InChapter"/>
    <w:basedOn w:val="Heading3"/>
    <w:rsid w:val="00D33170"/>
    <w:pPr>
      <w:spacing w:after="240"/>
      <w:outlineLvl w:val="9"/>
    </w:pPr>
    <w:rPr>
      <w:noProof/>
    </w:rPr>
  </w:style>
  <w:style w:type="paragraph" w:styleId="Index2">
    <w:name w:val="index 2"/>
    <w:basedOn w:val="Normal"/>
    <w:next w:val="Normal"/>
    <w:semiHidden/>
    <w:rsid w:val="00D33170"/>
    <w:pPr>
      <w:tabs>
        <w:tab w:val="right" w:pos="4176"/>
      </w:tabs>
      <w:ind w:left="568" w:hanging="284"/>
    </w:pPr>
    <w:rPr>
      <w:rFonts w:ascii="Garamond" w:hAnsi="Garamond"/>
    </w:rPr>
  </w:style>
  <w:style w:type="paragraph" w:customStyle="1" w:styleId="Byline">
    <w:name w:val="Byline"/>
    <w:rsid w:val="00D33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170"/>
    <w:pPr>
      <w:tabs>
        <w:tab w:val="clear" w:pos="3600"/>
        <w:tab w:val="clear" w:pos="3958"/>
      </w:tabs>
      <w:jc w:val="right"/>
    </w:pPr>
  </w:style>
  <w:style w:type="paragraph" w:styleId="Caption">
    <w:name w:val="caption"/>
    <w:basedOn w:val="BodyText"/>
    <w:next w:val="Normal"/>
    <w:qFormat/>
    <w:rsid w:val="00D33170"/>
    <w:pPr>
      <w:framePr w:w="2268" w:hSpace="181" w:vSpace="181" w:wrap="around" w:vAnchor="text" w:hAnchor="page" w:x="1135" w:y="285" w:anchorLock="1"/>
    </w:pPr>
    <w:rPr>
      <w:i/>
    </w:rPr>
  </w:style>
  <w:style w:type="paragraph" w:customStyle="1" w:styleId="MiniTOCTitle">
    <w:name w:val="MiniTOCTitle"/>
    <w:basedOn w:val="Heading4"/>
    <w:rsid w:val="00D33170"/>
    <w:pPr>
      <w:spacing w:before="240"/>
      <w:outlineLvl w:val="9"/>
    </w:pPr>
    <w:rPr>
      <w:noProof/>
      <w:sz w:val="24"/>
    </w:rPr>
  </w:style>
  <w:style w:type="paragraph" w:customStyle="1" w:styleId="MiniTOCItem">
    <w:name w:val="MiniTOCItem"/>
    <w:basedOn w:val="ListBullet"/>
    <w:rsid w:val="00D33170"/>
    <w:pPr>
      <w:numPr>
        <w:numId w:val="0"/>
      </w:numPr>
      <w:tabs>
        <w:tab w:val="right" w:leader="dot" w:pos="6521"/>
      </w:tabs>
      <w:spacing w:before="0" w:after="0"/>
    </w:pPr>
  </w:style>
  <w:style w:type="paragraph" w:customStyle="1" w:styleId="TOFTitle">
    <w:name w:val="TOFTitle"/>
    <w:basedOn w:val="TOCTitle"/>
    <w:rsid w:val="00D33170"/>
  </w:style>
  <w:style w:type="paragraph" w:styleId="TableofFigures">
    <w:name w:val="table of figures"/>
    <w:basedOn w:val="Normal"/>
    <w:next w:val="Normal"/>
    <w:semiHidden/>
    <w:rsid w:val="00D33170"/>
    <w:pPr>
      <w:tabs>
        <w:tab w:val="right" w:leader="dot" w:pos="9072"/>
      </w:tabs>
      <w:ind w:left="970" w:hanging="403"/>
    </w:pPr>
    <w:rPr>
      <w:rFonts w:ascii="Times New Roman" w:hAnsi="Times New Roman"/>
      <w:b/>
    </w:rPr>
  </w:style>
  <w:style w:type="paragraph" w:styleId="ListNumber">
    <w:name w:val="List Number"/>
    <w:basedOn w:val="List"/>
    <w:rsid w:val="00D33170"/>
    <w:pPr>
      <w:numPr>
        <w:numId w:val="11"/>
      </w:numPr>
    </w:pPr>
  </w:style>
  <w:style w:type="character" w:customStyle="1" w:styleId="WingdingSymbols">
    <w:name w:val="Wingding Symbols"/>
    <w:rsid w:val="00D33170"/>
    <w:rPr>
      <w:rFonts w:ascii="Wingdings" w:hAnsi="Wingdings"/>
    </w:rPr>
  </w:style>
  <w:style w:type="paragraph" w:customStyle="1" w:styleId="TableHeading">
    <w:name w:val="Table Heading"/>
    <w:basedOn w:val="HeadingBase"/>
    <w:rsid w:val="00D33170"/>
    <w:pPr>
      <w:keepLines/>
      <w:pBdr>
        <w:bottom w:val="single" w:sz="6" w:space="1" w:color="918585"/>
      </w:pBdr>
      <w:spacing w:before="240"/>
    </w:pPr>
  </w:style>
  <w:style w:type="character" w:customStyle="1" w:styleId="HotSpot">
    <w:name w:val="HotSpot"/>
    <w:rsid w:val="00D33170"/>
    <w:rPr>
      <w:color w:val="0033CC"/>
      <w:u w:val="none"/>
    </w:rPr>
  </w:style>
  <w:style w:type="paragraph" w:customStyle="1" w:styleId="BodyTextRight">
    <w:name w:val="Body Text Right"/>
    <w:basedOn w:val="BodyText"/>
    <w:rsid w:val="00D33170"/>
    <w:pPr>
      <w:spacing w:before="0" w:after="0"/>
      <w:jc w:val="right"/>
    </w:pPr>
  </w:style>
  <w:style w:type="paragraph" w:styleId="Index3">
    <w:name w:val="index 3"/>
    <w:basedOn w:val="ListNumber2"/>
    <w:next w:val="Normal"/>
    <w:semiHidden/>
    <w:rsid w:val="00D33170"/>
    <w:pPr>
      <w:numPr>
        <w:numId w:val="0"/>
      </w:numPr>
      <w:tabs>
        <w:tab w:val="right" w:leader="dot" w:pos="4176"/>
      </w:tabs>
    </w:pPr>
  </w:style>
  <w:style w:type="paragraph" w:styleId="ListNumber2">
    <w:name w:val="List Number 2"/>
    <w:basedOn w:val="List2"/>
    <w:rsid w:val="00D33170"/>
    <w:pPr>
      <w:numPr>
        <w:numId w:val="10"/>
      </w:numPr>
      <w:tabs>
        <w:tab w:val="clear" w:pos="1060"/>
      </w:tabs>
    </w:pPr>
  </w:style>
  <w:style w:type="paragraph" w:customStyle="1" w:styleId="MarginNote">
    <w:name w:val="Margin Note"/>
    <w:basedOn w:val="BodyText"/>
    <w:rsid w:val="00D33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1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170"/>
    <w:rPr>
      <w:sz w:val="32"/>
    </w:rPr>
  </w:style>
  <w:style w:type="paragraph" w:customStyle="1" w:styleId="HeadingProcedure">
    <w:name w:val="Heading Procedure"/>
    <w:basedOn w:val="HeadingBase"/>
    <w:next w:val="Normal"/>
    <w:rsid w:val="00D33170"/>
    <w:pPr>
      <w:tabs>
        <w:tab w:val="left" w:pos="0"/>
      </w:tabs>
      <w:spacing w:before="120" w:after="60"/>
    </w:pPr>
    <w:rPr>
      <w:i/>
      <w:color w:val="918585"/>
      <w:sz w:val="22"/>
    </w:rPr>
  </w:style>
  <w:style w:type="paragraph" w:customStyle="1" w:styleId="TableBodyText">
    <w:name w:val="Table Body Text"/>
    <w:basedOn w:val="BodyText"/>
    <w:rsid w:val="00D33170"/>
    <w:pPr>
      <w:spacing w:before="60" w:after="60"/>
    </w:pPr>
  </w:style>
  <w:style w:type="paragraph" w:styleId="ListContinue">
    <w:name w:val="List Continue"/>
    <w:basedOn w:val="List"/>
    <w:rsid w:val="00D33170"/>
    <w:pPr>
      <w:ind w:firstLine="0"/>
    </w:pPr>
  </w:style>
  <w:style w:type="paragraph" w:customStyle="1" w:styleId="ListNote">
    <w:name w:val="List Note"/>
    <w:basedOn w:val="List"/>
    <w:rsid w:val="00D33170"/>
    <w:pPr>
      <w:pBdr>
        <w:top w:val="single" w:sz="6" w:space="2" w:color="918585"/>
        <w:bottom w:val="single" w:sz="6" w:space="2" w:color="918585"/>
      </w:pBdr>
      <w:tabs>
        <w:tab w:val="left" w:pos="1021"/>
      </w:tabs>
      <w:ind w:firstLine="0"/>
    </w:pPr>
  </w:style>
  <w:style w:type="paragraph" w:customStyle="1" w:styleId="Warning">
    <w:name w:val="Warning"/>
    <w:basedOn w:val="BodyText"/>
    <w:rsid w:val="00D33170"/>
    <w:pPr>
      <w:shd w:val="clear" w:color="auto" w:fill="D9D9D9"/>
      <w:tabs>
        <w:tab w:val="left" w:pos="992"/>
      </w:tabs>
      <w:ind w:left="119" w:right="119"/>
    </w:pPr>
    <w:rPr>
      <w:sz w:val="20"/>
    </w:rPr>
  </w:style>
  <w:style w:type="paragraph" w:customStyle="1" w:styleId="MarginIcons">
    <w:name w:val="Margin Icons"/>
    <w:basedOn w:val="BodyText"/>
    <w:rsid w:val="00D33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170"/>
    <w:rPr>
      <w:rFonts w:ascii="Courier New" w:hAnsi="Courier New"/>
    </w:rPr>
  </w:style>
  <w:style w:type="paragraph" w:customStyle="1" w:styleId="NoteBullet">
    <w:name w:val="Note Bullet"/>
    <w:basedOn w:val="Note"/>
    <w:rsid w:val="00D33170"/>
    <w:pPr>
      <w:tabs>
        <w:tab w:val="clear" w:pos="680"/>
      </w:tabs>
      <w:spacing w:before="60" w:after="60"/>
    </w:pPr>
  </w:style>
  <w:style w:type="paragraph" w:customStyle="1" w:styleId="SubHeading2">
    <w:name w:val="SubHeading2"/>
    <w:basedOn w:val="HeadingBase"/>
    <w:rsid w:val="00D33170"/>
    <w:pPr>
      <w:spacing w:before="240" w:after="60"/>
    </w:pPr>
    <w:rPr>
      <w:sz w:val="20"/>
    </w:rPr>
  </w:style>
  <w:style w:type="paragraph" w:customStyle="1" w:styleId="SubHeading1">
    <w:name w:val="SubHeading1"/>
    <w:basedOn w:val="HeadingBase"/>
    <w:rsid w:val="00D33170"/>
    <w:pPr>
      <w:spacing w:before="240" w:after="60"/>
    </w:pPr>
    <w:rPr>
      <w:color w:val="918585"/>
      <w:sz w:val="22"/>
    </w:rPr>
  </w:style>
  <w:style w:type="paragraph" w:customStyle="1" w:styleId="SideHeading">
    <w:name w:val="Side Heading"/>
    <w:basedOn w:val="HeadingBase"/>
    <w:rsid w:val="00D33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170"/>
    <w:pPr>
      <w:numPr>
        <w:numId w:val="12"/>
      </w:numPr>
    </w:pPr>
  </w:style>
  <w:style w:type="paragraph" w:styleId="PlainText">
    <w:name w:val="Plain Text"/>
    <w:basedOn w:val="Normal"/>
    <w:link w:val="PlainTextChar"/>
    <w:rsid w:val="00D33170"/>
    <w:rPr>
      <w:sz w:val="20"/>
    </w:rPr>
  </w:style>
  <w:style w:type="character" w:customStyle="1" w:styleId="PlainTextChar">
    <w:name w:val="Plain Text Char"/>
    <w:basedOn w:val="DefaultParagraphFont"/>
    <w:link w:val="PlainText"/>
    <w:rsid w:val="00D331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170"/>
    <w:rPr>
      <w:b/>
      <w:smallCaps/>
    </w:rPr>
  </w:style>
  <w:style w:type="paragraph" w:customStyle="1" w:styleId="TableListNumber">
    <w:name w:val="Table List Number"/>
    <w:basedOn w:val="ListNumber"/>
    <w:rsid w:val="00D33170"/>
    <w:pPr>
      <w:numPr>
        <w:numId w:val="0"/>
      </w:numPr>
    </w:pPr>
  </w:style>
  <w:style w:type="paragraph" w:styleId="TOC4">
    <w:name w:val="toc 4"/>
    <w:basedOn w:val="TOCBase"/>
    <w:next w:val="Normal"/>
    <w:semiHidden/>
    <w:rsid w:val="00D33170"/>
    <w:pPr>
      <w:tabs>
        <w:tab w:val="right" w:leader="dot" w:pos="9071"/>
      </w:tabs>
      <w:ind w:left="1701"/>
    </w:pPr>
  </w:style>
  <w:style w:type="paragraph" w:customStyle="1" w:styleId="ListAlpha">
    <w:name w:val="List Alpha"/>
    <w:basedOn w:val="List"/>
    <w:rsid w:val="00D33170"/>
    <w:pPr>
      <w:numPr>
        <w:numId w:val="9"/>
      </w:numPr>
    </w:pPr>
  </w:style>
  <w:style w:type="paragraph" w:customStyle="1" w:styleId="ListAlpha2">
    <w:name w:val="List Alpha 2"/>
    <w:basedOn w:val="List2"/>
    <w:rsid w:val="00D33170"/>
    <w:pPr>
      <w:numPr>
        <w:numId w:val="8"/>
      </w:numPr>
    </w:pPr>
  </w:style>
  <w:style w:type="paragraph" w:styleId="List3">
    <w:name w:val="List 3"/>
    <w:basedOn w:val="BodyText"/>
    <w:rsid w:val="00D33170"/>
    <w:pPr>
      <w:tabs>
        <w:tab w:val="left" w:pos="1021"/>
      </w:tabs>
      <w:spacing w:before="60" w:after="60"/>
      <w:ind w:left="1020" w:hanging="340"/>
    </w:pPr>
  </w:style>
  <w:style w:type="paragraph" w:styleId="List4">
    <w:name w:val="List 4"/>
    <w:basedOn w:val="BodyText"/>
    <w:rsid w:val="00D33170"/>
    <w:pPr>
      <w:tabs>
        <w:tab w:val="left" w:pos="1361"/>
      </w:tabs>
      <w:spacing w:before="60" w:after="60"/>
      <w:ind w:left="1361" w:hanging="340"/>
    </w:pPr>
  </w:style>
  <w:style w:type="paragraph" w:styleId="List5">
    <w:name w:val="List 5"/>
    <w:basedOn w:val="BodyText"/>
    <w:rsid w:val="00D33170"/>
    <w:pPr>
      <w:tabs>
        <w:tab w:val="left" w:pos="1701"/>
      </w:tabs>
      <w:spacing w:before="60" w:after="60"/>
      <w:ind w:left="1701" w:hanging="340"/>
    </w:pPr>
  </w:style>
  <w:style w:type="paragraph" w:styleId="ListBullet3">
    <w:name w:val="List Bullet 3"/>
    <w:basedOn w:val="List3"/>
    <w:rsid w:val="00D33170"/>
    <w:pPr>
      <w:numPr>
        <w:numId w:val="15"/>
      </w:numPr>
      <w:tabs>
        <w:tab w:val="clear" w:pos="1021"/>
      </w:tabs>
      <w:ind w:left="1037" w:hanging="357"/>
    </w:pPr>
  </w:style>
  <w:style w:type="paragraph" w:styleId="ListBullet4">
    <w:name w:val="List Bullet 4"/>
    <w:basedOn w:val="List4"/>
    <w:rsid w:val="00D33170"/>
    <w:pPr>
      <w:numPr>
        <w:numId w:val="3"/>
      </w:numPr>
    </w:pPr>
  </w:style>
  <w:style w:type="paragraph" w:styleId="ListBullet5">
    <w:name w:val="List Bullet 5"/>
    <w:basedOn w:val="List5"/>
    <w:rsid w:val="00D33170"/>
    <w:pPr>
      <w:numPr>
        <w:numId w:val="4"/>
      </w:numPr>
    </w:pPr>
  </w:style>
  <w:style w:type="paragraph" w:styleId="ListContinue2">
    <w:name w:val="List Continue 2"/>
    <w:basedOn w:val="List2"/>
    <w:rsid w:val="00D33170"/>
    <w:pPr>
      <w:ind w:firstLine="0"/>
    </w:pPr>
  </w:style>
  <w:style w:type="paragraph" w:styleId="ListContinue3">
    <w:name w:val="List Continue 3"/>
    <w:basedOn w:val="List3"/>
    <w:rsid w:val="00D33170"/>
    <w:pPr>
      <w:ind w:left="1021" w:firstLine="0"/>
    </w:pPr>
  </w:style>
  <w:style w:type="paragraph" w:styleId="ListContinue4">
    <w:name w:val="List Continue 4"/>
    <w:basedOn w:val="List4"/>
    <w:rsid w:val="00D33170"/>
    <w:pPr>
      <w:ind w:firstLine="0"/>
    </w:pPr>
  </w:style>
  <w:style w:type="paragraph" w:styleId="ListContinue5">
    <w:name w:val="List Continue 5"/>
    <w:basedOn w:val="List5"/>
    <w:rsid w:val="00D33170"/>
    <w:pPr>
      <w:ind w:firstLine="0"/>
    </w:pPr>
  </w:style>
  <w:style w:type="paragraph" w:styleId="ListNumber3">
    <w:name w:val="List Number 3"/>
    <w:basedOn w:val="List3"/>
    <w:rsid w:val="00D33170"/>
    <w:pPr>
      <w:numPr>
        <w:numId w:val="5"/>
      </w:numPr>
    </w:pPr>
  </w:style>
  <w:style w:type="paragraph" w:styleId="ListNumber4">
    <w:name w:val="List Number 4"/>
    <w:basedOn w:val="List4"/>
    <w:rsid w:val="00D33170"/>
    <w:pPr>
      <w:numPr>
        <w:numId w:val="6"/>
      </w:numPr>
    </w:pPr>
  </w:style>
  <w:style w:type="paragraph" w:styleId="ListNumber5">
    <w:name w:val="List Number 5"/>
    <w:basedOn w:val="List5"/>
    <w:rsid w:val="00D33170"/>
    <w:pPr>
      <w:numPr>
        <w:numId w:val="7"/>
      </w:numPr>
    </w:pPr>
  </w:style>
  <w:style w:type="paragraph" w:styleId="BlockText">
    <w:name w:val="Block Text"/>
    <w:basedOn w:val="Normal"/>
    <w:rsid w:val="00D33170"/>
    <w:pPr>
      <w:spacing w:after="120"/>
      <w:ind w:left="1440" w:right="1440"/>
    </w:pPr>
  </w:style>
  <w:style w:type="character" w:customStyle="1" w:styleId="Subscript">
    <w:name w:val="Subscript"/>
    <w:basedOn w:val="DefaultParagraphFont"/>
    <w:rsid w:val="00D33170"/>
    <w:rPr>
      <w:sz w:val="16"/>
      <w:vertAlign w:val="subscript"/>
    </w:rPr>
  </w:style>
  <w:style w:type="character" w:customStyle="1" w:styleId="Superscript">
    <w:name w:val="Superscript"/>
    <w:basedOn w:val="DefaultParagraphFont"/>
    <w:rsid w:val="00D33170"/>
    <w:rPr>
      <w:sz w:val="16"/>
      <w:vertAlign w:val="superscript"/>
    </w:rPr>
  </w:style>
  <w:style w:type="character" w:customStyle="1" w:styleId="Symbols">
    <w:name w:val="Symbols"/>
    <w:basedOn w:val="DefaultParagraphFont"/>
    <w:rsid w:val="00D33170"/>
    <w:rPr>
      <w:rFonts w:ascii="Symbol" w:hAnsi="Symbol"/>
    </w:rPr>
  </w:style>
  <w:style w:type="character" w:customStyle="1" w:styleId="MenuOptions">
    <w:name w:val="Menu Options"/>
    <w:basedOn w:val="DefaultParagraphFont"/>
    <w:rsid w:val="00D33170"/>
    <w:rPr>
      <w:rFonts w:ascii="Arial Narrow" w:hAnsi="Arial Narrow"/>
      <w:smallCaps/>
    </w:rPr>
  </w:style>
  <w:style w:type="character" w:customStyle="1" w:styleId="Buttons">
    <w:name w:val="Buttons"/>
    <w:basedOn w:val="DefaultParagraphFont"/>
    <w:rsid w:val="00D33170"/>
    <w:rPr>
      <w:b/>
    </w:rPr>
  </w:style>
  <w:style w:type="character" w:customStyle="1" w:styleId="Underlined">
    <w:name w:val="Underlined"/>
    <w:basedOn w:val="DefaultParagraphFont"/>
    <w:rsid w:val="00D33170"/>
    <w:rPr>
      <w:u w:val="single"/>
    </w:rPr>
  </w:style>
  <w:style w:type="paragraph" w:customStyle="1" w:styleId="TableBodyTextRight">
    <w:name w:val="Table Body Text Right"/>
    <w:basedOn w:val="TableBodyText"/>
    <w:rsid w:val="00D33170"/>
    <w:pPr>
      <w:widowControl w:val="0"/>
      <w:autoSpaceDE w:val="0"/>
      <w:autoSpaceDN w:val="0"/>
      <w:adjustRightInd w:val="0"/>
      <w:jc w:val="right"/>
    </w:pPr>
    <w:rPr>
      <w:rFonts w:cs="Arial"/>
      <w:szCs w:val="18"/>
    </w:rPr>
  </w:style>
  <w:style w:type="paragraph" w:customStyle="1" w:styleId="CopyrightText">
    <w:name w:val="Copyright Text"/>
    <w:basedOn w:val="BodyText"/>
    <w:rsid w:val="00D33170"/>
    <w:rPr>
      <w:sz w:val="18"/>
    </w:rPr>
  </w:style>
  <w:style w:type="paragraph" w:customStyle="1" w:styleId="BodySmallRight">
    <w:name w:val="Body Small Right"/>
    <w:basedOn w:val="BodyTextRight"/>
    <w:rsid w:val="00D33170"/>
    <w:rPr>
      <w:sz w:val="18"/>
      <w:szCs w:val="18"/>
    </w:rPr>
  </w:style>
  <w:style w:type="paragraph" w:customStyle="1" w:styleId="MarginEdition">
    <w:name w:val="Margin Edition"/>
    <w:basedOn w:val="MarginNote"/>
    <w:rsid w:val="00D33170"/>
    <w:pPr>
      <w:spacing w:before="0" w:after="0"/>
    </w:pPr>
    <w:rPr>
      <w:rFonts w:ascii="Times New Roman" w:hAnsi="Times New Roman"/>
      <w:color w:val="999999"/>
    </w:rPr>
  </w:style>
  <w:style w:type="paragraph" w:customStyle="1" w:styleId="Spacer">
    <w:name w:val="Spacer"/>
    <w:basedOn w:val="Normal"/>
    <w:rsid w:val="00D33170"/>
    <w:rPr>
      <w:sz w:val="2"/>
      <w:szCs w:val="2"/>
    </w:rPr>
  </w:style>
  <w:style w:type="character" w:customStyle="1" w:styleId="Small">
    <w:name w:val="Small"/>
    <w:basedOn w:val="DefaultParagraphFont"/>
    <w:rsid w:val="00D33170"/>
    <w:rPr>
      <w:sz w:val="16"/>
    </w:rPr>
  </w:style>
  <w:style w:type="paragraph" w:customStyle="1" w:styleId="WideTable">
    <w:name w:val="Wide Table"/>
    <w:basedOn w:val="Normal"/>
    <w:rsid w:val="00D33170"/>
    <w:pPr>
      <w:ind w:left="-1418"/>
    </w:pPr>
    <w:rPr>
      <w:sz w:val="2"/>
      <w:szCs w:val="2"/>
    </w:rPr>
  </w:style>
  <w:style w:type="character" w:styleId="PageNumber">
    <w:name w:val="page number"/>
    <w:basedOn w:val="DefaultParagraphFont"/>
    <w:rsid w:val="00D33170"/>
  </w:style>
  <w:style w:type="paragraph" w:styleId="Quote">
    <w:name w:val="Quote"/>
    <w:basedOn w:val="Heading1"/>
    <w:link w:val="QuoteChar"/>
    <w:qFormat/>
    <w:rsid w:val="00D33170"/>
    <w:rPr>
      <w:b w:val="0"/>
      <w:sz w:val="72"/>
      <w:szCs w:val="72"/>
      <w:lang w:val="en-NZ"/>
    </w:rPr>
  </w:style>
  <w:style w:type="character" w:customStyle="1" w:styleId="QuoteChar">
    <w:name w:val="Quote Char"/>
    <w:basedOn w:val="DefaultParagraphFont"/>
    <w:link w:val="Quote"/>
    <w:rsid w:val="00D33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170"/>
    <w:pPr>
      <w:pageBreakBefore/>
    </w:pPr>
  </w:style>
  <w:style w:type="paragraph" w:customStyle="1" w:styleId="Border">
    <w:name w:val="Border"/>
    <w:basedOn w:val="Normal"/>
    <w:qFormat/>
    <w:rsid w:val="00D33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170"/>
    <w:rPr>
      <w:b/>
      <w:bCs/>
      <w:i/>
      <w:iCs/>
      <w:color w:val="auto"/>
    </w:rPr>
  </w:style>
  <w:style w:type="paragraph" w:styleId="IntenseQuote">
    <w:name w:val="Intense Quote"/>
    <w:basedOn w:val="Normal"/>
    <w:next w:val="Normal"/>
    <w:link w:val="IntenseQuoteChar"/>
    <w:uiPriority w:val="30"/>
    <w:qFormat/>
    <w:rsid w:val="00D33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1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170"/>
    <w:rPr>
      <w:smallCaps/>
      <w:color w:val="auto"/>
      <w:u w:val="single"/>
    </w:rPr>
  </w:style>
  <w:style w:type="character" w:styleId="IntenseReference">
    <w:name w:val="Intense Reference"/>
    <w:basedOn w:val="DefaultParagraphFont"/>
    <w:uiPriority w:val="32"/>
    <w:qFormat/>
    <w:rsid w:val="00D33170"/>
    <w:rPr>
      <w:b/>
      <w:bCs/>
      <w:smallCaps/>
      <w:color w:val="auto"/>
      <w:spacing w:val="5"/>
      <w:u w:val="single"/>
    </w:rPr>
  </w:style>
  <w:style w:type="paragraph" w:customStyle="1" w:styleId="2ColumnHeading">
    <w:name w:val="2Column Heading"/>
    <w:basedOn w:val="BodyText"/>
    <w:qFormat/>
    <w:rsid w:val="00D33170"/>
    <w:pPr>
      <w:spacing w:after="60"/>
      <w:ind w:left="-2268"/>
    </w:pPr>
    <w:rPr>
      <w:b/>
    </w:rPr>
  </w:style>
  <w:style w:type="paragraph" w:customStyle="1" w:styleId="Heading1TOC">
    <w:name w:val="Heading1 TOC"/>
    <w:basedOn w:val="Normal"/>
    <w:qFormat/>
    <w:rsid w:val="00D33170"/>
    <w:pPr>
      <w:spacing w:before="240" w:after="120"/>
    </w:pPr>
    <w:rPr>
      <w:rFonts w:ascii="Times New Roman" w:hAnsi="Times New Roman"/>
      <w:b/>
      <w:sz w:val="32"/>
    </w:rPr>
  </w:style>
  <w:style w:type="paragraph" w:customStyle="1" w:styleId="Heading2TOC">
    <w:name w:val="Heading2 TOC"/>
    <w:basedOn w:val="Normal"/>
    <w:qFormat/>
    <w:rsid w:val="00D33170"/>
    <w:pPr>
      <w:spacing w:before="240" w:after="60"/>
    </w:pPr>
    <w:rPr>
      <w:rFonts w:ascii="Times New Roman" w:hAnsi="Times New Roman"/>
      <w:b/>
      <w:sz w:val="28"/>
    </w:rPr>
  </w:style>
  <w:style w:type="character" w:customStyle="1" w:styleId="Underline">
    <w:name w:val="Underline"/>
    <w:basedOn w:val="DefaultParagraphFont"/>
    <w:qFormat/>
    <w:rsid w:val="00D33170"/>
    <w:rPr>
      <w:u w:val="single"/>
    </w:rPr>
  </w:style>
  <w:style w:type="character" w:customStyle="1" w:styleId="BoldandItalics">
    <w:name w:val="Bold and Italics"/>
    <w:qFormat/>
    <w:rsid w:val="00D33170"/>
    <w:rPr>
      <w:b/>
      <w:i/>
      <w:u w:val="none"/>
    </w:rPr>
  </w:style>
  <w:style w:type="paragraph" w:styleId="BalloonText">
    <w:name w:val="Balloon Text"/>
    <w:basedOn w:val="Normal"/>
    <w:link w:val="BalloonTextChar"/>
    <w:rsid w:val="00D33170"/>
    <w:rPr>
      <w:rFonts w:ascii="Tahoma" w:hAnsi="Tahoma" w:cs="Tahoma"/>
      <w:sz w:val="16"/>
      <w:szCs w:val="16"/>
    </w:rPr>
  </w:style>
  <w:style w:type="character" w:customStyle="1" w:styleId="BalloonTextChar">
    <w:name w:val="Balloon Text Char"/>
    <w:basedOn w:val="DefaultParagraphFont"/>
    <w:link w:val="BalloonText"/>
    <w:rsid w:val="00D331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1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1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2106</Words>
  <Characters>13792</Characters>
  <Application>Microsoft Office Word</Application>
  <DocSecurity>0</DocSecurity>
  <Lines>458</Lines>
  <Paragraphs>211</Paragraphs>
  <ScaleCrop>false</ScaleCrop>
  <Company>Author-it Software Corporation Ltd.</Company>
  <LinksUpToDate>false</LinksUpToDate>
  <CharactersWithSpaces>15802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MSL935001A Monitor the quality of test results and data</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2012-05-26T18:33:00Z</dcterms:created>
  <dcterms:modified xsi:type="dcterms:W3CDTF">2012-05-26T18:33:00Z</dcterms:modified>
</cp:coreProperties>
</file>